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4C5BAB">
      <w:pPr>
        <w:tabs>
          <w:tab w:val="left" w:pos="2694"/>
        </w:tabs>
        <w:ind w:firstLine="480"/>
        <w:jc w:val="center"/>
        <w:rPr>
          <w:rFonts w:hint="default" w:ascii="Times New Roman" w:hAnsi="Times New Roman" w:cs="Times New Roman"/>
          <w:snapToGrid w:val="0"/>
          <w:color w:val="auto"/>
          <w:kern w:val="40"/>
          <w:szCs w:val="24"/>
        </w:rPr>
      </w:pPr>
    </w:p>
    <w:p w14:paraId="56409090">
      <w:pPr>
        <w:ind w:firstLine="0" w:firstLineChars="0"/>
        <w:jc w:val="center"/>
        <w:rPr>
          <w:rFonts w:hint="default" w:ascii="Times New Roman" w:hAnsi="Times New Roman" w:cs="Times New Roman"/>
          <w:b/>
          <w:color w:val="auto"/>
          <w:sz w:val="56"/>
          <w:szCs w:val="24"/>
          <w:lang w:eastAsia="zh-CN"/>
        </w:rPr>
      </w:pPr>
      <w:r>
        <w:rPr>
          <w:rFonts w:hint="default" w:ascii="Times New Roman" w:hAnsi="Times New Roman" w:cs="Times New Roman"/>
          <w:b/>
          <w:color w:val="auto"/>
          <w:sz w:val="56"/>
          <w:szCs w:val="24"/>
          <w:lang w:eastAsia="zh-CN"/>
        </w:rPr>
        <w:t>广安市过境高速公路东环线及渝广高速支线项目（重庆合川境）（重新报批）</w:t>
      </w:r>
    </w:p>
    <w:p w14:paraId="56D49190">
      <w:pPr>
        <w:ind w:firstLine="0" w:firstLineChars="0"/>
        <w:jc w:val="center"/>
        <w:rPr>
          <w:rFonts w:hint="default" w:ascii="Times New Roman" w:hAnsi="Times New Roman" w:eastAsia="华文新魏" w:cs="Times New Roman"/>
          <w:b/>
          <w:color w:val="auto"/>
          <w:sz w:val="68"/>
          <w:szCs w:val="68"/>
        </w:rPr>
      </w:pPr>
      <w:r>
        <w:rPr>
          <w:rFonts w:hint="default" w:ascii="Times New Roman" w:hAnsi="Times New Roman" w:eastAsia="华文新魏" w:cs="Times New Roman"/>
          <w:b/>
          <w:color w:val="auto"/>
          <w:sz w:val="68"/>
          <w:szCs w:val="68"/>
        </w:rPr>
        <w:t>竣工环境保护验收调查报告</w:t>
      </w:r>
    </w:p>
    <w:p w14:paraId="3711DAAC">
      <w:pPr>
        <w:spacing w:after="326" w:afterLines="100"/>
        <w:ind w:firstLine="0" w:firstLineChars="0"/>
        <w:jc w:val="center"/>
        <w:rPr>
          <w:rFonts w:hint="default" w:ascii="Times New Roman" w:hAnsi="Times New Roman" w:eastAsia="宋体" w:cs="Times New Roman"/>
          <w:bCs/>
          <w:color w:val="auto"/>
          <w:szCs w:val="24"/>
          <w:lang w:eastAsia="zh-CN"/>
        </w:rPr>
      </w:pPr>
      <w:r>
        <w:rPr>
          <w:color w:val="auto"/>
        </w:rPr>
        <w:drawing>
          <wp:inline distT="0" distB="0" distL="114300" distR="114300">
            <wp:extent cx="4709160" cy="3955415"/>
            <wp:effectExtent l="0" t="0" r="15240" b="6985"/>
            <wp:docPr id="10" name="图片 10" descr="微信图片_20260407095036_56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60407095036_56_23"/>
                    <pic:cNvPicPr>
                      <a:picLocks noChangeAspect="1"/>
                    </pic:cNvPicPr>
                  </pic:nvPicPr>
                  <pic:blipFill>
                    <a:blip r:embed="rId20"/>
                    <a:stretch>
                      <a:fillRect/>
                    </a:stretch>
                  </pic:blipFill>
                  <pic:spPr>
                    <a:xfrm>
                      <a:off x="0" y="0"/>
                      <a:ext cx="4709160" cy="3955415"/>
                    </a:xfrm>
                    <a:prstGeom prst="rect">
                      <a:avLst/>
                    </a:prstGeom>
                  </pic:spPr>
                </pic:pic>
              </a:graphicData>
            </a:graphic>
          </wp:inline>
        </w:drawing>
      </w:r>
    </w:p>
    <w:p w14:paraId="12E864CA">
      <w:pPr>
        <w:ind w:firstLine="1276" w:firstLineChars="454"/>
        <w:jc w:val="left"/>
        <w:rPr>
          <w:rFonts w:hint="default" w:ascii="Times New Roman" w:hAnsi="Times New Roman" w:eastAsia="宋体" w:cs="Times New Roman"/>
          <w:b/>
          <w:bCs/>
          <w:color w:val="auto"/>
          <w:sz w:val="28"/>
          <w:szCs w:val="24"/>
          <w:lang w:eastAsia="zh-CN"/>
        </w:rPr>
      </w:pPr>
      <w:r>
        <w:rPr>
          <w:rFonts w:hint="default" w:ascii="Times New Roman" w:hAnsi="Times New Roman" w:cs="Times New Roman"/>
          <w:b/>
          <w:bCs/>
          <w:color w:val="auto"/>
          <w:sz w:val="28"/>
          <w:szCs w:val="24"/>
        </w:rPr>
        <w:t>委托单位：</w:t>
      </w:r>
      <w:r>
        <w:rPr>
          <w:rFonts w:hint="default" w:ascii="Times New Roman" w:hAnsi="Times New Roman" w:cs="Times New Roman"/>
          <w:b/>
          <w:bCs/>
          <w:color w:val="auto"/>
          <w:sz w:val="28"/>
          <w:szCs w:val="24"/>
          <w:lang w:eastAsia="zh-CN"/>
        </w:rPr>
        <w:t>四川广安绕城高速公路有限责任公司</w:t>
      </w:r>
    </w:p>
    <w:p w14:paraId="715E3DF3">
      <w:pPr>
        <w:ind w:firstLine="1276" w:firstLineChars="454"/>
        <w:jc w:val="left"/>
        <w:rPr>
          <w:rFonts w:hint="default" w:ascii="Times New Roman" w:hAnsi="Times New Roman" w:eastAsia="宋体" w:cs="Times New Roman"/>
          <w:b/>
          <w:bCs/>
          <w:color w:val="auto"/>
          <w:sz w:val="28"/>
          <w:szCs w:val="24"/>
          <w:lang w:eastAsia="zh-CN"/>
        </w:rPr>
      </w:pPr>
      <w:r>
        <w:rPr>
          <w:rFonts w:hint="default" w:ascii="Times New Roman" w:hAnsi="Times New Roman" w:cs="Times New Roman"/>
          <w:b/>
          <w:bCs/>
          <w:color w:val="auto"/>
          <w:sz w:val="28"/>
          <w:szCs w:val="24"/>
        </w:rPr>
        <w:t>编制单位：</w:t>
      </w:r>
      <w:r>
        <w:rPr>
          <w:rFonts w:hint="default" w:ascii="Times New Roman" w:hAnsi="Times New Roman" w:cs="Times New Roman"/>
          <w:b/>
          <w:color w:val="auto"/>
          <w:sz w:val="28"/>
          <w:szCs w:val="24"/>
          <w:lang w:eastAsia="zh-CN"/>
        </w:rPr>
        <w:t>中圣环境科技发展有限公司</w:t>
      </w:r>
    </w:p>
    <w:p w14:paraId="4E7A1410">
      <w:pPr>
        <w:ind w:firstLine="0" w:firstLineChars="0"/>
        <w:jc w:val="center"/>
        <w:rPr>
          <w:rFonts w:hint="default" w:ascii="Times New Roman" w:hAnsi="Times New Roman" w:cs="Times New Roman"/>
          <w:bCs/>
          <w:color w:val="auto"/>
          <w:sz w:val="28"/>
          <w:szCs w:val="24"/>
        </w:rPr>
        <w:sectPr>
          <w:headerReference r:id="rId7" w:type="first"/>
          <w:footerReference r:id="rId10" w:type="first"/>
          <w:headerReference r:id="rId5" w:type="default"/>
          <w:footerReference r:id="rId8" w:type="default"/>
          <w:headerReference r:id="rId6" w:type="even"/>
          <w:footerReference r:id="rId9" w:type="even"/>
          <w:pgSz w:w="11906" w:h="16838"/>
          <w:pgMar w:top="1276" w:right="1800" w:bottom="1440" w:left="1800" w:header="851" w:footer="567" w:gutter="0"/>
          <w:pgBorders>
            <w:top w:val="none" w:sz="0" w:space="0"/>
            <w:left w:val="none" w:sz="0" w:space="0"/>
            <w:bottom w:val="none" w:sz="0" w:space="0"/>
            <w:right w:val="none" w:sz="0" w:space="0"/>
          </w:pgBorders>
          <w:pgNumType w:chapStyle="1"/>
          <w:cols w:space="720" w:num="1"/>
          <w:titlePg/>
          <w:docGrid w:type="lines" w:linePitch="326" w:charSpace="0"/>
        </w:sectPr>
      </w:pPr>
      <w:r>
        <w:rPr>
          <w:rFonts w:hint="default" w:ascii="Times New Roman" w:hAnsi="Times New Roman" w:cs="Times New Roman"/>
          <w:b/>
          <w:bCs/>
          <w:color w:val="auto"/>
          <w:sz w:val="28"/>
          <w:szCs w:val="24"/>
        </w:rPr>
        <w:t>202</w:t>
      </w:r>
      <w:r>
        <w:rPr>
          <w:rFonts w:hint="eastAsia" w:cs="Times New Roman"/>
          <w:b/>
          <w:bCs/>
          <w:color w:val="auto"/>
          <w:sz w:val="28"/>
          <w:szCs w:val="24"/>
          <w:lang w:val="en-US" w:eastAsia="zh-CN"/>
        </w:rPr>
        <w:t>6</w:t>
      </w:r>
      <w:r>
        <w:rPr>
          <w:rFonts w:hint="default" w:ascii="Times New Roman" w:hAnsi="Times New Roman" w:cs="Times New Roman"/>
          <w:b/>
          <w:bCs/>
          <w:color w:val="auto"/>
          <w:sz w:val="28"/>
          <w:szCs w:val="24"/>
        </w:rPr>
        <w:t>年</w:t>
      </w:r>
      <w:r>
        <w:rPr>
          <w:rFonts w:hint="eastAsia" w:cs="Times New Roman"/>
          <w:b/>
          <w:bCs/>
          <w:color w:val="auto"/>
          <w:sz w:val="28"/>
          <w:szCs w:val="24"/>
          <w:lang w:val="en-US" w:eastAsia="zh-CN"/>
        </w:rPr>
        <w:t>5</w:t>
      </w:r>
      <w:r>
        <w:rPr>
          <w:rFonts w:hint="default" w:ascii="Times New Roman" w:hAnsi="Times New Roman" w:cs="Times New Roman"/>
          <w:b/>
          <w:bCs/>
          <w:color w:val="auto"/>
          <w:sz w:val="28"/>
          <w:szCs w:val="24"/>
        </w:rPr>
        <w:t>月</w:t>
      </w:r>
    </w:p>
    <w:p w14:paraId="3F5A2202">
      <w:pPr>
        <w:spacing w:before="163" w:beforeLines="50" w:after="163" w:afterLines="50"/>
        <w:ind w:firstLine="0" w:firstLineChars="0"/>
        <w:jc w:val="center"/>
        <w:rPr>
          <w:rFonts w:hint="default" w:ascii="Times New Roman" w:hAnsi="Times New Roman" w:cs="Times New Roman"/>
          <w:b/>
          <w:bCs/>
          <w:color w:val="auto"/>
          <w:sz w:val="32"/>
          <w:szCs w:val="24"/>
        </w:rPr>
      </w:pPr>
      <w:r>
        <w:rPr>
          <w:rFonts w:hint="default" w:ascii="Times New Roman" w:hAnsi="Times New Roman" w:cs="Times New Roman"/>
          <w:b/>
          <w:bCs/>
          <w:color w:val="auto"/>
          <w:sz w:val="32"/>
          <w:szCs w:val="24"/>
          <w:lang w:eastAsia="zh-CN"/>
        </w:rPr>
        <w:t>广安市过境高速公路东环线及渝广高速支线项目（重庆合川境）（重新报批）竣工环境保护验收调查报告</w:t>
      </w:r>
    </w:p>
    <w:p w14:paraId="2F40D119">
      <w:pPr>
        <w:spacing w:before="163" w:beforeLines="50" w:after="163" w:afterLines="50"/>
        <w:ind w:firstLine="480"/>
        <w:jc w:val="center"/>
        <w:rPr>
          <w:rFonts w:hint="default" w:ascii="Times New Roman" w:hAnsi="Times New Roman" w:cs="Times New Roman"/>
          <w:bCs/>
          <w:color w:val="auto"/>
          <w:szCs w:val="24"/>
        </w:rPr>
      </w:pPr>
    </w:p>
    <w:p w14:paraId="726613E1">
      <w:pPr>
        <w:spacing w:before="163" w:beforeLines="50" w:after="163" w:afterLines="50"/>
        <w:ind w:firstLine="0" w:firstLineChars="0"/>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四川广安绕城高速公路有限责任公司</w:t>
      </w:r>
    </w:p>
    <w:p w14:paraId="0118F1E2">
      <w:pPr>
        <w:spacing w:before="163" w:beforeLines="50" w:after="163" w:afterLines="50"/>
        <w:ind w:firstLine="0" w:firstLineChars="0"/>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编制单位：</w:t>
      </w:r>
      <w:r>
        <w:rPr>
          <w:rFonts w:hint="default" w:ascii="Times New Roman" w:hAnsi="Times New Roman" w:cs="Times New Roman"/>
          <w:color w:val="auto"/>
          <w:sz w:val="28"/>
          <w:szCs w:val="24"/>
          <w:lang w:eastAsia="zh-CN"/>
        </w:rPr>
        <w:t>中圣环境科技发展有限公司</w:t>
      </w:r>
    </w:p>
    <w:p w14:paraId="40230B70">
      <w:pPr>
        <w:spacing w:before="163" w:beforeLines="50" w:after="163" w:afterLines="50"/>
        <w:ind w:firstLine="0" w:firstLineChars="0"/>
        <w:rPr>
          <w:rFonts w:hint="eastAsia" w:cs="Times New Roman"/>
          <w:color w:val="auto"/>
          <w:sz w:val="28"/>
          <w:szCs w:val="24"/>
          <w:lang w:val="en-US" w:eastAsia="zh-CN"/>
        </w:rPr>
      </w:pPr>
      <w:r>
        <w:rPr>
          <w:rFonts w:hint="default" w:ascii="Times New Roman" w:hAnsi="Times New Roman" w:cs="Times New Roman"/>
          <w:color w:val="auto"/>
          <w:sz w:val="28"/>
          <w:szCs w:val="24"/>
        </w:rPr>
        <w:t>项目负责人：</w:t>
      </w:r>
      <w:r>
        <w:rPr>
          <w:rFonts w:hint="eastAsia" w:cs="Times New Roman"/>
          <w:color w:val="auto"/>
          <w:sz w:val="28"/>
          <w:szCs w:val="24"/>
          <w:lang w:val="en-US" w:eastAsia="zh-CN"/>
        </w:rPr>
        <w:t>高蕊芳</w:t>
      </w:r>
    </w:p>
    <w:p w14:paraId="23ED5032">
      <w:pPr>
        <w:spacing w:before="163" w:beforeLines="50" w:after="163" w:afterLines="50"/>
        <w:ind w:firstLine="0" w:firstLineChars="0"/>
        <w:rPr>
          <w:rFonts w:hint="default" w:cs="Times New Roman"/>
          <w:color w:val="auto"/>
          <w:sz w:val="28"/>
          <w:szCs w:val="24"/>
          <w:lang w:val="en-US" w:eastAsia="zh-CN"/>
        </w:rPr>
      </w:pPr>
      <w:r>
        <w:rPr>
          <w:rFonts w:hint="eastAsia" w:cs="Times New Roman"/>
          <w:color w:val="auto"/>
          <w:sz w:val="28"/>
          <w:szCs w:val="24"/>
          <w:lang w:val="en-US" w:eastAsia="zh-CN"/>
        </w:rPr>
        <w:t>技术负责人：张智锋</w:t>
      </w:r>
    </w:p>
    <w:p w14:paraId="61B38DA2">
      <w:pPr>
        <w:spacing w:before="163" w:beforeLines="50" w:after="163" w:afterLines="50"/>
        <w:ind w:firstLine="0" w:firstLineChars="0"/>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rPr>
        <w:t>报告编制人员：</w:t>
      </w:r>
      <w:r>
        <w:rPr>
          <w:rFonts w:hint="eastAsia" w:cs="Times New Roman"/>
          <w:color w:val="auto"/>
          <w:sz w:val="28"/>
          <w:szCs w:val="24"/>
          <w:lang w:val="en-US" w:eastAsia="zh-CN"/>
        </w:rPr>
        <w:t>范理、陈智恒、李鑫</w:t>
      </w:r>
    </w:p>
    <w:p w14:paraId="063BC52B">
      <w:pPr>
        <w:spacing w:before="163" w:beforeLines="50" w:after="163" w:afterLines="50"/>
        <w:ind w:firstLine="0" w:firstLineChars="0"/>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审核：</w:t>
      </w:r>
      <w:r>
        <w:rPr>
          <w:rFonts w:hint="eastAsia" w:cs="Times New Roman"/>
          <w:color w:val="auto"/>
          <w:sz w:val="28"/>
          <w:szCs w:val="24"/>
          <w:lang w:val="en-US" w:eastAsia="zh-CN"/>
        </w:rPr>
        <w:t>韩雪、</w:t>
      </w:r>
      <w:r>
        <w:rPr>
          <w:rFonts w:hint="default" w:ascii="Times New Roman" w:hAnsi="Times New Roman" w:cs="Times New Roman"/>
          <w:color w:val="auto"/>
          <w:sz w:val="28"/>
          <w:szCs w:val="24"/>
          <w:lang w:val="en-US" w:eastAsia="zh-CN"/>
        </w:rPr>
        <w:t>黄磊</w:t>
      </w:r>
    </w:p>
    <w:p w14:paraId="06A40CDC">
      <w:pPr>
        <w:spacing w:before="163" w:beforeLines="50" w:after="163" w:afterLines="50"/>
        <w:ind w:firstLine="0" w:firstLineChars="0"/>
        <w:rPr>
          <w:rFonts w:hint="default" w:ascii="Times New Roman" w:hAnsi="Times New Roman" w:cs="Times New Roman"/>
          <w:color w:val="auto"/>
          <w:sz w:val="28"/>
          <w:szCs w:val="24"/>
        </w:rPr>
      </w:pPr>
    </w:p>
    <w:p w14:paraId="3F97AC1E">
      <w:pPr>
        <w:spacing w:before="163" w:beforeLines="50" w:after="163" w:afterLines="50"/>
        <w:ind w:firstLine="0" w:firstLineChars="0"/>
        <w:rPr>
          <w:rFonts w:hint="default" w:ascii="Times New Roman" w:hAnsi="Times New Roman" w:cs="Times New Roman"/>
          <w:color w:val="auto"/>
          <w:sz w:val="28"/>
          <w:szCs w:val="24"/>
        </w:rPr>
      </w:pPr>
    </w:p>
    <w:p w14:paraId="17B2784C">
      <w:pPr>
        <w:spacing w:before="163" w:beforeLines="50" w:after="163" w:afterLines="50"/>
        <w:ind w:firstLine="0" w:firstLineChars="0"/>
        <w:rPr>
          <w:rFonts w:hint="default" w:ascii="Times New Roman" w:hAnsi="Times New Roman" w:cs="Times New Roman"/>
          <w:color w:val="auto"/>
          <w:sz w:val="28"/>
          <w:szCs w:val="24"/>
        </w:rPr>
      </w:pPr>
    </w:p>
    <w:p w14:paraId="36A0A394">
      <w:pPr>
        <w:spacing w:before="163" w:beforeLines="50" w:after="163" w:afterLines="50"/>
        <w:ind w:firstLine="0" w:firstLineChars="0"/>
        <w:rPr>
          <w:rFonts w:hint="default" w:ascii="Times New Roman" w:hAnsi="Times New Roman" w:cs="Times New Roman"/>
          <w:color w:val="auto"/>
          <w:sz w:val="28"/>
          <w:szCs w:val="24"/>
        </w:rPr>
      </w:pPr>
    </w:p>
    <w:p w14:paraId="4BD708D7">
      <w:pPr>
        <w:spacing w:before="163" w:beforeLines="50" w:after="163" w:afterLines="50"/>
        <w:ind w:firstLine="0" w:firstLineChars="0"/>
        <w:rPr>
          <w:rFonts w:hint="default" w:ascii="Times New Roman" w:hAnsi="Times New Roman" w:cs="Times New Roman"/>
          <w:color w:val="auto"/>
          <w:sz w:val="28"/>
          <w:szCs w:val="24"/>
        </w:rPr>
      </w:pPr>
    </w:p>
    <w:p w14:paraId="3539D926">
      <w:pPr>
        <w:spacing w:before="163" w:beforeLines="50" w:after="163" w:afterLines="50"/>
        <w:ind w:firstLine="0" w:firstLineChars="0"/>
        <w:rPr>
          <w:rFonts w:hint="default" w:ascii="Times New Roman" w:hAnsi="Times New Roman" w:cs="Times New Roman"/>
          <w:color w:val="auto"/>
          <w:sz w:val="28"/>
          <w:szCs w:val="24"/>
        </w:rPr>
      </w:pPr>
    </w:p>
    <w:p w14:paraId="3741054F">
      <w:pPr>
        <w:pStyle w:val="8"/>
        <w:ind w:firstLine="0" w:firstLineChars="0"/>
        <w:rPr>
          <w:rFonts w:hint="default" w:ascii="Times New Roman" w:hAnsi="Times New Roman" w:cs="Times New Roman"/>
          <w:color w:val="auto"/>
          <w:sz w:val="28"/>
          <w:szCs w:val="24"/>
        </w:rPr>
      </w:pPr>
    </w:p>
    <w:p w14:paraId="169172BC">
      <w:pPr>
        <w:spacing w:before="163" w:beforeLines="50" w:after="163" w:afterLines="50"/>
        <w:ind w:firstLine="0" w:firstLineChars="0"/>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lang w:eastAsia="zh-CN"/>
        </w:rPr>
        <w:t>中圣环境科技发展有限公司</w:t>
      </w:r>
    </w:p>
    <w:p w14:paraId="73CE57F3">
      <w:pPr>
        <w:spacing w:before="163" w:beforeLines="50" w:after="163" w:afterLines="50"/>
        <w:ind w:firstLine="0" w:firstLineChars="0"/>
        <w:rPr>
          <w:rFonts w:hint="default" w:ascii="Times New Roman" w:hAnsi="Times New Roman" w:cs="Times New Roman"/>
          <w:color w:val="auto"/>
          <w:sz w:val="28"/>
          <w:szCs w:val="24"/>
        </w:rPr>
      </w:pPr>
      <w:r>
        <w:rPr>
          <w:rFonts w:hint="default" w:ascii="Times New Roman" w:hAnsi="Times New Roman" w:cs="Times New Roman"/>
          <w:color w:val="auto"/>
          <w:sz w:val="28"/>
          <w:szCs w:val="24"/>
        </w:rPr>
        <w:t>联系电话：</w:t>
      </w:r>
      <w:r>
        <w:rPr>
          <w:rFonts w:hint="default" w:ascii="Times New Roman" w:hAnsi="Times New Roman" w:eastAsia="宋体" w:cs="Times New Roman"/>
          <w:color w:val="auto"/>
          <w:spacing w:val="0"/>
          <w:kern w:val="28"/>
          <w:sz w:val="28"/>
          <w:szCs w:val="28"/>
        </w:rPr>
        <w:t>029-68661155</w:t>
      </w:r>
    </w:p>
    <w:p w14:paraId="3C6B0DD1">
      <w:pPr>
        <w:spacing w:before="163" w:beforeLines="50" w:after="163" w:afterLines="50"/>
        <w:ind w:firstLine="0" w:firstLineChars="0"/>
        <w:rPr>
          <w:rFonts w:hint="default" w:ascii="Times New Roman" w:hAnsi="Times New Roman" w:cs="Times New Roman"/>
          <w:color w:val="auto"/>
          <w:sz w:val="28"/>
          <w:szCs w:val="24"/>
        </w:rPr>
      </w:pPr>
      <w:r>
        <w:rPr>
          <w:rFonts w:hint="default" w:ascii="Times New Roman" w:hAnsi="Times New Roman" w:cs="Times New Roman"/>
          <w:color w:val="auto"/>
          <w:sz w:val="28"/>
          <w:szCs w:val="24"/>
        </w:rPr>
        <w:t>邮编：</w:t>
      </w:r>
      <w:r>
        <w:rPr>
          <w:rFonts w:hint="default" w:ascii="Times New Roman" w:hAnsi="Times New Roman" w:eastAsia="宋体" w:cs="Times New Roman"/>
          <w:color w:val="auto"/>
          <w:spacing w:val="0"/>
          <w:kern w:val="28"/>
          <w:sz w:val="28"/>
          <w:szCs w:val="28"/>
        </w:rPr>
        <w:t>710075</w:t>
      </w:r>
    </w:p>
    <w:p w14:paraId="771061CD">
      <w:pPr>
        <w:ind w:firstLine="0" w:firstLineChars="0"/>
        <w:rPr>
          <w:rFonts w:hint="default" w:ascii="Times New Roman" w:hAnsi="Times New Roman" w:cs="Times New Roman"/>
          <w:snapToGrid w:val="0"/>
          <w:color w:val="auto"/>
          <w:kern w:val="0"/>
          <w:sz w:val="28"/>
          <w:szCs w:val="24"/>
        </w:rPr>
      </w:pPr>
      <w:r>
        <w:rPr>
          <w:rFonts w:hint="default" w:ascii="Times New Roman" w:hAnsi="Times New Roman" w:cs="Times New Roman"/>
          <w:color w:val="auto"/>
          <w:sz w:val="28"/>
          <w:szCs w:val="24"/>
        </w:rPr>
        <w:t>地址：</w:t>
      </w:r>
      <w:r>
        <w:rPr>
          <w:rFonts w:hint="default" w:ascii="Times New Roman" w:hAnsi="Times New Roman" w:eastAsia="宋体" w:cs="Times New Roman"/>
          <w:color w:val="auto"/>
          <w:spacing w:val="0"/>
          <w:kern w:val="28"/>
          <w:sz w:val="28"/>
          <w:szCs w:val="28"/>
        </w:rPr>
        <w:t>陕西省西安市高新区锦业路旺都C座</w:t>
      </w:r>
    </w:p>
    <w:p w14:paraId="0EDD64FC">
      <w:pPr>
        <w:ind w:firstLine="480"/>
        <w:jc w:val="center"/>
        <w:rPr>
          <w:rFonts w:hint="default" w:ascii="Times New Roman" w:hAnsi="Times New Roman" w:cs="Times New Roman"/>
          <w:color w:val="auto"/>
          <w:szCs w:val="24"/>
        </w:rPr>
        <w:sectPr>
          <w:footerReference r:id="rId12" w:type="first"/>
          <w:footerReference r:id="rId11" w:type="default"/>
          <w:pgSz w:w="11906" w:h="16838"/>
          <w:pgMar w:top="1276" w:right="1800" w:bottom="1440" w:left="1800" w:header="851" w:footer="567" w:gutter="0"/>
          <w:pgBorders>
            <w:top w:val="none" w:sz="0" w:space="0"/>
            <w:left w:val="none" w:sz="0" w:space="0"/>
            <w:bottom w:val="none" w:sz="0" w:space="0"/>
            <w:right w:val="none" w:sz="0" w:space="0"/>
          </w:pgBorders>
          <w:pgNumType w:chapStyle="1"/>
          <w:cols w:space="720" w:num="1"/>
          <w:titlePg/>
          <w:docGrid w:type="lines" w:linePitch="326" w:charSpace="0"/>
        </w:sectPr>
      </w:pPr>
    </w:p>
    <w:sdt>
      <w:sdtPr>
        <w:rPr>
          <w:rFonts w:ascii="宋体" w:hAnsi="宋体" w:eastAsia="宋体" w:cs="Times New Roman"/>
          <w:color w:val="auto"/>
          <w:kern w:val="2"/>
          <w:sz w:val="21"/>
          <w:lang w:val="en-US" w:eastAsia="zh-CN" w:bidi="ar-SA"/>
        </w:rPr>
        <w:id w:val="147461541"/>
        <w15:color w:val="DBDBDB"/>
        <w:docPartObj>
          <w:docPartGallery w:val="Table of Contents"/>
          <w:docPartUnique/>
        </w:docPartObj>
      </w:sdtPr>
      <w:sdtEndPr>
        <w:rPr>
          <w:rFonts w:ascii="宋体" w:hAnsi="宋体" w:eastAsia="宋体" w:cs="Times New Roman"/>
          <w:color w:val="auto"/>
          <w:kern w:val="2"/>
          <w:sz w:val="21"/>
          <w:lang w:val="en-US" w:eastAsia="zh-CN" w:bidi="ar-SA"/>
        </w:rPr>
      </w:sdtEndPr>
      <w:sdtContent>
        <w:p w14:paraId="263F2274">
          <w:pPr>
            <w:spacing w:before="0" w:beforeLines="0" w:after="0" w:afterLines="0" w:line="240" w:lineRule="auto"/>
            <w:ind w:left="0" w:leftChars="0" w:right="0" w:rightChars="0" w:firstLine="0" w:firstLineChars="0"/>
            <w:jc w:val="center"/>
            <w:rPr>
              <w:b/>
              <w:bCs/>
              <w:color w:val="auto"/>
              <w:sz w:val="32"/>
              <w:szCs w:val="32"/>
            </w:rPr>
          </w:pPr>
          <w:r>
            <w:rPr>
              <w:rFonts w:ascii="宋体" w:hAnsi="宋体" w:eastAsia="宋体"/>
              <w:b/>
              <w:bCs/>
              <w:color w:val="auto"/>
              <w:sz w:val="32"/>
              <w:szCs w:val="32"/>
            </w:rPr>
            <w:t>目录</w:t>
          </w:r>
        </w:p>
        <w:p w14:paraId="6990C4FE">
          <w:pPr>
            <w:pStyle w:val="16"/>
            <w:tabs>
              <w:tab w:val="right" w:leader="dot" w:pos="8306"/>
            </w:tabs>
            <w:rPr>
              <w:color w:val="auto"/>
            </w:rPr>
          </w:pPr>
          <w:r>
            <w:rPr>
              <w:color w:val="auto"/>
            </w:rPr>
            <w:fldChar w:fldCharType="begin"/>
          </w:r>
          <w:r>
            <w:rPr>
              <w:color w:val="auto"/>
            </w:rPr>
            <w:instrText xml:space="preserve">TOC \o "1-2" \h \u </w:instrText>
          </w:r>
          <w:r>
            <w:rPr>
              <w:color w:val="auto"/>
            </w:rPr>
            <w:fldChar w:fldCharType="separate"/>
          </w:r>
          <w:r>
            <w:rPr>
              <w:color w:val="auto"/>
            </w:rPr>
            <w:fldChar w:fldCharType="begin"/>
          </w:r>
          <w:r>
            <w:rPr>
              <w:color w:val="auto"/>
            </w:rPr>
            <w:instrText xml:space="preserve"> HYPERLINK \l _Toc27822 </w:instrText>
          </w:r>
          <w:r>
            <w:rPr>
              <w:color w:val="auto"/>
            </w:rPr>
            <w:fldChar w:fldCharType="separate"/>
          </w:r>
          <w:r>
            <w:rPr>
              <w:rFonts w:hint="eastAsia" w:cs="Times New Roman"/>
              <w:color w:val="auto"/>
              <w:szCs w:val="36"/>
              <w:lang w:val="en-US" w:eastAsia="zh-CN"/>
            </w:rPr>
            <w:t>1.</w:t>
          </w:r>
          <w:r>
            <w:rPr>
              <w:rFonts w:hint="default" w:ascii="Times New Roman" w:hAnsi="Times New Roman" w:cs="Times New Roman"/>
              <w:color w:val="auto"/>
              <w:szCs w:val="36"/>
            </w:rPr>
            <w:t>总则</w:t>
          </w:r>
          <w:r>
            <w:rPr>
              <w:color w:val="auto"/>
            </w:rPr>
            <w:tab/>
          </w:r>
          <w:r>
            <w:rPr>
              <w:color w:val="auto"/>
            </w:rPr>
            <w:fldChar w:fldCharType="begin"/>
          </w:r>
          <w:r>
            <w:rPr>
              <w:color w:val="auto"/>
            </w:rPr>
            <w:instrText xml:space="preserve"> PAGEREF _Toc27822 \h </w:instrText>
          </w:r>
          <w:r>
            <w:rPr>
              <w:color w:val="auto"/>
            </w:rPr>
            <w:fldChar w:fldCharType="separate"/>
          </w:r>
          <w:r>
            <w:rPr>
              <w:color w:val="auto"/>
            </w:rPr>
            <w:t>1</w:t>
          </w:r>
          <w:r>
            <w:rPr>
              <w:color w:val="auto"/>
            </w:rPr>
            <w:fldChar w:fldCharType="end"/>
          </w:r>
          <w:r>
            <w:rPr>
              <w:color w:val="auto"/>
            </w:rPr>
            <w:fldChar w:fldCharType="end"/>
          </w:r>
        </w:p>
        <w:p w14:paraId="3C8509C5">
          <w:pPr>
            <w:pStyle w:val="18"/>
            <w:tabs>
              <w:tab w:val="right" w:leader="dot" w:pos="8306"/>
            </w:tabs>
            <w:rPr>
              <w:color w:val="auto"/>
            </w:rPr>
          </w:pPr>
          <w:r>
            <w:rPr>
              <w:color w:val="auto"/>
            </w:rPr>
            <w:fldChar w:fldCharType="begin"/>
          </w:r>
          <w:r>
            <w:rPr>
              <w:color w:val="auto"/>
            </w:rPr>
            <w:instrText xml:space="preserve"> HYPERLINK \l _Toc6718 </w:instrText>
          </w:r>
          <w:r>
            <w:rPr>
              <w:color w:val="auto"/>
            </w:rPr>
            <w:fldChar w:fldCharType="separate"/>
          </w:r>
          <w:r>
            <w:rPr>
              <w:rFonts w:hint="eastAsia" w:ascii="Times New Roman" w:hAnsi="Times New Roman" w:eastAsia="宋体" w:cs="Times New Roman"/>
              <w:bCs/>
              <w:color w:val="auto"/>
              <w:kern w:val="2"/>
              <w:szCs w:val="32"/>
              <w:lang w:val="en-US" w:eastAsia="zh-CN" w:bidi="ar-SA"/>
            </w:rPr>
            <w:t>1.1</w:t>
          </w:r>
          <w:r>
            <w:rPr>
              <w:rFonts w:hint="default" w:ascii="Times New Roman" w:hAnsi="Times New Roman" w:cs="Times New Roman"/>
              <w:color w:val="auto"/>
            </w:rPr>
            <w:t>编制依据</w:t>
          </w:r>
          <w:r>
            <w:rPr>
              <w:color w:val="auto"/>
            </w:rPr>
            <w:tab/>
          </w:r>
          <w:r>
            <w:rPr>
              <w:color w:val="auto"/>
            </w:rPr>
            <w:fldChar w:fldCharType="begin"/>
          </w:r>
          <w:r>
            <w:rPr>
              <w:color w:val="auto"/>
            </w:rPr>
            <w:instrText xml:space="preserve"> PAGEREF _Toc6718 \h </w:instrText>
          </w:r>
          <w:r>
            <w:rPr>
              <w:color w:val="auto"/>
            </w:rPr>
            <w:fldChar w:fldCharType="separate"/>
          </w:r>
          <w:r>
            <w:rPr>
              <w:color w:val="auto"/>
            </w:rPr>
            <w:t>1</w:t>
          </w:r>
          <w:r>
            <w:rPr>
              <w:color w:val="auto"/>
            </w:rPr>
            <w:fldChar w:fldCharType="end"/>
          </w:r>
          <w:r>
            <w:rPr>
              <w:color w:val="auto"/>
            </w:rPr>
            <w:fldChar w:fldCharType="end"/>
          </w:r>
        </w:p>
        <w:p w14:paraId="47F4716E">
          <w:pPr>
            <w:pStyle w:val="18"/>
            <w:tabs>
              <w:tab w:val="right" w:leader="dot" w:pos="8306"/>
            </w:tabs>
            <w:rPr>
              <w:color w:val="auto"/>
            </w:rPr>
          </w:pPr>
          <w:r>
            <w:rPr>
              <w:color w:val="auto"/>
            </w:rPr>
            <w:fldChar w:fldCharType="begin"/>
          </w:r>
          <w:r>
            <w:rPr>
              <w:color w:val="auto"/>
            </w:rPr>
            <w:instrText xml:space="preserve"> HYPERLINK \l _Toc6172 </w:instrText>
          </w:r>
          <w:r>
            <w:rPr>
              <w:color w:val="auto"/>
            </w:rPr>
            <w:fldChar w:fldCharType="separate"/>
          </w:r>
          <w:r>
            <w:rPr>
              <w:rFonts w:hint="default" w:ascii="Times New Roman" w:hAnsi="Times New Roman" w:eastAsia="宋体" w:cs="Times New Roman"/>
              <w:color w:val="auto"/>
            </w:rPr>
            <w:t>1.2调查目的与原则</w:t>
          </w:r>
          <w:r>
            <w:rPr>
              <w:color w:val="auto"/>
            </w:rPr>
            <w:tab/>
          </w:r>
          <w:r>
            <w:rPr>
              <w:color w:val="auto"/>
            </w:rPr>
            <w:fldChar w:fldCharType="begin"/>
          </w:r>
          <w:r>
            <w:rPr>
              <w:color w:val="auto"/>
            </w:rPr>
            <w:instrText xml:space="preserve"> PAGEREF _Toc6172 \h </w:instrText>
          </w:r>
          <w:r>
            <w:rPr>
              <w:color w:val="auto"/>
            </w:rPr>
            <w:fldChar w:fldCharType="separate"/>
          </w:r>
          <w:r>
            <w:rPr>
              <w:color w:val="auto"/>
            </w:rPr>
            <w:t>2</w:t>
          </w:r>
          <w:r>
            <w:rPr>
              <w:color w:val="auto"/>
            </w:rPr>
            <w:fldChar w:fldCharType="end"/>
          </w:r>
          <w:r>
            <w:rPr>
              <w:color w:val="auto"/>
            </w:rPr>
            <w:fldChar w:fldCharType="end"/>
          </w:r>
        </w:p>
        <w:p w14:paraId="241A885A">
          <w:pPr>
            <w:pStyle w:val="18"/>
            <w:tabs>
              <w:tab w:val="right" w:leader="dot" w:pos="8306"/>
            </w:tabs>
            <w:rPr>
              <w:color w:val="auto"/>
            </w:rPr>
          </w:pPr>
          <w:r>
            <w:rPr>
              <w:color w:val="auto"/>
            </w:rPr>
            <w:fldChar w:fldCharType="begin"/>
          </w:r>
          <w:r>
            <w:rPr>
              <w:color w:val="auto"/>
            </w:rPr>
            <w:instrText xml:space="preserve"> HYPERLINK \l _Toc21127 </w:instrText>
          </w:r>
          <w:r>
            <w:rPr>
              <w:color w:val="auto"/>
            </w:rPr>
            <w:fldChar w:fldCharType="separate"/>
          </w:r>
          <w:r>
            <w:rPr>
              <w:rFonts w:hint="eastAsia" w:ascii="Times New Roman" w:hAnsi="Times New Roman" w:eastAsia="宋体" w:cs="Times New Roman"/>
              <w:bCs/>
              <w:color w:val="auto"/>
              <w:kern w:val="2"/>
              <w:szCs w:val="32"/>
              <w:lang w:val="en-US" w:eastAsia="zh-CN" w:bidi="ar-SA"/>
            </w:rPr>
            <w:t>1.3</w:t>
          </w:r>
          <w:r>
            <w:rPr>
              <w:rFonts w:hint="default" w:ascii="Times New Roman" w:hAnsi="Times New Roman" w:cs="Times New Roman"/>
              <w:color w:val="auto"/>
            </w:rPr>
            <w:t>调查方法</w:t>
          </w:r>
          <w:r>
            <w:rPr>
              <w:color w:val="auto"/>
            </w:rPr>
            <w:tab/>
          </w:r>
          <w:r>
            <w:rPr>
              <w:color w:val="auto"/>
            </w:rPr>
            <w:fldChar w:fldCharType="begin"/>
          </w:r>
          <w:r>
            <w:rPr>
              <w:color w:val="auto"/>
            </w:rPr>
            <w:instrText xml:space="preserve"> PAGEREF _Toc21127 \h </w:instrText>
          </w:r>
          <w:r>
            <w:rPr>
              <w:color w:val="auto"/>
            </w:rPr>
            <w:fldChar w:fldCharType="separate"/>
          </w:r>
          <w:r>
            <w:rPr>
              <w:color w:val="auto"/>
            </w:rPr>
            <w:t>2</w:t>
          </w:r>
          <w:r>
            <w:rPr>
              <w:color w:val="auto"/>
            </w:rPr>
            <w:fldChar w:fldCharType="end"/>
          </w:r>
          <w:r>
            <w:rPr>
              <w:color w:val="auto"/>
            </w:rPr>
            <w:fldChar w:fldCharType="end"/>
          </w:r>
        </w:p>
        <w:p w14:paraId="7F6687DB">
          <w:pPr>
            <w:pStyle w:val="18"/>
            <w:tabs>
              <w:tab w:val="right" w:leader="dot" w:pos="8306"/>
            </w:tabs>
            <w:rPr>
              <w:color w:val="auto"/>
            </w:rPr>
          </w:pPr>
          <w:r>
            <w:rPr>
              <w:color w:val="auto"/>
            </w:rPr>
            <w:fldChar w:fldCharType="begin"/>
          </w:r>
          <w:r>
            <w:rPr>
              <w:color w:val="auto"/>
            </w:rPr>
            <w:instrText xml:space="preserve"> HYPERLINK \l _Toc28708 </w:instrText>
          </w:r>
          <w:r>
            <w:rPr>
              <w:color w:val="auto"/>
            </w:rPr>
            <w:fldChar w:fldCharType="separate"/>
          </w:r>
          <w:r>
            <w:rPr>
              <w:rFonts w:hint="eastAsia" w:ascii="Times New Roman" w:hAnsi="Times New Roman" w:eastAsia="宋体" w:cs="Times New Roman"/>
              <w:bCs/>
              <w:color w:val="auto"/>
              <w:kern w:val="2"/>
              <w:szCs w:val="32"/>
              <w:lang w:val="en-US" w:eastAsia="zh-CN" w:bidi="ar-SA"/>
            </w:rPr>
            <w:t>1.4</w:t>
          </w:r>
          <w:r>
            <w:rPr>
              <w:rFonts w:hint="default" w:ascii="Times New Roman" w:hAnsi="Times New Roman" w:cs="Times New Roman"/>
              <w:color w:val="auto"/>
            </w:rPr>
            <w:t>调查因子、调查范围和验收标准</w:t>
          </w:r>
          <w:r>
            <w:rPr>
              <w:color w:val="auto"/>
            </w:rPr>
            <w:tab/>
          </w:r>
          <w:r>
            <w:rPr>
              <w:color w:val="auto"/>
            </w:rPr>
            <w:fldChar w:fldCharType="begin"/>
          </w:r>
          <w:r>
            <w:rPr>
              <w:color w:val="auto"/>
            </w:rPr>
            <w:instrText xml:space="preserve"> PAGEREF _Toc28708 \h </w:instrText>
          </w:r>
          <w:r>
            <w:rPr>
              <w:color w:val="auto"/>
            </w:rPr>
            <w:fldChar w:fldCharType="separate"/>
          </w:r>
          <w:r>
            <w:rPr>
              <w:color w:val="auto"/>
            </w:rPr>
            <w:t>3</w:t>
          </w:r>
          <w:r>
            <w:rPr>
              <w:color w:val="auto"/>
            </w:rPr>
            <w:fldChar w:fldCharType="end"/>
          </w:r>
          <w:r>
            <w:rPr>
              <w:color w:val="auto"/>
            </w:rPr>
            <w:fldChar w:fldCharType="end"/>
          </w:r>
        </w:p>
        <w:p w14:paraId="4E9FF07E">
          <w:pPr>
            <w:pStyle w:val="18"/>
            <w:tabs>
              <w:tab w:val="right" w:leader="dot" w:pos="8306"/>
            </w:tabs>
            <w:rPr>
              <w:color w:val="auto"/>
            </w:rPr>
          </w:pPr>
          <w:r>
            <w:rPr>
              <w:color w:val="auto"/>
            </w:rPr>
            <w:fldChar w:fldCharType="begin"/>
          </w:r>
          <w:r>
            <w:rPr>
              <w:color w:val="auto"/>
            </w:rPr>
            <w:instrText xml:space="preserve"> HYPERLINK \l _Toc13792 </w:instrText>
          </w:r>
          <w:r>
            <w:rPr>
              <w:color w:val="auto"/>
            </w:rPr>
            <w:fldChar w:fldCharType="separate"/>
          </w:r>
          <w:r>
            <w:rPr>
              <w:rFonts w:hint="eastAsia" w:ascii="Times New Roman" w:hAnsi="Times New Roman" w:eastAsia="宋体" w:cs="Times New Roman"/>
              <w:bCs/>
              <w:color w:val="auto"/>
              <w:kern w:val="2"/>
              <w:szCs w:val="32"/>
              <w:lang w:val="en-US" w:eastAsia="zh-CN" w:bidi="ar-SA"/>
            </w:rPr>
            <w:t>1.5</w:t>
          </w:r>
          <w:r>
            <w:rPr>
              <w:rFonts w:hint="default" w:ascii="Times New Roman" w:hAnsi="Times New Roman" w:cs="Times New Roman"/>
              <w:color w:val="auto"/>
            </w:rPr>
            <w:t>调查重点</w:t>
          </w:r>
          <w:r>
            <w:rPr>
              <w:color w:val="auto"/>
            </w:rPr>
            <w:tab/>
          </w:r>
          <w:r>
            <w:rPr>
              <w:color w:val="auto"/>
            </w:rPr>
            <w:fldChar w:fldCharType="begin"/>
          </w:r>
          <w:r>
            <w:rPr>
              <w:color w:val="auto"/>
            </w:rPr>
            <w:instrText xml:space="preserve"> PAGEREF _Toc13792 \h </w:instrText>
          </w:r>
          <w:r>
            <w:rPr>
              <w:color w:val="auto"/>
            </w:rPr>
            <w:fldChar w:fldCharType="separate"/>
          </w:r>
          <w:r>
            <w:rPr>
              <w:color w:val="auto"/>
            </w:rPr>
            <w:t>8</w:t>
          </w:r>
          <w:r>
            <w:rPr>
              <w:color w:val="auto"/>
            </w:rPr>
            <w:fldChar w:fldCharType="end"/>
          </w:r>
          <w:r>
            <w:rPr>
              <w:color w:val="auto"/>
            </w:rPr>
            <w:fldChar w:fldCharType="end"/>
          </w:r>
        </w:p>
        <w:p w14:paraId="00677C75">
          <w:pPr>
            <w:pStyle w:val="18"/>
            <w:tabs>
              <w:tab w:val="right" w:leader="dot" w:pos="8306"/>
            </w:tabs>
            <w:rPr>
              <w:color w:val="auto"/>
            </w:rPr>
          </w:pPr>
          <w:r>
            <w:rPr>
              <w:color w:val="auto"/>
            </w:rPr>
            <w:fldChar w:fldCharType="begin"/>
          </w:r>
          <w:r>
            <w:rPr>
              <w:color w:val="auto"/>
            </w:rPr>
            <w:instrText xml:space="preserve"> HYPERLINK \l _Toc14695 </w:instrText>
          </w:r>
          <w:r>
            <w:rPr>
              <w:color w:val="auto"/>
            </w:rPr>
            <w:fldChar w:fldCharType="separate"/>
          </w:r>
          <w:r>
            <w:rPr>
              <w:rFonts w:hint="eastAsia" w:ascii="Times New Roman" w:hAnsi="Times New Roman" w:eastAsia="宋体" w:cs="Times New Roman"/>
              <w:bCs/>
              <w:color w:val="auto"/>
              <w:kern w:val="2"/>
              <w:szCs w:val="32"/>
              <w:lang w:val="en-US" w:eastAsia="zh-CN" w:bidi="ar-SA"/>
            </w:rPr>
            <w:t>1.6</w:t>
          </w:r>
          <w:r>
            <w:rPr>
              <w:rFonts w:hint="default" w:ascii="Times New Roman" w:hAnsi="Times New Roman" w:cs="Times New Roman"/>
              <w:color w:val="auto"/>
            </w:rPr>
            <w:t>环境保护目标</w:t>
          </w:r>
          <w:r>
            <w:rPr>
              <w:color w:val="auto"/>
            </w:rPr>
            <w:tab/>
          </w:r>
          <w:r>
            <w:rPr>
              <w:color w:val="auto"/>
            </w:rPr>
            <w:fldChar w:fldCharType="begin"/>
          </w:r>
          <w:r>
            <w:rPr>
              <w:color w:val="auto"/>
            </w:rPr>
            <w:instrText xml:space="preserve"> PAGEREF _Toc14695 \h </w:instrText>
          </w:r>
          <w:r>
            <w:rPr>
              <w:color w:val="auto"/>
            </w:rPr>
            <w:fldChar w:fldCharType="separate"/>
          </w:r>
          <w:r>
            <w:rPr>
              <w:color w:val="auto"/>
            </w:rPr>
            <w:t>9</w:t>
          </w:r>
          <w:r>
            <w:rPr>
              <w:color w:val="auto"/>
            </w:rPr>
            <w:fldChar w:fldCharType="end"/>
          </w:r>
          <w:r>
            <w:rPr>
              <w:color w:val="auto"/>
            </w:rPr>
            <w:fldChar w:fldCharType="end"/>
          </w:r>
        </w:p>
        <w:p w14:paraId="19E50F1B">
          <w:pPr>
            <w:pStyle w:val="18"/>
            <w:tabs>
              <w:tab w:val="right" w:leader="dot" w:pos="8306"/>
            </w:tabs>
            <w:rPr>
              <w:color w:val="auto"/>
            </w:rPr>
          </w:pPr>
          <w:r>
            <w:rPr>
              <w:color w:val="auto"/>
            </w:rPr>
            <w:fldChar w:fldCharType="begin"/>
          </w:r>
          <w:r>
            <w:rPr>
              <w:color w:val="auto"/>
            </w:rPr>
            <w:instrText xml:space="preserve"> HYPERLINK \l _Toc24398 </w:instrText>
          </w:r>
          <w:r>
            <w:rPr>
              <w:color w:val="auto"/>
            </w:rPr>
            <w:fldChar w:fldCharType="separate"/>
          </w:r>
          <w:r>
            <w:rPr>
              <w:rFonts w:hint="eastAsia" w:ascii="Times New Roman" w:hAnsi="Times New Roman" w:eastAsia="宋体" w:cs="Times New Roman"/>
              <w:bCs/>
              <w:color w:val="auto"/>
              <w:kern w:val="2"/>
              <w:szCs w:val="32"/>
              <w:lang w:val="en-US" w:eastAsia="zh-CN" w:bidi="ar-SA"/>
            </w:rPr>
            <w:t>1.7</w:t>
          </w:r>
          <w:r>
            <w:rPr>
              <w:rFonts w:hint="default" w:ascii="Times New Roman" w:hAnsi="Times New Roman" w:cs="Times New Roman"/>
              <w:color w:val="auto"/>
            </w:rPr>
            <w:t>调查工作程序</w:t>
          </w:r>
          <w:r>
            <w:rPr>
              <w:color w:val="auto"/>
            </w:rPr>
            <w:tab/>
          </w:r>
          <w:r>
            <w:rPr>
              <w:color w:val="auto"/>
            </w:rPr>
            <w:fldChar w:fldCharType="begin"/>
          </w:r>
          <w:r>
            <w:rPr>
              <w:color w:val="auto"/>
            </w:rPr>
            <w:instrText xml:space="preserve"> PAGEREF _Toc24398 \h </w:instrText>
          </w:r>
          <w:r>
            <w:rPr>
              <w:color w:val="auto"/>
            </w:rPr>
            <w:fldChar w:fldCharType="separate"/>
          </w:r>
          <w:r>
            <w:rPr>
              <w:color w:val="auto"/>
            </w:rPr>
            <w:t>15</w:t>
          </w:r>
          <w:r>
            <w:rPr>
              <w:color w:val="auto"/>
            </w:rPr>
            <w:fldChar w:fldCharType="end"/>
          </w:r>
          <w:r>
            <w:rPr>
              <w:color w:val="auto"/>
            </w:rPr>
            <w:fldChar w:fldCharType="end"/>
          </w:r>
        </w:p>
        <w:p w14:paraId="0F80DA59">
          <w:pPr>
            <w:pStyle w:val="16"/>
            <w:tabs>
              <w:tab w:val="right" w:leader="dot" w:pos="8306"/>
            </w:tabs>
            <w:rPr>
              <w:color w:val="auto"/>
            </w:rPr>
          </w:pPr>
          <w:r>
            <w:rPr>
              <w:color w:val="auto"/>
            </w:rPr>
            <w:fldChar w:fldCharType="begin"/>
          </w:r>
          <w:r>
            <w:rPr>
              <w:color w:val="auto"/>
            </w:rPr>
            <w:instrText xml:space="preserve"> HYPERLINK \l _Toc4116 </w:instrText>
          </w:r>
          <w:r>
            <w:rPr>
              <w:color w:val="auto"/>
            </w:rPr>
            <w:fldChar w:fldCharType="separate"/>
          </w:r>
          <w:r>
            <w:rPr>
              <w:rFonts w:hint="eastAsia" w:ascii="Times New Roman" w:hAnsi="Times New Roman" w:eastAsia="宋体" w:cs="Times New Roman"/>
              <w:color w:val="auto"/>
              <w:szCs w:val="36"/>
              <w:lang w:val="en-US" w:eastAsia="zh-CN"/>
            </w:rPr>
            <w:t>2.</w:t>
          </w:r>
          <w:r>
            <w:rPr>
              <w:rFonts w:hint="default" w:ascii="Times New Roman" w:hAnsi="Times New Roman" w:eastAsia="宋体" w:cs="Times New Roman"/>
              <w:color w:val="auto"/>
              <w:szCs w:val="36"/>
            </w:rPr>
            <w:t>工程建设概况</w:t>
          </w:r>
          <w:r>
            <w:rPr>
              <w:color w:val="auto"/>
            </w:rPr>
            <w:tab/>
          </w:r>
          <w:r>
            <w:rPr>
              <w:color w:val="auto"/>
            </w:rPr>
            <w:fldChar w:fldCharType="begin"/>
          </w:r>
          <w:r>
            <w:rPr>
              <w:color w:val="auto"/>
            </w:rPr>
            <w:instrText xml:space="preserve"> PAGEREF _Toc4116 \h </w:instrText>
          </w:r>
          <w:r>
            <w:rPr>
              <w:color w:val="auto"/>
            </w:rPr>
            <w:fldChar w:fldCharType="separate"/>
          </w:r>
          <w:r>
            <w:rPr>
              <w:color w:val="auto"/>
            </w:rPr>
            <w:t>16</w:t>
          </w:r>
          <w:r>
            <w:rPr>
              <w:color w:val="auto"/>
            </w:rPr>
            <w:fldChar w:fldCharType="end"/>
          </w:r>
          <w:r>
            <w:rPr>
              <w:color w:val="auto"/>
            </w:rPr>
            <w:fldChar w:fldCharType="end"/>
          </w:r>
        </w:p>
        <w:p w14:paraId="138C7956">
          <w:pPr>
            <w:pStyle w:val="18"/>
            <w:tabs>
              <w:tab w:val="right" w:leader="dot" w:pos="8306"/>
            </w:tabs>
            <w:rPr>
              <w:color w:val="auto"/>
            </w:rPr>
          </w:pPr>
          <w:r>
            <w:rPr>
              <w:color w:val="auto"/>
            </w:rPr>
            <w:fldChar w:fldCharType="begin"/>
          </w:r>
          <w:r>
            <w:rPr>
              <w:color w:val="auto"/>
            </w:rPr>
            <w:instrText xml:space="preserve"> HYPERLINK \l _Toc14975 </w:instrText>
          </w:r>
          <w:r>
            <w:rPr>
              <w:color w:val="auto"/>
            </w:rPr>
            <w:fldChar w:fldCharType="separate"/>
          </w:r>
          <w:r>
            <w:rPr>
              <w:rFonts w:hint="default" w:ascii="Times New Roman" w:hAnsi="Times New Roman" w:eastAsia="宋体" w:cs="Times New Roman"/>
              <w:color w:val="auto"/>
            </w:rPr>
            <w:t>2.1 建设过程回顾</w:t>
          </w:r>
          <w:r>
            <w:rPr>
              <w:color w:val="auto"/>
            </w:rPr>
            <w:tab/>
          </w:r>
          <w:r>
            <w:rPr>
              <w:color w:val="auto"/>
            </w:rPr>
            <w:fldChar w:fldCharType="begin"/>
          </w:r>
          <w:r>
            <w:rPr>
              <w:color w:val="auto"/>
            </w:rPr>
            <w:instrText xml:space="preserve"> PAGEREF _Toc14975 \h </w:instrText>
          </w:r>
          <w:r>
            <w:rPr>
              <w:color w:val="auto"/>
            </w:rPr>
            <w:fldChar w:fldCharType="separate"/>
          </w:r>
          <w:r>
            <w:rPr>
              <w:color w:val="auto"/>
            </w:rPr>
            <w:t>16</w:t>
          </w:r>
          <w:r>
            <w:rPr>
              <w:color w:val="auto"/>
            </w:rPr>
            <w:fldChar w:fldCharType="end"/>
          </w:r>
          <w:r>
            <w:rPr>
              <w:color w:val="auto"/>
            </w:rPr>
            <w:fldChar w:fldCharType="end"/>
          </w:r>
        </w:p>
        <w:p w14:paraId="4629809F">
          <w:pPr>
            <w:pStyle w:val="18"/>
            <w:tabs>
              <w:tab w:val="right" w:leader="dot" w:pos="8306"/>
            </w:tabs>
            <w:rPr>
              <w:color w:val="auto"/>
            </w:rPr>
          </w:pPr>
          <w:r>
            <w:rPr>
              <w:color w:val="auto"/>
            </w:rPr>
            <w:fldChar w:fldCharType="begin"/>
          </w:r>
          <w:r>
            <w:rPr>
              <w:color w:val="auto"/>
            </w:rPr>
            <w:instrText xml:space="preserve"> HYPERLINK \l _Toc22645 </w:instrText>
          </w:r>
          <w:r>
            <w:rPr>
              <w:color w:val="auto"/>
            </w:rPr>
            <w:fldChar w:fldCharType="separate"/>
          </w:r>
          <w:r>
            <w:rPr>
              <w:rFonts w:hint="default" w:ascii="Times New Roman" w:hAnsi="Times New Roman" w:eastAsia="宋体" w:cs="Times New Roman"/>
              <w:color w:val="auto"/>
            </w:rPr>
            <w:t>2.2 地理位置与路线走向</w:t>
          </w:r>
          <w:r>
            <w:rPr>
              <w:color w:val="auto"/>
            </w:rPr>
            <w:tab/>
          </w:r>
          <w:r>
            <w:rPr>
              <w:color w:val="auto"/>
            </w:rPr>
            <w:fldChar w:fldCharType="begin"/>
          </w:r>
          <w:r>
            <w:rPr>
              <w:color w:val="auto"/>
            </w:rPr>
            <w:instrText xml:space="preserve"> PAGEREF _Toc22645 \h </w:instrText>
          </w:r>
          <w:r>
            <w:rPr>
              <w:color w:val="auto"/>
            </w:rPr>
            <w:fldChar w:fldCharType="separate"/>
          </w:r>
          <w:r>
            <w:rPr>
              <w:color w:val="auto"/>
            </w:rPr>
            <w:t>16</w:t>
          </w:r>
          <w:r>
            <w:rPr>
              <w:color w:val="auto"/>
            </w:rPr>
            <w:fldChar w:fldCharType="end"/>
          </w:r>
          <w:r>
            <w:rPr>
              <w:color w:val="auto"/>
            </w:rPr>
            <w:fldChar w:fldCharType="end"/>
          </w:r>
        </w:p>
        <w:p w14:paraId="4B54A17D">
          <w:pPr>
            <w:pStyle w:val="18"/>
            <w:tabs>
              <w:tab w:val="right" w:leader="dot" w:pos="8306"/>
            </w:tabs>
            <w:rPr>
              <w:color w:val="auto"/>
            </w:rPr>
          </w:pPr>
          <w:r>
            <w:rPr>
              <w:color w:val="auto"/>
            </w:rPr>
            <w:fldChar w:fldCharType="begin"/>
          </w:r>
          <w:r>
            <w:rPr>
              <w:color w:val="auto"/>
            </w:rPr>
            <w:instrText xml:space="preserve"> HYPERLINK \l _Toc27810 </w:instrText>
          </w:r>
          <w:r>
            <w:rPr>
              <w:color w:val="auto"/>
            </w:rPr>
            <w:fldChar w:fldCharType="separate"/>
          </w:r>
          <w:r>
            <w:rPr>
              <w:rFonts w:hint="default" w:ascii="Times New Roman" w:hAnsi="Times New Roman" w:eastAsia="宋体" w:cs="Times New Roman"/>
              <w:color w:val="auto"/>
            </w:rPr>
            <w:t>2.3 工程概况</w:t>
          </w:r>
          <w:r>
            <w:rPr>
              <w:color w:val="auto"/>
            </w:rPr>
            <w:tab/>
          </w:r>
          <w:r>
            <w:rPr>
              <w:color w:val="auto"/>
            </w:rPr>
            <w:fldChar w:fldCharType="begin"/>
          </w:r>
          <w:r>
            <w:rPr>
              <w:color w:val="auto"/>
            </w:rPr>
            <w:instrText xml:space="preserve"> PAGEREF _Toc27810 \h </w:instrText>
          </w:r>
          <w:r>
            <w:rPr>
              <w:color w:val="auto"/>
            </w:rPr>
            <w:fldChar w:fldCharType="separate"/>
          </w:r>
          <w:r>
            <w:rPr>
              <w:color w:val="auto"/>
            </w:rPr>
            <w:t>16</w:t>
          </w:r>
          <w:r>
            <w:rPr>
              <w:color w:val="auto"/>
            </w:rPr>
            <w:fldChar w:fldCharType="end"/>
          </w:r>
          <w:r>
            <w:rPr>
              <w:color w:val="auto"/>
            </w:rPr>
            <w:fldChar w:fldCharType="end"/>
          </w:r>
        </w:p>
        <w:p w14:paraId="4E179878">
          <w:pPr>
            <w:pStyle w:val="18"/>
            <w:tabs>
              <w:tab w:val="right" w:leader="dot" w:pos="8306"/>
            </w:tabs>
            <w:rPr>
              <w:color w:val="auto"/>
            </w:rPr>
          </w:pPr>
          <w:r>
            <w:rPr>
              <w:color w:val="auto"/>
            </w:rPr>
            <w:fldChar w:fldCharType="begin"/>
          </w:r>
          <w:r>
            <w:rPr>
              <w:color w:val="auto"/>
            </w:rPr>
            <w:instrText xml:space="preserve"> HYPERLINK \l _Toc21725 </w:instrText>
          </w:r>
          <w:r>
            <w:rPr>
              <w:color w:val="auto"/>
            </w:rPr>
            <w:fldChar w:fldCharType="separate"/>
          </w:r>
          <w:r>
            <w:rPr>
              <w:rFonts w:hint="default" w:ascii="Times New Roman" w:hAnsi="Times New Roman" w:eastAsia="宋体" w:cs="Times New Roman"/>
              <w:color w:val="auto"/>
            </w:rPr>
            <w:t>2.4 工程变化情况</w:t>
          </w:r>
          <w:r>
            <w:rPr>
              <w:color w:val="auto"/>
            </w:rPr>
            <w:tab/>
          </w:r>
          <w:r>
            <w:rPr>
              <w:color w:val="auto"/>
            </w:rPr>
            <w:fldChar w:fldCharType="begin"/>
          </w:r>
          <w:r>
            <w:rPr>
              <w:color w:val="auto"/>
            </w:rPr>
            <w:instrText xml:space="preserve"> PAGEREF _Toc21725 \h </w:instrText>
          </w:r>
          <w:r>
            <w:rPr>
              <w:color w:val="auto"/>
            </w:rPr>
            <w:fldChar w:fldCharType="separate"/>
          </w:r>
          <w:r>
            <w:rPr>
              <w:color w:val="auto"/>
            </w:rPr>
            <w:t>35</w:t>
          </w:r>
          <w:r>
            <w:rPr>
              <w:color w:val="auto"/>
            </w:rPr>
            <w:fldChar w:fldCharType="end"/>
          </w:r>
          <w:r>
            <w:rPr>
              <w:color w:val="auto"/>
            </w:rPr>
            <w:fldChar w:fldCharType="end"/>
          </w:r>
        </w:p>
        <w:p w14:paraId="35E5CD4E">
          <w:pPr>
            <w:pStyle w:val="18"/>
            <w:tabs>
              <w:tab w:val="right" w:leader="dot" w:pos="8306"/>
            </w:tabs>
            <w:rPr>
              <w:color w:val="auto"/>
            </w:rPr>
          </w:pPr>
          <w:r>
            <w:rPr>
              <w:color w:val="auto"/>
            </w:rPr>
            <w:fldChar w:fldCharType="begin"/>
          </w:r>
          <w:r>
            <w:rPr>
              <w:color w:val="auto"/>
            </w:rPr>
            <w:instrText xml:space="preserve"> HYPERLINK \l _Toc8467 </w:instrText>
          </w:r>
          <w:r>
            <w:rPr>
              <w:color w:val="auto"/>
            </w:rPr>
            <w:fldChar w:fldCharType="separate"/>
          </w:r>
          <w:r>
            <w:rPr>
              <w:rFonts w:hint="eastAsia" w:ascii="Times New Roman" w:hAnsi="Times New Roman" w:cs="Times New Roman"/>
              <w:bCs/>
              <w:color w:val="auto"/>
              <w:kern w:val="2"/>
              <w:szCs w:val="32"/>
              <w:lang w:val="en-US" w:eastAsia="zh-CN" w:bidi="ar-SA"/>
            </w:rPr>
            <w:t>2.5</w:t>
          </w:r>
          <w:r>
            <w:rPr>
              <w:rFonts w:hint="default" w:ascii="Times New Roman" w:hAnsi="Times New Roman" w:cs="Times New Roman"/>
              <w:color w:val="auto"/>
            </w:rPr>
            <w:t>工程交通量</w:t>
          </w:r>
          <w:r>
            <w:rPr>
              <w:color w:val="auto"/>
            </w:rPr>
            <w:tab/>
          </w:r>
          <w:r>
            <w:rPr>
              <w:color w:val="auto"/>
            </w:rPr>
            <w:fldChar w:fldCharType="begin"/>
          </w:r>
          <w:r>
            <w:rPr>
              <w:color w:val="auto"/>
            </w:rPr>
            <w:instrText xml:space="preserve"> PAGEREF _Toc8467 \h </w:instrText>
          </w:r>
          <w:r>
            <w:rPr>
              <w:color w:val="auto"/>
            </w:rPr>
            <w:fldChar w:fldCharType="separate"/>
          </w:r>
          <w:r>
            <w:rPr>
              <w:color w:val="auto"/>
            </w:rPr>
            <w:t>39</w:t>
          </w:r>
          <w:r>
            <w:rPr>
              <w:color w:val="auto"/>
            </w:rPr>
            <w:fldChar w:fldCharType="end"/>
          </w:r>
          <w:r>
            <w:rPr>
              <w:color w:val="auto"/>
            </w:rPr>
            <w:fldChar w:fldCharType="end"/>
          </w:r>
        </w:p>
        <w:p w14:paraId="6AD8E236">
          <w:pPr>
            <w:pStyle w:val="18"/>
            <w:tabs>
              <w:tab w:val="right" w:leader="dot" w:pos="8306"/>
            </w:tabs>
            <w:rPr>
              <w:color w:val="auto"/>
            </w:rPr>
          </w:pPr>
          <w:r>
            <w:rPr>
              <w:color w:val="auto"/>
            </w:rPr>
            <w:fldChar w:fldCharType="begin"/>
          </w:r>
          <w:r>
            <w:rPr>
              <w:color w:val="auto"/>
            </w:rPr>
            <w:instrText xml:space="preserve"> HYPERLINK \l _Toc5165 </w:instrText>
          </w:r>
          <w:r>
            <w:rPr>
              <w:color w:val="auto"/>
            </w:rPr>
            <w:fldChar w:fldCharType="separate"/>
          </w:r>
          <w:r>
            <w:rPr>
              <w:rFonts w:hint="eastAsia" w:ascii="Times New Roman" w:hAnsi="Times New Roman" w:cs="Times New Roman"/>
              <w:bCs/>
              <w:color w:val="auto"/>
              <w:kern w:val="2"/>
              <w:szCs w:val="32"/>
              <w:lang w:val="en-US" w:eastAsia="zh-CN" w:bidi="ar-SA"/>
            </w:rPr>
            <w:t>2.6</w:t>
          </w:r>
          <w:r>
            <w:rPr>
              <w:rFonts w:hint="default" w:ascii="Times New Roman" w:hAnsi="Times New Roman" w:cs="Times New Roman"/>
              <w:color w:val="auto"/>
            </w:rPr>
            <w:t>环保投资</w:t>
          </w:r>
          <w:r>
            <w:rPr>
              <w:color w:val="auto"/>
            </w:rPr>
            <w:tab/>
          </w:r>
          <w:r>
            <w:rPr>
              <w:color w:val="auto"/>
            </w:rPr>
            <w:fldChar w:fldCharType="begin"/>
          </w:r>
          <w:r>
            <w:rPr>
              <w:color w:val="auto"/>
            </w:rPr>
            <w:instrText xml:space="preserve"> PAGEREF _Toc5165 \h </w:instrText>
          </w:r>
          <w:r>
            <w:rPr>
              <w:color w:val="auto"/>
            </w:rPr>
            <w:fldChar w:fldCharType="separate"/>
          </w:r>
          <w:r>
            <w:rPr>
              <w:color w:val="auto"/>
            </w:rPr>
            <w:t>39</w:t>
          </w:r>
          <w:r>
            <w:rPr>
              <w:color w:val="auto"/>
            </w:rPr>
            <w:fldChar w:fldCharType="end"/>
          </w:r>
          <w:r>
            <w:rPr>
              <w:color w:val="auto"/>
            </w:rPr>
            <w:fldChar w:fldCharType="end"/>
          </w:r>
        </w:p>
        <w:p w14:paraId="124D33D8">
          <w:pPr>
            <w:pStyle w:val="16"/>
            <w:tabs>
              <w:tab w:val="right" w:leader="dot" w:pos="8306"/>
            </w:tabs>
            <w:rPr>
              <w:color w:val="auto"/>
            </w:rPr>
          </w:pPr>
          <w:r>
            <w:rPr>
              <w:color w:val="auto"/>
            </w:rPr>
            <w:fldChar w:fldCharType="begin"/>
          </w:r>
          <w:r>
            <w:rPr>
              <w:color w:val="auto"/>
            </w:rPr>
            <w:instrText xml:space="preserve"> HYPERLINK \l _Toc16478 </w:instrText>
          </w:r>
          <w:r>
            <w:rPr>
              <w:color w:val="auto"/>
            </w:rPr>
            <w:fldChar w:fldCharType="separate"/>
          </w:r>
          <w:r>
            <w:rPr>
              <w:rFonts w:hint="eastAsia" w:ascii="Times New Roman" w:hAnsi="Times New Roman" w:eastAsia="宋体" w:cs="Times New Roman"/>
              <w:color w:val="auto"/>
              <w:szCs w:val="36"/>
              <w:lang w:val="en-US" w:eastAsia="zh-CN"/>
            </w:rPr>
            <w:t>3 环境影响报告书回顾​</w:t>
          </w:r>
          <w:r>
            <w:rPr>
              <w:color w:val="auto"/>
            </w:rPr>
            <w:tab/>
          </w:r>
          <w:r>
            <w:rPr>
              <w:color w:val="auto"/>
            </w:rPr>
            <w:fldChar w:fldCharType="begin"/>
          </w:r>
          <w:r>
            <w:rPr>
              <w:color w:val="auto"/>
            </w:rPr>
            <w:instrText xml:space="preserve"> PAGEREF _Toc16478 \h </w:instrText>
          </w:r>
          <w:r>
            <w:rPr>
              <w:color w:val="auto"/>
            </w:rPr>
            <w:fldChar w:fldCharType="separate"/>
          </w:r>
          <w:r>
            <w:rPr>
              <w:color w:val="auto"/>
            </w:rPr>
            <w:t>43</w:t>
          </w:r>
          <w:r>
            <w:rPr>
              <w:color w:val="auto"/>
            </w:rPr>
            <w:fldChar w:fldCharType="end"/>
          </w:r>
          <w:r>
            <w:rPr>
              <w:color w:val="auto"/>
            </w:rPr>
            <w:fldChar w:fldCharType="end"/>
          </w:r>
        </w:p>
        <w:p w14:paraId="186B0998">
          <w:pPr>
            <w:pStyle w:val="18"/>
            <w:tabs>
              <w:tab w:val="right" w:leader="dot" w:pos="8306"/>
            </w:tabs>
            <w:rPr>
              <w:color w:val="auto"/>
            </w:rPr>
          </w:pPr>
          <w:r>
            <w:rPr>
              <w:color w:val="auto"/>
            </w:rPr>
            <w:fldChar w:fldCharType="begin"/>
          </w:r>
          <w:r>
            <w:rPr>
              <w:color w:val="auto"/>
            </w:rPr>
            <w:instrText xml:space="preserve"> HYPERLINK \l _Toc17729 </w:instrText>
          </w:r>
          <w:r>
            <w:rPr>
              <w:color w:val="auto"/>
            </w:rPr>
            <w:fldChar w:fldCharType="separate"/>
          </w:r>
          <w:r>
            <w:rPr>
              <w:rFonts w:hint="eastAsia" w:ascii="Times New Roman" w:hAnsi="Times New Roman" w:cs="Times New Roman"/>
              <w:bCs/>
              <w:color w:val="auto"/>
              <w:kern w:val="2"/>
              <w:szCs w:val="32"/>
              <w:lang w:val="en-US" w:eastAsia="zh-CN" w:bidi="ar-SA"/>
            </w:rPr>
            <w:t>3.1 项目环评相关工作情况简述​</w:t>
          </w:r>
          <w:r>
            <w:rPr>
              <w:color w:val="auto"/>
            </w:rPr>
            <w:tab/>
          </w:r>
          <w:r>
            <w:rPr>
              <w:color w:val="auto"/>
            </w:rPr>
            <w:fldChar w:fldCharType="begin"/>
          </w:r>
          <w:r>
            <w:rPr>
              <w:color w:val="auto"/>
            </w:rPr>
            <w:instrText xml:space="preserve"> PAGEREF _Toc17729 \h </w:instrText>
          </w:r>
          <w:r>
            <w:rPr>
              <w:color w:val="auto"/>
            </w:rPr>
            <w:fldChar w:fldCharType="separate"/>
          </w:r>
          <w:r>
            <w:rPr>
              <w:color w:val="auto"/>
            </w:rPr>
            <w:t>43</w:t>
          </w:r>
          <w:r>
            <w:rPr>
              <w:color w:val="auto"/>
            </w:rPr>
            <w:fldChar w:fldCharType="end"/>
          </w:r>
          <w:r>
            <w:rPr>
              <w:color w:val="auto"/>
            </w:rPr>
            <w:fldChar w:fldCharType="end"/>
          </w:r>
        </w:p>
        <w:p w14:paraId="66F51B73">
          <w:pPr>
            <w:pStyle w:val="18"/>
            <w:tabs>
              <w:tab w:val="right" w:leader="dot" w:pos="8306"/>
            </w:tabs>
            <w:rPr>
              <w:color w:val="auto"/>
            </w:rPr>
          </w:pPr>
          <w:r>
            <w:rPr>
              <w:color w:val="auto"/>
            </w:rPr>
            <w:fldChar w:fldCharType="begin"/>
          </w:r>
          <w:r>
            <w:rPr>
              <w:color w:val="auto"/>
            </w:rPr>
            <w:instrText xml:space="preserve"> HYPERLINK \l _Toc3173 </w:instrText>
          </w:r>
          <w:r>
            <w:rPr>
              <w:color w:val="auto"/>
            </w:rPr>
            <w:fldChar w:fldCharType="separate"/>
          </w:r>
          <w:r>
            <w:rPr>
              <w:rFonts w:hint="eastAsia" w:ascii="Times New Roman" w:hAnsi="Times New Roman" w:cs="Times New Roman"/>
              <w:bCs/>
              <w:color w:val="auto"/>
              <w:kern w:val="2"/>
              <w:szCs w:val="32"/>
              <w:lang w:val="en-US" w:eastAsia="zh-CN" w:bidi="ar-SA"/>
            </w:rPr>
            <w:t>3.2</w:t>
          </w:r>
          <w:r>
            <w:rPr>
              <w:rFonts w:hint="default" w:ascii="Times New Roman" w:hAnsi="Times New Roman" w:cs="Times New Roman"/>
              <w:color w:val="auto"/>
            </w:rPr>
            <w:t>环境影响报告书主要内容回顾</w:t>
          </w:r>
          <w:r>
            <w:rPr>
              <w:color w:val="auto"/>
            </w:rPr>
            <w:tab/>
          </w:r>
          <w:r>
            <w:rPr>
              <w:color w:val="auto"/>
            </w:rPr>
            <w:fldChar w:fldCharType="begin"/>
          </w:r>
          <w:r>
            <w:rPr>
              <w:color w:val="auto"/>
            </w:rPr>
            <w:instrText xml:space="preserve"> PAGEREF _Toc3173 \h </w:instrText>
          </w:r>
          <w:r>
            <w:rPr>
              <w:color w:val="auto"/>
            </w:rPr>
            <w:fldChar w:fldCharType="separate"/>
          </w:r>
          <w:r>
            <w:rPr>
              <w:color w:val="auto"/>
            </w:rPr>
            <w:t>43</w:t>
          </w:r>
          <w:r>
            <w:rPr>
              <w:color w:val="auto"/>
            </w:rPr>
            <w:fldChar w:fldCharType="end"/>
          </w:r>
          <w:r>
            <w:rPr>
              <w:color w:val="auto"/>
            </w:rPr>
            <w:fldChar w:fldCharType="end"/>
          </w:r>
        </w:p>
        <w:p w14:paraId="05C26BCD">
          <w:pPr>
            <w:pStyle w:val="18"/>
            <w:tabs>
              <w:tab w:val="right" w:leader="dot" w:pos="8306"/>
            </w:tabs>
            <w:rPr>
              <w:color w:val="auto"/>
            </w:rPr>
          </w:pPr>
          <w:r>
            <w:rPr>
              <w:color w:val="auto"/>
            </w:rPr>
            <w:fldChar w:fldCharType="begin"/>
          </w:r>
          <w:r>
            <w:rPr>
              <w:color w:val="auto"/>
            </w:rPr>
            <w:instrText xml:space="preserve"> HYPERLINK \l _Toc7941 </w:instrText>
          </w:r>
          <w:r>
            <w:rPr>
              <w:color w:val="auto"/>
            </w:rPr>
            <w:fldChar w:fldCharType="separate"/>
          </w:r>
          <w:r>
            <w:rPr>
              <w:rFonts w:hint="eastAsia" w:ascii="Times New Roman" w:hAnsi="Times New Roman" w:eastAsia="宋体" w:cs="Times New Roman"/>
              <w:bCs/>
              <w:color w:val="auto"/>
              <w:kern w:val="2"/>
              <w:szCs w:val="32"/>
              <w:lang w:val="en-US" w:eastAsia="zh-CN" w:bidi="ar-SA"/>
            </w:rPr>
            <w:t>3.3</w:t>
          </w:r>
          <w:r>
            <w:rPr>
              <w:rFonts w:hint="default" w:ascii="Times New Roman" w:hAnsi="Times New Roman" w:eastAsia="宋体" w:cs="Times New Roman"/>
              <w:bCs/>
              <w:color w:val="auto"/>
              <w:kern w:val="2"/>
              <w:szCs w:val="32"/>
              <w:lang w:val="en-US" w:eastAsia="zh-CN" w:bidi="ar-SA"/>
            </w:rPr>
            <w:t>环境影响报告书批复</w:t>
          </w:r>
          <w:r>
            <w:rPr>
              <w:color w:val="auto"/>
            </w:rPr>
            <w:tab/>
          </w:r>
          <w:r>
            <w:rPr>
              <w:color w:val="auto"/>
            </w:rPr>
            <w:fldChar w:fldCharType="begin"/>
          </w:r>
          <w:r>
            <w:rPr>
              <w:color w:val="auto"/>
            </w:rPr>
            <w:instrText xml:space="preserve"> PAGEREF _Toc7941 \h </w:instrText>
          </w:r>
          <w:r>
            <w:rPr>
              <w:color w:val="auto"/>
            </w:rPr>
            <w:fldChar w:fldCharType="separate"/>
          </w:r>
          <w:r>
            <w:rPr>
              <w:color w:val="auto"/>
            </w:rPr>
            <w:t>50</w:t>
          </w:r>
          <w:r>
            <w:rPr>
              <w:color w:val="auto"/>
            </w:rPr>
            <w:fldChar w:fldCharType="end"/>
          </w:r>
          <w:r>
            <w:rPr>
              <w:color w:val="auto"/>
            </w:rPr>
            <w:fldChar w:fldCharType="end"/>
          </w:r>
        </w:p>
        <w:p w14:paraId="376A409C">
          <w:pPr>
            <w:pStyle w:val="16"/>
            <w:tabs>
              <w:tab w:val="right" w:leader="dot" w:pos="8306"/>
            </w:tabs>
            <w:rPr>
              <w:color w:val="auto"/>
            </w:rPr>
          </w:pPr>
          <w:r>
            <w:rPr>
              <w:color w:val="auto"/>
            </w:rPr>
            <w:fldChar w:fldCharType="begin"/>
          </w:r>
          <w:r>
            <w:rPr>
              <w:color w:val="auto"/>
            </w:rPr>
            <w:instrText xml:space="preserve"> HYPERLINK \l _Toc12974 </w:instrText>
          </w:r>
          <w:r>
            <w:rPr>
              <w:color w:val="auto"/>
            </w:rPr>
            <w:fldChar w:fldCharType="separate"/>
          </w:r>
          <w:r>
            <w:rPr>
              <w:rFonts w:hint="eastAsia" w:ascii="Times New Roman" w:hAnsi="Times New Roman" w:eastAsia="宋体" w:cs="Times New Roman"/>
              <w:color w:val="auto"/>
              <w:szCs w:val="36"/>
              <w:lang w:val="en-US" w:eastAsia="zh-CN"/>
            </w:rPr>
            <w:t>4 环境保护措施落实情况调查​</w:t>
          </w:r>
          <w:r>
            <w:rPr>
              <w:color w:val="auto"/>
            </w:rPr>
            <w:tab/>
          </w:r>
          <w:r>
            <w:rPr>
              <w:color w:val="auto"/>
            </w:rPr>
            <w:fldChar w:fldCharType="begin"/>
          </w:r>
          <w:r>
            <w:rPr>
              <w:color w:val="auto"/>
            </w:rPr>
            <w:instrText xml:space="preserve"> PAGEREF _Toc12974 \h </w:instrText>
          </w:r>
          <w:r>
            <w:rPr>
              <w:color w:val="auto"/>
            </w:rPr>
            <w:fldChar w:fldCharType="separate"/>
          </w:r>
          <w:r>
            <w:rPr>
              <w:color w:val="auto"/>
            </w:rPr>
            <w:t>53</w:t>
          </w:r>
          <w:r>
            <w:rPr>
              <w:color w:val="auto"/>
            </w:rPr>
            <w:fldChar w:fldCharType="end"/>
          </w:r>
          <w:r>
            <w:rPr>
              <w:color w:val="auto"/>
            </w:rPr>
            <w:fldChar w:fldCharType="end"/>
          </w:r>
        </w:p>
        <w:p w14:paraId="4ECD9CD0">
          <w:pPr>
            <w:pStyle w:val="18"/>
            <w:tabs>
              <w:tab w:val="right" w:leader="dot" w:pos="8306"/>
            </w:tabs>
            <w:rPr>
              <w:color w:val="auto"/>
            </w:rPr>
          </w:pPr>
          <w:r>
            <w:rPr>
              <w:color w:val="auto"/>
            </w:rPr>
            <w:fldChar w:fldCharType="begin"/>
          </w:r>
          <w:r>
            <w:rPr>
              <w:color w:val="auto"/>
            </w:rPr>
            <w:instrText xml:space="preserve"> HYPERLINK \l _Toc18954 </w:instrText>
          </w:r>
          <w:r>
            <w:rPr>
              <w:color w:val="auto"/>
            </w:rPr>
            <w:fldChar w:fldCharType="separate"/>
          </w:r>
          <w:r>
            <w:rPr>
              <w:rFonts w:hint="eastAsia" w:ascii="Times New Roman" w:hAnsi="Times New Roman" w:cs="Times New Roman"/>
              <w:bCs/>
              <w:color w:val="auto"/>
              <w:kern w:val="2"/>
              <w:szCs w:val="32"/>
              <w:lang w:val="en-US" w:eastAsia="zh-CN" w:bidi="ar-SA"/>
            </w:rPr>
            <w:t>4.1</w:t>
          </w:r>
          <w:r>
            <w:rPr>
              <w:rFonts w:hint="default" w:ascii="Times New Roman" w:hAnsi="Times New Roman" w:cs="Times New Roman"/>
              <w:color w:val="auto"/>
            </w:rPr>
            <w:t>环评阶段环境保护措施落实情况调查</w:t>
          </w:r>
          <w:r>
            <w:rPr>
              <w:color w:val="auto"/>
            </w:rPr>
            <w:tab/>
          </w:r>
          <w:r>
            <w:rPr>
              <w:color w:val="auto"/>
            </w:rPr>
            <w:fldChar w:fldCharType="begin"/>
          </w:r>
          <w:r>
            <w:rPr>
              <w:color w:val="auto"/>
            </w:rPr>
            <w:instrText xml:space="preserve"> PAGEREF _Toc18954 \h </w:instrText>
          </w:r>
          <w:r>
            <w:rPr>
              <w:color w:val="auto"/>
            </w:rPr>
            <w:fldChar w:fldCharType="separate"/>
          </w:r>
          <w:r>
            <w:rPr>
              <w:color w:val="auto"/>
            </w:rPr>
            <w:t>53</w:t>
          </w:r>
          <w:r>
            <w:rPr>
              <w:color w:val="auto"/>
            </w:rPr>
            <w:fldChar w:fldCharType="end"/>
          </w:r>
          <w:r>
            <w:rPr>
              <w:color w:val="auto"/>
            </w:rPr>
            <w:fldChar w:fldCharType="end"/>
          </w:r>
        </w:p>
        <w:p w14:paraId="10363E0E">
          <w:pPr>
            <w:pStyle w:val="16"/>
            <w:tabs>
              <w:tab w:val="right" w:leader="dot" w:pos="8306"/>
            </w:tabs>
            <w:rPr>
              <w:color w:val="auto"/>
            </w:rPr>
          </w:pPr>
          <w:r>
            <w:rPr>
              <w:color w:val="auto"/>
            </w:rPr>
            <w:fldChar w:fldCharType="begin"/>
          </w:r>
          <w:r>
            <w:rPr>
              <w:color w:val="auto"/>
            </w:rPr>
            <w:instrText xml:space="preserve"> HYPERLINK \l _Toc11809 </w:instrText>
          </w:r>
          <w:r>
            <w:rPr>
              <w:color w:val="auto"/>
            </w:rPr>
            <w:fldChar w:fldCharType="separate"/>
          </w:r>
          <w:r>
            <w:rPr>
              <w:rFonts w:hint="eastAsia" w:ascii="Times New Roman" w:hAnsi="Times New Roman" w:eastAsia="宋体" w:cs="Times New Roman"/>
              <w:color w:val="auto"/>
              <w:szCs w:val="36"/>
              <w:lang w:val="en-US" w:eastAsia="zh-CN"/>
            </w:rPr>
            <w:t>5 生态环境影响调查​</w:t>
          </w:r>
          <w:r>
            <w:rPr>
              <w:color w:val="auto"/>
            </w:rPr>
            <w:tab/>
          </w:r>
          <w:r>
            <w:rPr>
              <w:color w:val="auto"/>
            </w:rPr>
            <w:fldChar w:fldCharType="begin"/>
          </w:r>
          <w:r>
            <w:rPr>
              <w:color w:val="auto"/>
            </w:rPr>
            <w:instrText xml:space="preserve"> PAGEREF _Toc11809 \h </w:instrText>
          </w:r>
          <w:r>
            <w:rPr>
              <w:color w:val="auto"/>
            </w:rPr>
            <w:fldChar w:fldCharType="separate"/>
          </w:r>
          <w:r>
            <w:rPr>
              <w:color w:val="auto"/>
            </w:rPr>
            <w:t>59</w:t>
          </w:r>
          <w:r>
            <w:rPr>
              <w:color w:val="auto"/>
            </w:rPr>
            <w:fldChar w:fldCharType="end"/>
          </w:r>
          <w:r>
            <w:rPr>
              <w:color w:val="auto"/>
            </w:rPr>
            <w:fldChar w:fldCharType="end"/>
          </w:r>
        </w:p>
        <w:p w14:paraId="6E32D07E">
          <w:pPr>
            <w:pStyle w:val="18"/>
            <w:tabs>
              <w:tab w:val="right" w:leader="dot" w:pos="8306"/>
            </w:tabs>
            <w:rPr>
              <w:color w:val="auto"/>
            </w:rPr>
          </w:pPr>
          <w:r>
            <w:rPr>
              <w:color w:val="auto"/>
            </w:rPr>
            <w:fldChar w:fldCharType="begin"/>
          </w:r>
          <w:r>
            <w:rPr>
              <w:color w:val="auto"/>
            </w:rPr>
            <w:instrText xml:space="preserve"> HYPERLINK \l _Toc24519 </w:instrText>
          </w:r>
          <w:r>
            <w:rPr>
              <w:color w:val="auto"/>
            </w:rPr>
            <w:fldChar w:fldCharType="separate"/>
          </w:r>
          <w:r>
            <w:rPr>
              <w:rFonts w:hint="eastAsia" w:ascii="Times New Roman" w:hAnsi="Times New Roman" w:cs="Times New Roman"/>
              <w:bCs/>
              <w:color w:val="auto"/>
              <w:kern w:val="2"/>
              <w:szCs w:val="32"/>
              <w:lang w:val="en-US" w:eastAsia="zh-CN" w:bidi="ar-SA"/>
            </w:rPr>
            <w:t>5.1</w:t>
          </w:r>
          <w:r>
            <w:rPr>
              <w:rFonts w:hint="default" w:ascii="Times New Roman" w:hAnsi="Times New Roman" w:cs="Times New Roman"/>
              <w:color w:val="auto"/>
            </w:rPr>
            <w:t>工程建设对陆生植被的影响调查</w:t>
          </w:r>
          <w:r>
            <w:rPr>
              <w:color w:val="auto"/>
            </w:rPr>
            <w:tab/>
          </w:r>
          <w:r>
            <w:rPr>
              <w:color w:val="auto"/>
            </w:rPr>
            <w:fldChar w:fldCharType="begin"/>
          </w:r>
          <w:r>
            <w:rPr>
              <w:color w:val="auto"/>
            </w:rPr>
            <w:instrText xml:space="preserve"> PAGEREF _Toc24519 \h </w:instrText>
          </w:r>
          <w:r>
            <w:rPr>
              <w:color w:val="auto"/>
            </w:rPr>
            <w:fldChar w:fldCharType="separate"/>
          </w:r>
          <w:r>
            <w:rPr>
              <w:color w:val="auto"/>
            </w:rPr>
            <w:t>59</w:t>
          </w:r>
          <w:r>
            <w:rPr>
              <w:color w:val="auto"/>
            </w:rPr>
            <w:fldChar w:fldCharType="end"/>
          </w:r>
          <w:r>
            <w:rPr>
              <w:color w:val="auto"/>
            </w:rPr>
            <w:fldChar w:fldCharType="end"/>
          </w:r>
        </w:p>
        <w:p w14:paraId="4CE08AF7">
          <w:pPr>
            <w:pStyle w:val="18"/>
            <w:tabs>
              <w:tab w:val="right" w:leader="dot" w:pos="8306"/>
            </w:tabs>
            <w:rPr>
              <w:color w:val="auto"/>
            </w:rPr>
          </w:pPr>
          <w:r>
            <w:rPr>
              <w:color w:val="auto"/>
            </w:rPr>
            <w:fldChar w:fldCharType="begin"/>
          </w:r>
          <w:r>
            <w:rPr>
              <w:color w:val="auto"/>
            </w:rPr>
            <w:instrText xml:space="preserve"> HYPERLINK \l _Toc23491 </w:instrText>
          </w:r>
          <w:r>
            <w:rPr>
              <w:color w:val="auto"/>
            </w:rPr>
            <w:fldChar w:fldCharType="separate"/>
          </w:r>
          <w:r>
            <w:rPr>
              <w:rFonts w:hint="eastAsia" w:ascii="Times New Roman" w:hAnsi="Times New Roman" w:cs="Times New Roman"/>
              <w:bCs/>
              <w:color w:val="auto"/>
              <w:kern w:val="2"/>
              <w:szCs w:val="32"/>
              <w:lang w:val="en-US" w:eastAsia="zh-CN" w:bidi="ar-SA"/>
            </w:rPr>
            <w:t>5.2</w:t>
          </w:r>
          <w:r>
            <w:rPr>
              <w:rFonts w:hint="default" w:ascii="Times New Roman" w:hAnsi="Times New Roman" w:cs="Times New Roman"/>
              <w:color w:val="auto"/>
            </w:rPr>
            <w:t>工程建设对陆生动物的影响调查</w:t>
          </w:r>
          <w:r>
            <w:rPr>
              <w:color w:val="auto"/>
            </w:rPr>
            <w:tab/>
          </w:r>
          <w:r>
            <w:rPr>
              <w:color w:val="auto"/>
            </w:rPr>
            <w:fldChar w:fldCharType="begin"/>
          </w:r>
          <w:r>
            <w:rPr>
              <w:color w:val="auto"/>
            </w:rPr>
            <w:instrText xml:space="preserve"> PAGEREF _Toc23491 \h </w:instrText>
          </w:r>
          <w:r>
            <w:rPr>
              <w:color w:val="auto"/>
            </w:rPr>
            <w:fldChar w:fldCharType="separate"/>
          </w:r>
          <w:r>
            <w:rPr>
              <w:color w:val="auto"/>
            </w:rPr>
            <w:t>66</w:t>
          </w:r>
          <w:r>
            <w:rPr>
              <w:color w:val="auto"/>
            </w:rPr>
            <w:fldChar w:fldCharType="end"/>
          </w:r>
          <w:r>
            <w:rPr>
              <w:color w:val="auto"/>
            </w:rPr>
            <w:fldChar w:fldCharType="end"/>
          </w:r>
        </w:p>
        <w:p w14:paraId="728609E2">
          <w:pPr>
            <w:pStyle w:val="18"/>
            <w:tabs>
              <w:tab w:val="right" w:leader="dot" w:pos="8306"/>
            </w:tabs>
            <w:rPr>
              <w:color w:val="auto"/>
            </w:rPr>
          </w:pPr>
          <w:r>
            <w:rPr>
              <w:color w:val="auto"/>
            </w:rPr>
            <w:fldChar w:fldCharType="begin"/>
          </w:r>
          <w:r>
            <w:rPr>
              <w:color w:val="auto"/>
            </w:rPr>
            <w:instrText xml:space="preserve"> HYPERLINK \l _Toc29939 </w:instrText>
          </w:r>
          <w:r>
            <w:rPr>
              <w:color w:val="auto"/>
            </w:rPr>
            <w:fldChar w:fldCharType="separate"/>
          </w:r>
          <w:r>
            <w:rPr>
              <w:rFonts w:hint="eastAsia" w:ascii="Times New Roman" w:hAnsi="Times New Roman" w:cs="Times New Roman"/>
              <w:bCs/>
              <w:color w:val="auto"/>
              <w:kern w:val="2"/>
              <w:szCs w:val="32"/>
              <w:lang w:val="en-US" w:eastAsia="zh-CN" w:bidi="ar-SA"/>
            </w:rPr>
            <w:t>5.3</w:t>
          </w:r>
          <w:r>
            <w:rPr>
              <w:rFonts w:hint="default" w:ascii="Times New Roman" w:hAnsi="Times New Roman" w:cs="Times New Roman"/>
              <w:color w:val="auto"/>
            </w:rPr>
            <w:t>工程建设对水生生态的影响调查</w:t>
          </w:r>
          <w:r>
            <w:rPr>
              <w:color w:val="auto"/>
            </w:rPr>
            <w:tab/>
          </w:r>
          <w:r>
            <w:rPr>
              <w:color w:val="auto"/>
            </w:rPr>
            <w:fldChar w:fldCharType="begin"/>
          </w:r>
          <w:r>
            <w:rPr>
              <w:color w:val="auto"/>
            </w:rPr>
            <w:instrText xml:space="preserve"> PAGEREF _Toc29939 \h </w:instrText>
          </w:r>
          <w:r>
            <w:rPr>
              <w:color w:val="auto"/>
            </w:rPr>
            <w:fldChar w:fldCharType="separate"/>
          </w:r>
          <w:r>
            <w:rPr>
              <w:color w:val="auto"/>
            </w:rPr>
            <w:t>68</w:t>
          </w:r>
          <w:r>
            <w:rPr>
              <w:color w:val="auto"/>
            </w:rPr>
            <w:fldChar w:fldCharType="end"/>
          </w:r>
          <w:r>
            <w:rPr>
              <w:color w:val="auto"/>
            </w:rPr>
            <w:fldChar w:fldCharType="end"/>
          </w:r>
        </w:p>
        <w:p w14:paraId="398057A4">
          <w:pPr>
            <w:pStyle w:val="18"/>
            <w:tabs>
              <w:tab w:val="right" w:leader="dot" w:pos="8306"/>
            </w:tabs>
            <w:rPr>
              <w:color w:val="auto"/>
            </w:rPr>
          </w:pPr>
          <w:r>
            <w:rPr>
              <w:color w:val="auto"/>
            </w:rPr>
            <w:fldChar w:fldCharType="begin"/>
          </w:r>
          <w:r>
            <w:rPr>
              <w:color w:val="auto"/>
            </w:rPr>
            <w:instrText xml:space="preserve"> HYPERLINK \l _Toc556 </w:instrText>
          </w:r>
          <w:r>
            <w:rPr>
              <w:color w:val="auto"/>
            </w:rPr>
            <w:fldChar w:fldCharType="separate"/>
          </w:r>
          <w:r>
            <w:rPr>
              <w:rFonts w:hint="eastAsia" w:ascii="Times New Roman" w:hAnsi="Times New Roman" w:cs="Times New Roman"/>
              <w:bCs/>
              <w:color w:val="auto"/>
              <w:kern w:val="2"/>
              <w:szCs w:val="32"/>
              <w:lang w:val="en-US" w:eastAsia="zh-CN" w:bidi="ar-SA"/>
            </w:rPr>
            <w:t>5.4</w:t>
          </w:r>
          <w:r>
            <w:rPr>
              <w:rFonts w:hint="default" w:ascii="Times New Roman" w:hAnsi="Times New Roman" w:cs="Times New Roman"/>
              <w:color w:val="auto"/>
            </w:rPr>
            <w:t>工程占地对生态环境影响调查</w:t>
          </w:r>
          <w:r>
            <w:rPr>
              <w:color w:val="auto"/>
            </w:rPr>
            <w:tab/>
          </w:r>
          <w:r>
            <w:rPr>
              <w:color w:val="auto"/>
            </w:rPr>
            <w:fldChar w:fldCharType="begin"/>
          </w:r>
          <w:r>
            <w:rPr>
              <w:color w:val="auto"/>
            </w:rPr>
            <w:instrText xml:space="preserve"> PAGEREF _Toc556 \h </w:instrText>
          </w:r>
          <w:r>
            <w:rPr>
              <w:color w:val="auto"/>
            </w:rPr>
            <w:fldChar w:fldCharType="separate"/>
          </w:r>
          <w:r>
            <w:rPr>
              <w:color w:val="auto"/>
            </w:rPr>
            <w:t>69</w:t>
          </w:r>
          <w:r>
            <w:rPr>
              <w:color w:val="auto"/>
            </w:rPr>
            <w:fldChar w:fldCharType="end"/>
          </w:r>
          <w:r>
            <w:rPr>
              <w:color w:val="auto"/>
            </w:rPr>
            <w:fldChar w:fldCharType="end"/>
          </w:r>
        </w:p>
        <w:p w14:paraId="47D3D153">
          <w:pPr>
            <w:pStyle w:val="18"/>
            <w:tabs>
              <w:tab w:val="right" w:leader="dot" w:pos="8306"/>
            </w:tabs>
            <w:rPr>
              <w:color w:val="auto"/>
            </w:rPr>
          </w:pPr>
          <w:r>
            <w:rPr>
              <w:color w:val="auto"/>
            </w:rPr>
            <w:fldChar w:fldCharType="begin"/>
          </w:r>
          <w:r>
            <w:rPr>
              <w:color w:val="auto"/>
            </w:rPr>
            <w:instrText xml:space="preserve"> HYPERLINK \l _Toc3990 </w:instrText>
          </w:r>
          <w:r>
            <w:rPr>
              <w:color w:val="auto"/>
            </w:rPr>
            <w:fldChar w:fldCharType="separate"/>
          </w:r>
          <w:r>
            <w:rPr>
              <w:rFonts w:hint="eastAsia" w:ascii="Times New Roman" w:hAnsi="Times New Roman" w:cs="Times New Roman"/>
              <w:bCs/>
              <w:color w:val="auto"/>
              <w:kern w:val="2"/>
              <w:szCs w:val="32"/>
              <w:lang w:val="en-US" w:eastAsia="zh-CN" w:bidi="ar-SA"/>
            </w:rPr>
            <w:t>5.5</w:t>
          </w:r>
          <w:r>
            <w:rPr>
              <w:rFonts w:hint="default" w:ascii="Times New Roman" w:hAnsi="Times New Roman" w:cs="Times New Roman"/>
              <w:color w:val="auto"/>
            </w:rPr>
            <w:t>临时工程对生态环境影响调查</w:t>
          </w:r>
          <w:r>
            <w:rPr>
              <w:color w:val="auto"/>
            </w:rPr>
            <w:tab/>
          </w:r>
          <w:r>
            <w:rPr>
              <w:color w:val="auto"/>
            </w:rPr>
            <w:fldChar w:fldCharType="begin"/>
          </w:r>
          <w:r>
            <w:rPr>
              <w:color w:val="auto"/>
            </w:rPr>
            <w:instrText xml:space="preserve"> PAGEREF _Toc3990 \h </w:instrText>
          </w:r>
          <w:r>
            <w:rPr>
              <w:color w:val="auto"/>
            </w:rPr>
            <w:fldChar w:fldCharType="separate"/>
          </w:r>
          <w:r>
            <w:rPr>
              <w:color w:val="auto"/>
            </w:rPr>
            <w:t>70</w:t>
          </w:r>
          <w:r>
            <w:rPr>
              <w:color w:val="auto"/>
            </w:rPr>
            <w:fldChar w:fldCharType="end"/>
          </w:r>
          <w:r>
            <w:rPr>
              <w:color w:val="auto"/>
            </w:rPr>
            <w:fldChar w:fldCharType="end"/>
          </w:r>
        </w:p>
        <w:p w14:paraId="0CE2C768">
          <w:pPr>
            <w:pStyle w:val="18"/>
            <w:tabs>
              <w:tab w:val="right" w:leader="dot" w:pos="8306"/>
            </w:tabs>
            <w:rPr>
              <w:color w:val="auto"/>
            </w:rPr>
          </w:pPr>
          <w:r>
            <w:rPr>
              <w:color w:val="auto"/>
            </w:rPr>
            <w:fldChar w:fldCharType="begin"/>
          </w:r>
          <w:r>
            <w:rPr>
              <w:color w:val="auto"/>
            </w:rPr>
            <w:instrText xml:space="preserve"> HYPERLINK \l _Toc18891 </w:instrText>
          </w:r>
          <w:r>
            <w:rPr>
              <w:color w:val="auto"/>
            </w:rPr>
            <w:fldChar w:fldCharType="separate"/>
          </w:r>
          <w:r>
            <w:rPr>
              <w:rFonts w:hint="eastAsia" w:ascii="Times New Roman" w:hAnsi="Times New Roman" w:cs="Times New Roman"/>
              <w:bCs/>
              <w:color w:val="auto"/>
              <w:kern w:val="2"/>
              <w:szCs w:val="32"/>
              <w:lang w:val="en-US" w:eastAsia="zh-CN" w:bidi="ar-SA"/>
            </w:rPr>
            <w:t>5.6 边坡防护和排水工程调查​</w:t>
          </w:r>
          <w:r>
            <w:rPr>
              <w:color w:val="auto"/>
            </w:rPr>
            <w:tab/>
          </w:r>
          <w:r>
            <w:rPr>
              <w:color w:val="auto"/>
            </w:rPr>
            <w:fldChar w:fldCharType="begin"/>
          </w:r>
          <w:r>
            <w:rPr>
              <w:color w:val="auto"/>
            </w:rPr>
            <w:instrText xml:space="preserve"> PAGEREF _Toc18891 \h </w:instrText>
          </w:r>
          <w:r>
            <w:rPr>
              <w:color w:val="auto"/>
            </w:rPr>
            <w:fldChar w:fldCharType="separate"/>
          </w:r>
          <w:r>
            <w:rPr>
              <w:color w:val="auto"/>
            </w:rPr>
            <w:t>74</w:t>
          </w:r>
          <w:r>
            <w:rPr>
              <w:color w:val="auto"/>
            </w:rPr>
            <w:fldChar w:fldCharType="end"/>
          </w:r>
          <w:r>
            <w:rPr>
              <w:color w:val="auto"/>
            </w:rPr>
            <w:fldChar w:fldCharType="end"/>
          </w:r>
        </w:p>
        <w:p w14:paraId="41FE8AC4">
          <w:pPr>
            <w:pStyle w:val="18"/>
            <w:tabs>
              <w:tab w:val="right" w:leader="dot" w:pos="8306"/>
            </w:tabs>
            <w:rPr>
              <w:color w:val="auto"/>
            </w:rPr>
          </w:pPr>
          <w:r>
            <w:rPr>
              <w:color w:val="auto"/>
            </w:rPr>
            <w:fldChar w:fldCharType="begin"/>
          </w:r>
          <w:r>
            <w:rPr>
              <w:color w:val="auto"/>
            </w:rPr>
            <w:instrText xml:space="preserve"> HYPERLINK \l _Toc11973 </w:instrText>
          </w:r>
          <w:r>
            <w:rPr>
              <w:color w:val="auto"/>
            </w:rPr>
            <w:fldChar w:fldCharType="separate"/>
          </w:r>
          <w:r>
            <w:rPr>
              <w:rFonts w:hint="eastAsia" w:ascii="Times New Roman" w:hAnsi="Times New Roman" w:cs="Times New Roman"/>
              <w:bCs/>
              <w:color w:val="auto"/>
              <w:kern w:val="2"/>
              <w:szCs w:val="32"/>
              <w:lang w:val="en-US" w:eastAsia="zh-CN" w:bidi="ar-SA"/>
            </w:rPr>
            <w:t>5.7</w:t>
          </w:r>
          <w:r>
            <w:rPr>
              <w:rFonts w:hint="default" w:ascii="Times New Roman" w:hAnsi="Times New Roman" w:cs="Times New Roman"/>
              <w:color w:val="auto"/>
            </w:rPr>
            <w:t>公路绿化工程调查</w:t>
          </w:r>
          <w:r>
            <w:rPr>
              <w:color w:val="auto"/>
            </w:rPr>
            <w:tab/>
          </w:r>
          <w:r>
            <w:rPr>
              <w:color w:val="auto"/>
            </w:rPr>
            <w:fldChar w:fldCharType="begin"/>
          </w:r>
          <w:r>
            <w:rPr>
              <w:color w:val="auto"/>
            </w:rPr>
            <w:instrText xml:space="preserve"> PAGEREF _Toc11973 \h </w:instrText>
          </w:r>
          <w:r>
            <w:rPr>
              <w:color w:val="auto"/>
            </w:rPr>
            <w:fldChar w:fldCharType="separate"/>
          </w:r>
          <w:r>
            <w:rPr>
              <w:color w:val="auto"/>
            </w:rPr>
            <w:t>75</w:t>
          </w:r>
          <w:r>
            <w:rPr>
              <w:color w:val="auto"/>
            </w:rPr>
            <w:fldChar w:fldCharType="end"/>
          </w:r>
          <w:r>
            <w:rPr>
              <w:color w:val="auto"/>
            </w:rPr>
            <w:fldChar w:fldCharType="end"/>
          </w:r>
        </w:p>
        <w:p w14:paraId="3B45925C">
          <w:pPr>
            <w:pStyle w:val="18"/>
            <w:tabs>
              <w:tab w:val="right" w:leader="dot" w:pos="8306"/>
            </w:tabs>
            <w:rPr>
              <w:color w:val="auto"/>
            </w:rPr>
          </w:pPr>
          <w:r>
            <w:rPr>
              <w:color w:val="auto"/>
            </w:rPr>
            <w:fldChar w:fldCharType="begin"/>
          </w:r>
          <w:r>
            <w:rPr>
              <w:color w:val="auto"/>
            </w:rPr>
            <w:instrText xml:space="preserve"> HYPERLINK \l _Toc21559 </w:instrText>
          </w:r>
          <w:r>
            <w:rPr>
              <w:color w:val="auto"/>
            </w:rPr>
            <w:fldChar w:fldCharType="separate"/>
          </w:r>
          <w:r>
            <w:rPr>
              <w:rFonts w:hint="eastAsia" w:ascii="Times New Roman" w:hAnsi="Times New Roman" w:cs="Times New Roman"/>
              <w:bCs/>
              <w:color w:val="auto"/>
              <w:kern w:val="2"/>
              <w:szCs w:val="32"/>
              <w:lang w:val="en-US" w:eastAsia="zh-CN" w:bidi="ar-SA"/>
            </w:rPr>
            <w:t>5.8</w:t>
          </w:r>
          <w:r>
            <w:rPr>
              <w:rFonts w:hint="default" w:ascii="Times New Roman" w:hAnsi="Times New Roman" w:cs="Times New Roman"/>
              <w:color w:val="auto"/>
            </w:rPr>
            <w:t>水土流失影响调查</w:t>
          </w:r>
          <w:r>
            <w:rPr>
              <w:color w:val="auto"/>
            </w:rPr>
            <w:tab/>
          </w:r>
          <w:r>
            <w:rPr>
              <w:color w:val="auto"/>
            </w:rPr>
            <w:fldChar w:fldCharType="begin"/>
          </w:r>
          <w:r>
            <w:rPr>
              <w:color w:val="auto"/>
            </w:rPr>
            <w:instrText xml:space="preserve"> PAGEREF _Toc21559 \h </w:instrText>
          </w:r>
          <w:r>
            <w:rPr>
              <w:color w:val="auto"/>
            </w:rPr>
            <w:fldChar w:fldCharType="separate"/>
          </w:r>
          <w:r>
            <w:rPr>
              <w:color w:val="auto"/>
            </w:rPr>
            <w:t>76</w:t>
          </w:r>
          <w:r>
            <w:rPr>
              <w:color w:val="auto"/>
            </w:rPr>
            <w:fldChar w:fldCharType="end"/>
          </w:r>
          <w:r>
            <w:rPr>
              <w:color w:val="auto"/>
            </w:rPr>
            <w:fldChar w:fldCharType="end"/>
          </w:r>
        </w:p>
        <w:p w14:paraId="4BF34100">
          <w:pPr>
            <w:pStyle w:val="18"/>
            <w:tabs>
              <w:tab w:val="right" w:leader="dot" w:pos="8306"/>
            </w:tabs>
            <w:rPr>
              <w:color w:val="auto"/>
            </w:rPr>
          </w:pPr>
          <w:r>
            <w:rPr>
              <w:color w:val="auto"/>
            </w:rPr>
            <w:fldChar w:fldCharType="begin"/>
          </w:r>
          <w:r>
            <w:rPr>
              <w:color w:val="auto"/>
            </w:rPr>
            <w:instrText xml:space="preserve"> HYPERLINK \l _Toc31020 </w:instrText>
          </w:r>
          <w:r>
            <w:rPr>
              <w:color w:val="auto"/>
            </w:rPr>
            <w:fldChar w:fldCharType="separate"/>
          </w:r>
          <w:r>
            <w:rPr>
              <w:rFonts w:hint="eastAsia" w:ascii="Times New Roman" w:hAnsi="Times New Roman" w:cs="Times New Roman"/>
              <w:bCs/>
              <w:color w:val="auto"/>
              <w:kern w:val="2"/>
              <w:szCs w:val="32"/>
              <w:lang w:val="en-US" w:eastAsia="zh-CN" w:bidi="ar-SA"/>
            </w:rPr>
            <w:t>5.9</w:t>
          </w:r>
          <w:r>
            <w:rPr>
              <w:rFonts w:hint="default" w:ascii="Times New Roman" w:hAnsi="Times New Roman" w:cs="Times New Roman"/>
              <w:color w:val="auto"/>
            </w:rPr>
            <w:t>景观影响调查</w:t>
          </w:r>
          <w:r>
            <w:rPr>
              <w:color w:val="auto"/>
            </w:rPr>
            <w:tab/>
          </w:r>
          <w:r>
            <w:rPr>
              <w:color w:val="auto"/>
            </w:rPr>
            <w:fldChar w:fldCharType="begin"/>
          </w:r>
          <w:r>
            <w:rPr>
              <w:color w:val="auto"/>
            </w:rPr>
            <w:instrText xml:space="preserve"> PAGEREF _Toc31020 \h </w:instrText>
          </w:r>
          <w:r>
            <w:rPr>
              <w:color w:val="auto"/>
            </w:rPr>
            <w:fldChar w:fldCharType="separate"/>
          </w:r>
          <w:r>
            <w:rPr>
              <w:color w:val="auto"/>
            </w:rPr>
            <w:t>87</w:t>
          </w:r>
          <w:r>
            <w:rPr>
              <w:color w:val="auto"/>
            </w:rPr>
            <w:fldChar w:fldCharType="end"/>
          </w:r>
          <w:r>
            <w:rPr>
              <w:color w:val="auto"/>
            </w:rPr>
            <w:fldChar w:fldCharType="end"/>
          </w:r>
        </w:p>
        <w:p w14:paraId="2C995771">
          <w:pPr>
            <w:pStyle w:val="18"/>
            <w:tabs>
              <w:tab w:val="right" w:leader="dot" w:pos="8306"/>
            </w:tabs>
            <w:rPr>
              <w:color w:val="auto"/>
            </w:rPr>
          </w:pPr>
          <w:r>
            <w:rPr>
              <w:color w:val="auto"/>
            </w:rPr>
            <w:fldChar w:fldCharType="begin"/>
          </w:r>
          <w:r>
            <w:rPr>
              <w:color w:val="auto"/>
            </w:rPr>
            <w:instrText xml:space="preserve"> HYPERLINK \l _Toc21280 </w:instrText>
          </w:r>
          <w:r>
            <w:rPr>
              <w:color w:val="auto"/>
            </w:rPr>
            <w:fldChar w:fldCharType="separate"/>
          </w:r>
          <w:r>
            <w:rPr>
              <w:rFonts w:hint="eastAsia" w:ascii="Times New Roman" w:hAnsi="Times New Roman" w:cs="Times New Roman"/>
              <w:bCs/>
              <w:color w:val="auto"/>
              <w:kern w:val="2"/>
              <w:szCs w:val="32"/>
              <w:lang w:val="en-US" w:eastAsia="zh-CN" w:bidi="ar-SA"/>
            </w:rPr>
            <w:t>5.10</w:t>
          </w:r>
          <w:r>
            <w:rPr>
              <w:rFonts w:hint="default" w:ascii="Times New Roman" w:hAnsi="Times New Roman" w:cs="Times New Roman"/>
              <w:color w:val="auto"/>
            </w:rPr>
            <w:t>小结</w:t>
          </w:r>
          <w:r>
            <w:rPr>
              <w:color w:val="auto"/>
            </w:rPr>
            <w:tab/>
          </w:r>
          <w:r>
            <w:rPr>
              <w:color w:val="auto"/>
            </w:rPr>
            <w:fldChar w:fldCharType="begin"/>
          </w:r>
          <w:r>
            <w:rPr>
              <w:color w:val="auto"/>
            </w:rPr>
            <w:instrText xml:space="preserve"> PAGEREF _Toc21280 \h </w:instrText>
          </w:r>
          <w:r>
            <w:rPr>
              <w:color w:val="auto"/>
            </w:rPr>
            <w:fldChar w:fldCharType="separate"/>
          </w:r>
          <w:r>
            <w:rPr>
              <w:color w:val="auto"/>
            </w:rPr>
            <w:t>87</w:t>
          </w:r>
          <w:r>
            <w:rPr>
              <w:color w:val="auto"/>
            </w:rPr>
            <w:fldChar w:fldCharType="end"/>
          </w:r>
          <w:r>
            <w:rPr>
              <w:color w:val="auto"/>
            </w:rPr>
            <w:fldChar w:fldCharType="end"/>
          </w:r>
        </w:p>
        <w:p w14:paraId="5BA370F4">
          <w:pPr>
            <w:pStyle w:val="16"/>
            <w:tabs>
              <w:tab w:val="right" w:leader="dot" w:pos="8306"/>
            </w:tabs>
            <w:rPr>
              <w:color w:val="auto"/>
            </w:rPr>
          </w:pPr>
          <w:r>
            <w:rPr>
              <w:color w:val="auto"/>
            </w:rPr>
            <w:fldChar w:fldCharType="begin"/>
          </w:r>
          <w:r>
            <w:rPr>
              <w:color w:val="auto"/>
            </w:rPr>
            <w:instrText xml:space="preserve"> HYPERLINK \l _Toc4289 </w:instrText>
          </w:r>
          <w:r>
            <w:rPr>
              <w:color w:val="auto"/>
            </w:rPr>
            <w:fldChar w:fldCharType="separate"/>
          </w:r>
          <w:r>
            <w:rPr>
              <w:rFonts w:hint="eastAsia" w:ascii="Times New Roman" w:hAnsi="Times New Roman" w:eastAsia="宋体" w:cs="Times New Roman"/>
              <w:color w:val="auto"/>
              <w:szCs w:val="36"/>
              <w:lang w:val="en-US" w:eastAsia="zh-CN"/>
            </w:rPr>
            <w:t>6</w:t>
          </w:r>
          <w:r>
            <w:rPr>
              <w:rFonts w:hint="default" w:ascii="Times New Roman" w:hAnsi="Times New Roman" w:eastAsia="宋体" w:cs="Times New Roman"/>
              <w:color w:val="auto"/>
              <w:szCs w:val="36"/>
              <w:lang w:val="en-US" w:eastAsia="zh-CN"/>
            </w:rPr>
            <w:t>声环境影响调查</w:t>
          </w:r>
          <w:r>
            <w:rPr>
              <w:color w:val="auto"/>
            </w:rPr>
            <w:tab/>
          </w:r>
          <w:r>
            <w:rPr>
              <w:color w:val="auto"/>
            </w:rPr>
            <w:fldChar w:fldCharType="begin"/>
          </w:r>
          <w:r>
            <w:rPr>
              <w:color w:val="auto"/>
            </w:rPr>
            <w:instrText xml:space="preserve"> PAGEREF _Toc4289 \h </w:instrText>
          </w:r>
          <w:r>
            <w:rPr>
              <w:color w:val="auto"/>
            </w:rPr>
            <w:fldChar w:fldCharType="separate"/>
          </w:r>
          <w:r>
            <w:rPr>
              <w:color w:val="auto"/>
            </w:rPr>
            <w:t>89</w:t>
          </w:r>
          <w:r>
            <w:rPr>
              <w:color w:val="auto"/>
            </w:rPr>
            <w:fldChar w:fldCharType="end"/>
          </w:r>
          <w:r>
            <w:rPr>
              <w:color w:val="auto"/>
            </w:rPr>
            <w:fldChar w:fldCharType="end"/>
          </w:r>
        </w:p>
        <w:p w14:paraId="7751447C">
          <w:pPr>
            <w:pStyle w:val="18"/>
            <w:tabs>
              <w:tab w:val="right" w:leader="dot" w:pos="8306"/>
            </w:tabs>
            <w:rPr>
              <w:color w:val="auto"/>
            </w:rPr>
          </w:pPr>
          <w:r>
            <w:rPr>
              <w:color w:val="auto"/>
            </w:rPr>
            <w:fldChar w:fldCharType="begin"/>
          </w:r>
          <w:r>
            <w:rPr>
              <w:color w:val="auto"/>
            </w:rPr>
            <w:instrText xml:space="preserve"> HYPERLINK \l _Toc17301 </w:instrText>
          </w:r>
          <w:r>
            <w:rPr>
              <w:color w:val="auto"/>
            </w:rPr>
            <w:fldChar w:fldCharType="separate"/>
          </w:r>
          <w:r>
            <w:rPr>
              <w:rFonts w:hint="eastAsia" w:ascii="Times New Roman" w:hAnsi="Times New Roman" w:eastAsia="宋体" w:cs="Times New Roman"/>
              <w:bCs/>
              <w:color w:val="auto"/>
              <w:kern w:val="2"/>
              <w:szCs w:val="32"/>
              <w:lang w:val="en-US" w:eastAsia="zh-CN" w:bidi="ar-SA"/>
            </w:rPr>
            <w:t>6.1</w:t>
          </w:r>
          <w:r>
            <w:rPr>
              <w:rFonts w:hint="default" w:ascii="Times New Roman" w:hAnsi="Times New Roman" w:eastAsia="宋体" w:cs="Times New Roman"/>
              <w:bCs/>
              <w:color w:val="auto"/>
              <w:kern w:val="2"/>
              <w:szCs w:val="32"/>
              <w:lang w:val="en-US" w:eastAsia="zh-CN" w:bidi="ar-SA"/>
            </w:rPr>
            <w:t>施工期声环境影响调查</w:t>
          </w:r>
          <w:r>
            <w:rPr>
              <w:color w:val="auto"/>
            </w:rPr>
            <w:tab/>
          </w:r>
          <w:r>
            <w:rPr>
              <w:color w:val="auto"/>
            </w:rPr>
            <w:fldChar w:fldCharType="begin"/>
          </w:r>
          <w:r>
            <w:rPr>
              <w:color w:val="auto"/>
            </w:rPr>
            <w:instrText xml:space="preserve"> PAGEREF _Toc17301 \h </w:instrText>
          </w:r>
          <w:r>
            <w:rPr>
              <w:color w:val="auto"/>
            </w:rPr>
            <w:fldChar w:fldCharType="separate"/>
          </w:r>
          <w:r>
            <w:rPr>
              <w:color w:val="auto"/>
            </w:rPr>
            <w:t>89</w:t>
          </w:r>
          <w:r>
            <w:rPr>
              <w:color w:val="auto"/>
            </w:rPr>
            <w:fldChar w:fldCharType="end"/>
          </w:r>
          <w:r>
            <w:rPr>
              <w:color w:val="auto"/>
            </w:rPr>
            <w:fldChar w:fldCharType="end"/>
          </w:r>
        </w:p>
        <w:p w14:paraId="7B4E6C67">
          <w:pPr>
            <w:pStyle w:val="18"/>
            <w:tabs>
              <w:tab w:val="right" w:leader="dot" w:pos="8306"/>
            </w:tabs>
            <w:rPr>
              <w:color w:val="auto"/>
            </w:rPr>
          </w:pPr>
          <w:r>
            <w:rPr>
              <w:color w:val="auto"/>
            </w:rPr>
            <w:fldChar w:fldCharType="begin"/>
          </w:r>
          <w:r>
            <w:rPr>
              <w:color w:val="auto"/>
            </w:rPr>
            <w:instrText xml:space="preserve"> HYPERLINK \l _Toc15717 </w:instrText>
          </w:r>
          <w:r>
            <w:rPr>
              <w:color w:val="auto"/>
            </w:rPr>
            <w:fldChar w:fldCharType="separate"/>
          </w:r>
          <w:r>
            <w:rPr>
              <w:rFonts w:hint="default" w:ascii="Times New Roman" w:hAnsi="Times New Roman" w:eastAsia="宋体" w:cs="Times New Roman"/>
              <w:bCs/>
              <w:color w:val="auto"/>
              <w:kern w:val="2"/>
              <w:szCs w:val="32"/>
              <w:lang w:val="en-US" w:eastAsia="zh-CN" w:bidi="ar-SA"/>
            </w:rPr>
            <w:t>6.2 运营期声环境保护措施落实情况​</w:t>
          </w:r>
          <w:r>
            <w:rPr>
              <w:color w:val="auto"/>
            </w:rPr>
            <w:tab/>
          </w:r>
          <w:r>
            <w:rPr>
              <w:color w:val="auto"/>
            </w:rPr>
            <w:fldChar w:fldCharType="begin"/>
          </w:r>
          <w:r>
            <w:rPr>
              <w:color w:val="auto"/>
            </w:rPr>
            <w:instrText xml:space="preserve"> PAGEREF _Toc15717 \h </w:instrText>
          </w:r>
          <w:r>
            <w:rPr>
              <w:color w:val="auto"/>
            </w:rPr>
            <w:fldChar w:fldCharType="separate"/>
          </w:r>
          <w:r>
            <w:rPr>
              <w:color w:val="auto"/>
            </w:rPr>
            <w:t>89</w:t>
          </w:r>
          <w:r>
            <w:rPr>
              <w:color w:val="auto"/>
            </w:rPr>
            <w:fldChar w:fldCharType="end"/>
          </w:r>
          <w:r>
            <w:rPr>
              <w:color w:val="auto"/>
            </w:rPr>
            <w:fldChar w:fldCharType="end"/>
          </w:r>
        </w:p>
        <w:p w14:paraId="5A43B755">
          <w:pPr>
            <w:pStyle w:val="18"/>
            <w:tabs>
              <w:tab w:val="right" w:leader="dot" w:pos="8306"/>
            </w:tabs>
            <w:rPr>
              <w:color w:val="auto"/>
            </w:rPr>
          </w:pPr>
          <w:r>
            <w:rPr>
              <w:color w:val="auto"/>
            </w:rPr>
            <w:fldChar w:fldCharType="begin"/>
          </w:r>
          <w:r>
            <w:rPr>
              <w:color w:val="auto"/>
            </w:rPr>
            <w:instrText xml:space="preserve"> HYPERLINK \l _Toc22719 </w:instrText>
          </w:r>
          <w:r>
            <w:rPr>
              <w:color w:val="auto"/>
            </w:rPr>
            <w:fldChar w:fldCharType="separate"/>
          </w:r>
          <w:r>
            <w:rPr>
              <w:rFonts w:hint="eastAsia" w:ascii="Times New Roman" w:hAnsi="Times New Roman" w:cs="Times New Roman"/>
              <w:bCs/>
              <w:color w:val="auto"/>
              <w:kern w:val="2"/>
              <w:szCs w:val="32"/>
              <w:lang w:val="en-US" w:eastAsia="zh-CN" w:bidi="ar-SA"/>
            </w:rPr>
            <w:t>6.3</w:t>
          </w:r>
          <w:r>
            <w:rPr>
              <w:rFonts w:hint="default" w:ascii="Times New Roman" w:hAnsi="Times New Roman" w:cs="Times New Roman"/>
              <w:color w:val="auto"/>
            </w:rPr>
            <w:t>运营期声环境</w:t>
          </w:r>
          <w:r>
            <w:rPr>
              <w:rFonts w:hint="default" w:ascii="Times New Roman" w:hAnsi="Times New Roman" w:cs="Times New Roman"/>
              <w:color w:val="auto"/>
              <w:lang w:eastAsia="zh-CN"/>
            </w:rPr>
            <w:t>影响调查</w:t>
          </w:r>
          <w:r>
            <w:rPr>
              <w:color w:val="auto"/>
            </w:rPr>
            <w:tab/>
          </w:r>
          <w:r>
            <w:rPr>
              <w:color w:val="auto"/>
            </w:rPr>
            <w:fldChar w:fldCharType="begin"/>
          </w:r>
          <w:r>
            <w:rPr>
              <w:color w:val="auto"/>
            </w:rPr>
            <w:instrText xml:space="preserve"> PAGEREF _Toc22719 \h </w:instrText>
          </w:r>
          <w:r>
            <w:rPr>
              <w:color w:val="auto"/>
            </w:rPr>
            <w:fldChar w:fldCharType="separate"/>
          </w:r>
          <w:r>
            <w:rPr>
              <w:color w:val="auto"/>
            </w:rPr>
            <w:t>97</w:t>
          </w:r>
          <w:r>
            <w:rPr>
              <w:color w:val="auto"/>
            </w:rPr>
            <w:fldChar w:fldCharType="end"/>
          </w:r>
          <w:r>
            <w:rPr>
              <w:color w:val="auto"/>
            </w:rPr>
            <w:fldChar w:fldCharType="end"/>
          </w:r>
        </w:p>
        <w:p w14:paraId="38D95105">
          <w:pPr>
            <w:pStyle w:val="18"/>
            <w:tabs>
              <w:tab w:val="right" w:leader="dot" w:pos="8306"/>
            </w:tabs>
            <w:rPr>
              <w:color w:val="auto"/>
            </w:rPr>
          </w:pPr>
          <w:r>
            <w:rPr>
              <w:color w:val="auto"/>
            </w:rPr>
            <w:fldChar w:fldCharType="begin"/>
          </w:r>
          <w:r>
            <w:rPr>
              <w:color w:val="auto"/>
            </w:rPr>
            <w:instrText xml:space="preserve"> HYPERLINK \l _Toc27966 </w:instrText>
          </w:r>
          <w:r>
            <w:rPr>
              <w:color w:val="auto"/>
            </w:rPr>
            <w:fldChar w:fldCharType="separate"/>
          </w:r>
          <w:r>
            <w:rPr>
              <w:rFonts w:hint="eastAsia" w:ascii="Times New Roman" w:hAnsi="Times New Roman" w:cs="Times New Roman"/>
              <w:bCs/>
              <w:color w:val="auto"/>
              <w:kern w:val="2"/>
              <w:szCs w:val="32"/>
              <w:lang w:val="en-US" w:eastAsia="zh-CN" w:bidi="ar-SA"/>
            </w:rPr>
            <w:t>6.4</w:t>
          </w:r>
          <w:r>
            <w:rPr>
              <w:rFonts w:hint="default" w:ascii="Times New Roman" w:hAnsi="Times New Roman" w:cs="Times New Roman"/>
              <w:color w:val="auto"/>
            </w:rPr>
            <w:t>声环境影响调查结论</w:t>
          </w:r>
          <w:r>
            <w:rPr>
              <w:color w:val="auto"/>
            </w:rPr>
            <w:tab/>
          </w:r>
          <w:r>
            <w:rPr>
              <w:color w:val="auto"/>
            </w:rPr>
            <w:fldChar w:fldCharType="begin"/>
          </w:r>
          <w:r>
            <w:rPr>
              <w:color w:val="auto"/>
            </w:rPr>
            <w:instrText xml:space="preserve"> PAGEREF _Toc27966 \h </w:instrText>
          </w:r>
          <w:r>
            <w:rPr>
              <w:color w:val="auto"/>
            </w:rPr>
            <w:fldChar w:fldCharType="separate"/>
          </w:r>
          <w:r>
            <w:rPr>
              <w:color w:val="auto"/>
            </w:rPr>
            <w:t>112</w:t>
          </w:r>
          <w:r>
            <w:rPr>
              <w:color w:val="auto"/>
            </w:rPr>
            <w:fldChar w:fldCharType="end"/>
          </w:r>
          <w:r>
            <w:rPr>
              <w:color w:val="auto"/>
            </w:rPr>
            <w:fldChar w:fldCharType="end"/>
          </w:r>
        </w:p>
        <w:p w14:paraId="1FEEB9A2">
          <w:pPr>
            <w:pStyle w:val="16"/>
            <w:tabs>
              <w:tab w:val="right" w:leader="dot" w:pos="8306"/>
            </w:tabs>
            <w:rPr>
              <w:color w:val="auto"/>
            </w:rPr>
          </w:pPr>
          <w:r>
            <w:rPr>
              <w:color w:val="auto"/>
            </w:rPr>
            <w:fldChar w:fldCharType="begin"/>
          </w:r>
          <w:r>
            <w:rPr>
              <w:color w:val="auto"/>
            </w:rPr>
            <w:instrText xml:space="preserve"> HYPERLINK \l _Toc14665 </w:instrText>
          </w:r>
          <w:r>
            <w:rPr>
              <w:color w:val="auto"/>
            </w:rPr>
            <w:fldChar w:fldCharType="separate"/>
          </w:r>
          <w:r>
            <w:rPr>
              <w:rFonts w:hint="default" w:ascii="Times New Roman" w:hAnsi="Times New Roman" w:eastAsia="宋体" w:cs="Times New Roman"/>
              <w:color w:val="auto"/>
              <w:szCs w:val="36"/>
              <w:lang w:val="en-US" w:eastAsia="zh-CN"/>
            </w:rPr>
            <w:t>7 环境空气影响调查​</w:t>
          </w:r>
          <w:r>
            <w:rPr>
              <w:color w:val="auto"/>
            </w:rPr>
            <w:tab/>
          </w:r>
          <w:r>
            <w:rPr>
              <w:color w:val="auto"/>
            </w:rPr>
            <w:fldChar w:fldCharType="begin"/>
          </w:r>
          <w:r>
            <w:rPr>
              <w:color w:val="auto"/>
            </w:rPr>
            <w:instrText xml:space="preserve"> PAGEREF _Toc14665 \h </w:instrText>
          </w:r>
          <w:r>
            <w:rPr>
              <w:color w:val="auto"/>
            </w:rPr>
            <w:fldChar w:fldCharType="separate"/>
          </w:r>
          <w:r>
            <w:rPr>
              <w:color w:val="auto"/>
            </w:rPr>
            <w:t>114</w:t>
          </w:r>
          <w:r>
            <w:rPr>
              <w:color w:val="auto"/>
            </w:rPr>
            <w:fldChar w:fldCharType="end"/>
          </w:r>
          <w:r>
            <w:rPr>
              <w:color w:val="auto"/>
            </w:rPr>
            <w:fldChar w:fldCharType="end"/>
          </w:r>
        </w:p>
        <w:p w14:paraId="108E2570">
          <w:pPr>
            <w:pStyle w:val="18"/>
            <w:tabs>
              <w:tab w:val="right" w:leader="dot" w:pos="8306"/>
            </w:tabs>
            <w:rPr>
              <w:color w:val="auto"/>
            </w:rPr>
          </w:pPr>
          <w:r>
            <w:rPr>
              <w:color w:val="auto"/>
            </w:rPr>
            <w:fldChar w:fldCharType="begin"/>
          </w:r>
          <w:r>
            <w:rPr>
              <w:color w:val="auto"/>
            </w:rPr>
            <w:instrText xml:space="preserve"> HYPERLINK \l _Toc16641 </w:instrText>
          </w:r>
          <w:r>
            <w:rPr>
              <w:color w:val="auto"/>
            </w:rPr>
            <w:fldChar w:fldCharType="separate"/>
          </w:r>
          <w:r>
            <w:rPr>
              <w:rFonts w:hint="default" w:ascii="Times New Roman" w:hAnsi="Times New Roman" w:eastAsia="宋体" w:cs="Times New Roman"/>
              <w:bCs/>
              <w:color w:val="auto"/>
              <w:kern w:val="2"/>
              <w:szCs w:val="32"/>
              <w:lang w:val="en-US" w:eastAsia="zh-CN" w:bidi="ar-SA"/>
            </w:rPr>
            <w:t>7.</w:t>
          </w:r>
          <w:r>
            <w:rPr>
              <w:rFonts w:hint="eastAsia" w:ascii="Times New Roman" w:hAnsi="Times New Roman" w:eastAsia="宋体" w:cs="Times New Roman"/>
              <w:bCs/>
              <w:color w:val="auto"/>
              <w:kern w:val="2"/>
              <w:szCs w:val="32"/>
              <w:lang w:val="en-US" w:eastAsia="zh-CN" w:bidi="ar-SA"/>
            </w:rPr>
            <w:t>1</w:t>
          </w:r>
          <w:r>
            <w:rPr>
              <w:rFonts w:hint="default" w:ascii="Times New Roman" w:hAnsi="Times New Roman" w:eastAsia="宋体" w:cs="Times New Roman"/>
              <w:bCs/>
              <w:color w:val="auto"/>
              <w:kern w:val="2"/>
              <w:szCs w:val="32"/>
              <w:lang w:val="en-US" w:eastAsia="zh-CN" w:bidi="ar-SA"/>
            </w:rPr>
            <w:t xml:space="preserve"> </w:t>
          </w:r>
          <w:r>
            <w:rPr>
              <w:rFonts w:hint="default" w:ascii="Times New Roman" w:hAnsi="Times New Roman" w:cs="Times New Roman"/>
              <w:color w:val="auto"/>
            </w:rPr>
            <w:t>施工期环境空气影响调查</w:t>
          </w:r>
          <w:r>
            <w:rPr>
              <w:color w:val="auto"/>
            </w:rPr>
            <w:tab/>
          </w:r>
          <w:r>
            <w:rPr>
              <w:color w:val="auto"/>
            </w:rPr>
            <w:fldChar w:fldCharType="begin"/>
          </w:r>
          <w:r>
            <w:rPr>
              <w:color w:val="auto"/>
            </w:rPr>
            <w:instrText xml:space="preserve"> PAGEREF _Toc16641 \h </w:instrText>
          </w:r>
          <w:r>
            <w:rPr>
              <w:color w:val="auto"/>
            </w:rPr>
            <w:fldChar w:fldCharType="separate"/>
          </w:r>
          <w:r>
            <w:rPr>
              <w:color w:val="auto"/>
            </w:rPr>
            <w:t>114</w:t>
          </w:r>
          <w:r>
            <w:rPr>
              <w:color w:val="auto"/>
            </w:rPr>
            <w:fldChar w:fldCharType="end"/>
          </w:r>
          <w:r>
            <w:rPr>
              <w:color w:val="auto"/>
            </w:rPr>
            <w:fldChar w:fldCharType="end"/>
          </w:r>
        </w:p>
        <w:p w14:paraId="2C037F1C">
          <w:pPr>
            <w:pStyle w:val="18"/>
            <w:tabs>
              <w:tab w:val="right" w:leader="dot" w:pos="8306"/>
            </w:tabs>
            <w:rPr>
              <w:color w:val="auto"/>
            </w:rPr>
          </w:pPr>
          <w:r>
            <w:rPr>
              <w:color w:val="auto"/>
            </w:rPr>
            <w:fldChar w:fldCharType="begin"/>
          </w:r>
          <w:r>
            <w:rPr>
              <w:color w:val="auto"/>
            </w:rPr>
            <w:instrText xml:space="preserve"> HYPERLINK \l _Toc3325 </w:instrText>
          </w:r>
          <w:r>
            <w:rPr>
              <w:color w:val="auto"/>
            </w:rPr>
            <w:fldChar w:fldCharType="separate"/>
          </w:r>
          <w:r>
            <w:rPr>
              <w:rFonts w:hint="default" w:ascii="Times New Roman" w:hAnsi="Times New Roman" w:eastAsia="宋体" w:cs="Times New Roman"/>
              <w:bCs/>
              <w:color w:val="auto"/>
              <w:kern w:val="2"/>
              <w:szCs w:val="32"/>
              <w:lang w:val="en-US" w:eastAsia="zh-CN" w:bidi="ar-SA"/>
            </w:rPr>
            <w:t>7.</w:t>
          </w:r>
          <w:r>
            <w:rPr>
              <w:rFonts w:hint="eastAsia" w:ascii="Times New Roman" w:hAnsi="Times New Roman" w:eastAsia="宋体" w:cs="Times New Roman"/>
              <w:bCs/>
              <w:color w:val="auto"/>
              <w:kern w:val="2"/>
              <w:szCs w:val="32"/>
              <w:lang w:val="en-US" w:eastAsia="zh-CN" w:bidi="ar-SA"/>
            </w:rPr>
            <w:t>2</w:t>
          </w:r>
          <w:r>
            <w:rPr>
              <w:rFonts w:hint="default" w:ascii="Times New Roman" w:hAnsi="Times New Roman" w:eastAsia="宋体" w:cs="Times New Roman"/>
              <w:bCs/>
              <w:color w:val="auto"/>
              <w:kern w:val="2"/>
              <w:szCs w:val="32"/>
              <w:lang w:val="en-US" w:eastAsia="zh-CN" w:bidi="ar-SA"/>
            </w:rPr>
            <w:t xml:space="preserve"> 运营期大气环境影响及措施落实情况​</w:t>
          </w:r>
          <w:r>
            <w:rPr>
              <w:color w:val="auto"/>
            </w:rPr>
            <w:tab/>
          </w:r>
          <w:r>
            <w:rPr>
              <w:color w:val="auto"/>
            </w:rPr>
            <w:fldChar w:fldCharType="begin"/>
          </w:r>
          <w:r>
            <w:rPr>
              <w:color w:val="auto"/>
            </w:rPr>
            <w:instrText xml:space="preserve"> PAGEREF _Toc3325 \h </w:instrText>
          </w:r>
          <w:r>
            <w:rPr>
              <w:color w:val="auto"/>
            </w:rPr>
            <w:fldChar w:fldCharType="separate"/>
          </w:r>
          <w:r>
            <w:rPr>
              <w:color w:val="auto"/>
            </w:rPr>
            <w:t>116</w:t>
          </w:r>
          <w:r>
            <w:rPr>
              <w:color w:val="auto"/>
            </w:rPr>
            <w:fldChar w:fldCharType="end"/>
          </w:r>
          <w:r>
            <w:rPr>
              <w:color w:val="auto"/>
            </w:rPr>
            <w:fldChar w:fldCharType="end"/>
          </w:r>
        </w:p>
        <w:p w14:paraId="3513C369">
          <w:pPr>
            <w:pStyle w:val="18"/>
            <w:tabs>
              <w:tab w:val="right" w:leader="dot" w:pos="8306"/>
            </w:tabs>
            <w:rPr>
              <w:color w:val="auto"/>
            </w:rPr>
          </w:pPr>
          <w:r>
            <w:rPr>
              <w:color w:val="auto"/>
            </w:rPr>
            <w:fldChar w:fldCharType="begin"/>
          </w:r>
          <w:r>
            <w:rPr>
              <w:color w:val="auto"/>
            </w:rPr>
            <w:instrText xml:space="preserve"> HYPERLINK \l _Toc19347 </w:instrText>
          </w:r>
          <w:r>
            <w:rPr>
              <w:color w:val="auto"/>
            </w:rPr>
            <w:fldChar w:fldCharType="separate"/>
          </w:r>
          <w:r>
            <w:rPr>
              <w:rFonts w:hint="default" w:ascii="Times New Roman" w:hAnsi="Times New Roman" w:eastAsia="宋体" w:cs="Times New Roman"/>
              <w:bCs/>
              <w:color w:val="auto"/>
              <w:kern w:val="2"/>
              <w:szCs w:val="32"/>
              <w:lang w:val="en-US" w:eastAsia="zh-CN" w:bidi="ar-SA"/>
            </w:rPr>
            <w:t>7.</w:t>
          </w:r>
          <w:r>
            <w:rPr>
              <w:rFonts w:hint="eastAsia" w:ascii="Times New Roman" w:hAnsi="Times New Roman" w:eastAsia="宋体" w:cs="Times New Roman"/>
              <w:bCs/>
              <w:color w:val="auto"/>
              <w:kern w:val="2"/>
              <w:szCs w:val="32"/>
              <w:lang w:val="en-US" w:eastAsia="zh-CN" w:bidi="ar-SA"/>
            </w:rPr>
            <w:t>3</w:t>
          </w:r>
          <w:r>
            <w:rPr>
              <w:rFonts w:hint="default" w:ascii="Times New Roman" w:hAnsi="Times New Roman" w:eastAsia="宋体" w:cs="Times New Roman"/>
              <w:bCs/>
              <w:color w:val="auto"/>
              <w:kern w:val="2"/>
              <w:szCs w:val="32"/>
              <w:lang w:val="en-US" w:eastAsia="zh-CN" w:bidi="ar-SA"/>
            </w:rPr>
            <w:t xml:space="preserve"> 与环评批复符合性分析​</w:t>
          </w:r>
          <w:r>
            <w:rPr>
              <w:color w:val="auto"/>
            </w:rPr>
            <w:tab/>
          </w:r>
          <w:r>
            <w:rPr>
              <w:color w:val="auto"/>
            </w:rPr>
            <w:fldChar w:fldCharType="begin"/>
          </w:r>
          <w:r>
            <w:rPr>
              <w:color w:val="auto"/>
            </w:rPr>
            <w:instrText xml:space="preserve"> PAGEREF _Toc19347 \h </w:instrText>
          </w:r>
          <w:r>
            <w:rPr>
              <w:color w:val="auto"/>
            </w:rPr>
            <w:fldChar w:fldCharType="separate"/>
          </w:r>
          <w:r>
            <w:rPr>
              <w:color w:val="auto"/>
            </w:rPr>
            <w:t>116</w:t>
          </w:r>
          <w:r>
            <w:rPr>
              <w:color w:val="auto"/>
            </w:rPr>
            <w:fldChar w:fldCharType="end"/>
          </w:r>
          <w:r>
            <w:rPr>
              <w:color w:val="auto"/>
            </w:rPr>
            <w:fldChar w:fldCharType="end"/>
          </w:r>
        </w:p>
        <w:p w14:paraId="692E406B">
          <w:pPr>
            <w:pStyle w:val="18"/>
            <w:tabs>
              <w:tab w:val="right" w:leader="dot" w:pos="8306"/>
            </w:tabs>
            <w:rPr>
              <w:color w:val="auto"/>
            </w:rPr>
          </w:pPr>
          <w:r>
            <w:rPr>
              <w:color w:val="auto"/>
            </w:rPr>
            <w:fldChar w:fldCharType="begin"/>
          </w:r>
          <w:r>
            <w:rPr>
              <w:color w:val="auto"/>
            </w:rPr>
            <w:instrText xml:space="preserve"> HYPERLINK \l _Toc1124 </w:instrText>
          </w:r>
          <w:r>
            <w:rPr>
              <w:color w:val="auto"/>
            </w:rPr>
            <w:fldChar w:fldCharType="separate"/>
          </w:r>
          <w:r>
            <w:rPr>
              <w:rFonts w:hint="eastAsia" w:ascii="Times New Roman" w:hAnsi="Times New Roman" w:eastAsia="宋体" w:cs="Times New Roman"/>
              <w:bCs/>
              <w:color w:val="auto"/>
              <w:kern w:val="2"/>
              <w:szCs w:val="32"/>
              <w:lang w:val="en-US" w:eastAsia="zh-CN" w:bidi="ar-SA"/>
            </w:rPr>
            <w:t>7.4 小结</w:t>
          </w:r>
          <w:r>
            <w:rPr>
              <w:color w:val="auto"/>
            </w:rPr>
            <w:tab/>
          </w:r>
          <w:r>
            <w:rPr>
              <w:color w:val="auto"/>
            </w:rPr>
            <w:fldChar w:fldCharType="begin"/>
          </w:r>
          <w:r>
            <w:rPr>
              <w:color w:val="auto"/>
            </w:rPr>
            <w:instrText xml:space="preserve"> PAGEREF _Toc1124 \h </w:instrText>
          </w:r>
          <w:r>
            <w:rPr>
              <w:color w:val="auto"/>
            </w:rPr>
            <w:fldChar w:fldCharType="separate"/>
          </w:r>
          <w:r>
            <w:rPr>
              <w:color w:val="auto"/>
            </w:rPr>
            <w:t>117</w:t>
          </w:r>
          <w:r>
            <w:rPr>
              <w:color w:val="auto"/>
            </w:rPr>
            <w:fldChar w:fldCharType="end"/>
          </w:r>
          <w:r>
            <w:rPr>
              <w:color w:val="auto"/>
            </w:rPr>
            <w:fldChar w:fldCharType="end"/>
          </w:r>
        </w:p>
        <w:p w14:paraId="54500F45">
          <w:pPr>
            <w:pStyle w:val="16"/>
            <w:tabs>
              <w:tab w:val="right" w:leader="dot" w:pos="8306"/>
            </w:tabs>
            <w:rPr>
              <w:color w:val="auto"/>
            </w:rPr>
          </w:pPr>
          <w:r>
            <w:rPr>
              <w:color w:val="auto"/>
            </w:rPr>
            <w:fldChar w:fldCharType="begin"/>
          </w:r>
          <w:r>
            <w:rPr>
              <w:color w:val="auto"/>
            </w:rPr>
            <w:instrText xml:space="preserve"> HYPERLINK \l _Toc10149 </w:instrText>
          </w:r>
          <w:r>
            <w:rPr>
              <w:color w:val="auto"/>
            </w:rPr>
            <w:fldChar w:fldCharType="separate"/>
          </w:r>
          <w:r>
            <w:rPr>
              <w:rFonts w:hint="eastAsia" w:ascii="Times New Roman" w:hAnsi="Times New Roman" w:eastAsia="宋体" w:cs="Times New Roman"/>
              <w:color w:val="auto"/>
              <w:szCs w:val="36"/>
              <w:lang w:val="en-US" w:eastAsia="zh-CN"/>
            </w:rPr>
            <w:t>8</w:t>
          </w:r>
          <w:r>
            <w:rPr>
              <w:rFonts w:hint="default" w:ascii="Times New Roman" w:hAnsi="Times New Roman" w:eastAsia="宋体" w:cs="Times New Roman"/>
              <w:color w:val="auto"/>
              <w:szCs w:val="36"/>
              <w:lang w:val="en-US" w:eastAsia="zh-CN"/>
            </w:rPr>
            <w:t xml:space="preserve"> 水环境影响调查​</w:t>
          </w:r>
          <w:r>
            <w:rPr>
              <w:color w:val="auto"/>
            </w:rPr>
            <w:tab/>
          </w:r>
          <w:r>
            <w:rPr>
              <w:color w:val="auto"/>
            </w:rPr>
            <w:fldChar w:fldCharType="begin"/>
          </w:r>
          <w:r>
            <w:rPr>
              <w:color w:val="auto"/>
            </w:rPr>
            <w:instrText xml:space="preserve"> PAGEREF _Toc10149 \h </w:instrText>
          </w:r>
          <w:r>
            <w:rPr>
              <w:color w:val="auto"/>
            </w:rPr>
            <w:fldChar w:fldCharType="separate"/>
          </w:r>
          <w:r>
            <w:rPr>
              <w:color w:val="auto"/>
            </w:rPr>
            <w:t>118</w:t>
          </w:r>
          <w:r>
            <w:rPr>
              <w:color w:val="auto"/>
            </w:rPr>
            <w:fldChar w:fldCharType="end"/>
          </w:r>
          <w:r>
            <w:rPr>
              <w:color w:val="auto"/>
            </w:rPr>
            <w:fldChar w:fldCharType="end"/>
          </w:r>
        </w:p>
        <w:p w14:paraId="428866C0">
          <w:pPr>
            <w:pStyle w:val="18"/>
            <w:tabs>
              <w:tab w:val="right" w:leader="dot" w:pos="8306"/>
            </w:tabs>
            <w:rPr>
              <w:color w:val="auto"/>
            </w:rPr>
          </w:pPr>
          <w:r>
            <w:rPr>
              <w:color w:val="auto"/>
            </w:rPr>
            <w:fldChar w:fldCharType="begin"/>
          </w:r>
          <w:r>
            <w:rPr>
              <w:color w:val="auto"/>
            </w:rPr>
            <w:instrText xml:space="preserve"> HYPERLINK \l _Toc4725 </w:instrText>
          </w:r>
          <w:r>
            <w:rPr>
              <w:color w:val="auto"/>
            </w:rPr>
            <w:fldChar w:fldCharType="separate"/>
          </w:r>
          <w:r>
            <w:rPr>
              <w:rFonts w:hint="default" w:ascii="Times New Roman" w:hAnsi="Times New Roman" w:eastAsia="宋体" w:cs="Times New Roman"/>
              <w:bCs/>
              <w:color w:val="auto"/>
              <w:kern w:val="2"/>
              <w:szCs w:val="32"/>
              <w:lang w:val="en-US" w:eastAsia="zh-CN" w:bidi="ar-SA"/>
            </w:rPr>
            <w:t xml:space="preserve">8.1 </w:t>
          </w:r>
          <w:r>
            <w:rPr>
              <w:rFonts w:hint="default" w:ascii="Times New Roman" w:hAnsi="Times New Roman" w:cs="Times New Roman"/>
              <w:color w:val="auto"/>
              <w:lang w:eastAsia="zh-CN"/>
            </w:rPr>
            <w:t>地表水</w:t>
          </w:r>
          <w:r>
            <w:rPr>
              <w:rFonts w:hint="default" w:ascii="Times New Roman" w:hAnsi="Times New Roman" w:cs="Times New Roman"/>
              <w:color w:val="auto"/>
            </w:rPr>
            <w:t>环境保护目标</w:t>
          </w:r>
          <w:r>
            <w:rPr>
              <w:color w:val="auto"/>
            </w:rPr>
            <w:tab/>
          </w:r>
          <w:r>
            <w:rPr>
              <w:color w:val="auto"/>
            </w:rPr>
            <w:fldChar w:fldCharType="begin"/>
          </w:r>
          <w:r>
            <w:rPr>
              <w:color w:val="auto"/>
            </w:rPr>
            <w:instrText xml:space="preserve"> PAGEREF _Toc4725 \h </w:instrText>
          </w:r>
          <w:r>
            <w:rPr>
              <w:color w:val="auto"/>
            </w:rPr>
            <w:fldChar w:fldCharType="separate"/>
          </w:r>
          <w:r>
            <w:rPr>
              <w:color w:val="auto"/>
            </w:rPr>
            <w:t>118</w:t>
          </w:r>
          <w:r>
            <w:rPr>
              <w:color w:val="auto"/>
            </w:rPr>
            <w:fldChar w:fldCharType="end"/>
          </w:r>
          <w:r>
            <w:rPr>
              <w:color w:val="auto"/>
            </w:rPr>
            <w:fldChar w:fldCharType="end"/>
          </w:r>
        </w:p>
        <w:p w14:paraId="76406180">
          <w:pPr>
            <w:pStyle w:val="18"/>
            <w:tabs>
              <w:tab w:val="right" w:leader="dot" w:pos="8306"/>
            </w:tabs>
            <w:rPr>
              <w:color w:val="auto"/>
            </w:rPr>
          </w:pPr>
          <w:r>
            <w:rPr>
              <w:color w:val="auto"/>
            </w:rPr>
            <w:fldChar w:fldCharType="begin"/>
          </w:r>
          <w:r>
            <w:rPr>
              <w:color w:val="auto"/>
            </w:rPr>
            <w:instrText xml:space="preserve"> HYPERLINK \l _Toc23351 </w:instrText>
          </w:r>
          <w:r>
            <w:rPr>
              <w:color w:val="auto"/>
            </w:rPr>
            <w:fldChar w:fldCharType="separate"/>
          </w:r>
          <w:r>
            <w:rPr>
              <w:rFonts w:hint="eastAsia" w:ascii="Times New Roman" w:hAnsi="Times New Roman" w:eastAsia="宋体" w:cs="Times New Roman"/>
              <w:bCs/>
              <w:color w:val="auto"/>
              <w:kern w:val="2"/>
              <w:szCs w:val="32"/>
              <w:lang w:val="en-US" w:eastAsia="zh-CN" w:bidi="ar-SA"/>
            </w:rPr>
            <w:t xml:space="preserve">8.2 </w:t>
          </w:r>
          <w:r>
            <w:rPr>
              <w:rFonts w:hint="default" w:ascii="Times New Roman" w:hAnsi="Times New Roman" w:eastAsia="宋体" w:cs="Times New Roman"/>
              <w:bCs/>
              <w:color w:val="auto"/>
              <w:kern w:val="2"/>
              <w:szCs w:val="32"/>
              <w:lang w:val="en-US" w:eastAsia="zh-CN" w:bidi="ar-SA"/>
            </w:rPr>
            <w:t>施工期地表水环境保护措施调查</w:t>
          </w:r>
          <w:r>
            <w:rPr>
              <w:color w:val="auto"/>
            </w:rPr>
            <w:tab/>
          </w:r>
          <w:r>
            <w:rPr>
              <w:color w:val="auto"/>
            </w:rPr>
            <w:fldChar w:fldCharType="begin"/>
          </w:r>
          <w:r>
            <w:rPr>
              <w:color w:val="auto"/>
            </w:rPr>
            <w:instrText xml:space="preserve"> PAGEREF _Toc23351 \h </w:instrText>
          </w:r>
          <w:r>
            <w:rPr>
              <w:color w:val="auto"/>
            </w:rPr>
            <w:fldChar w:fldCharType="separate"/>
          </w:r>
          <w:r>
            <w:rPr>
              <w:color w:val="auto"/>
            </w:rPr>
            <w:t>118</w:t>
          </w:r>
          <w:r>
            <w:rPr>
              <w:color w:val="auto"/>
            </w:rPr>
            <w:fldChar w:fldCharType="end"/>
          </w:r>
          <w:r>
            <w:rPr>
              <w:color w:val="auto"/>
            </w:rPr>
            <w:fldChar w:fldCharType="end"/>
          </w:r>
        </w:p>
        <w:p w14:paraId="7BFA2322">
          <w:pPr>
            <w:pStyle w:val="18"/>
            <w:tabs>
              <w:tab w:val="right" w:leader="dot" w:pos="8306"/>
            </w:tabs>
            <w:rPr>
              <w:color w:val="auto"/>
            </w:rPr>
          </w:pPr>
          <w:r>
            <w:rPr>
              <w:color w:val="auto"/>
            </w:rPr>
            <w:fldChar w:fldCharType="begin"/>
          </w:r>
          <w:r>
            <w:rPr>
              <w:color w:val="auto"/>
            </w:rPr>
            <w:instrText xml:space="preserve"> HYPERLINK \l _Toc4238 </w:instrText>
          </w:r>
          <w:r>
            <w:rPr>
              <w:color w:val="auto"/>
            </w:rPr>
            <w:fldChar w:fldCharType="separate"/>
          </w:r>
          <w:r>
            <w:rPr>
              <w:rFonts w:hint="eastAsia" w:ascii="Times New Roman" w:hAnsi="Times New Roman" w:cs="Times New Roman"/>
              <w:bCs/>
              <w:color w:val="auto"/>
              <w:kern w:val="2"/>
              <w:szCs w:val="32"/>
              <w:lang w:val="en-US" w:eastAsia="zh-CN" w:bidi="ar-SA"/>
            </w:rPr>
            <w:t>8.3</w:t>
          </w:r>
          <w:r>
            <w:rPr>
              <w:rFonts w:hint="default" w:ascii="Times New Roman" w:hAnsi="Times New Roman" w:cs="Times New Roman"/>
              <w:color w:val="auto"/>
            </w:rPr>
            <w:t>营运期水环境保护措施</w:t>
          </w:r>
          <w:r>
            <w:rPr>
              <w:color w:val="auto"/>
            </w:rPr>
            <w:tab/>
          </w:r>
          <w:r>
            <w:rPr>
              <w:color w:val="auto"/>
            </w:rPr>
            <w:fldChar w:fldCharType="begin"/>
          </w:r>
          <w:r>
            <w:rPr>
              <w:color w:val="auto"/>
            </w:rPr>
            <w:instrText xml:space="preserve"> PAGEREF _Toc4238 \h </w:instrText>
          </w:r>
          <w:r>
            <w:rPr>
              <w:color w:val="auto"/>
            </w:rPr>
            <w:fldChar w:fldCharType="separate"/>
          </w:r>
          <w:r>
            <w:rPr>
              <w:color w:val="auto"/>
            </w:rPr>
            <w:t>119</w:t>
          </w:r>
          <w:r>
            <w:rPr>
              <w:color w:val="auto"/>
            </w:rPr>
            <w:fldChar w:fldCharType="end"/>
          </w:r>
          <w:r>
            <w:rPr>
              <w:color w:val="auto"/>
            </w:rPr>
            <w:fldChar w:fldCharType="end"/>
          </w:r>
        </w:p>
        <w:p w14:paraId="39DA841E">
          <w:pPr>
            <w:pStyle w:val="16"/>
            <w:tabs>
              <w:tab w:val="right" w:leader="dot" w:pos="8306"/>
            </w:tabs>
            <w:rPr>
              <w:color w:val="auto"/>
            </w:rPr>
          </w:pPr>
          <w:r>
            <w:rPr>
              <w:color w:val="auto"/>
            </w:rPr>
            <w:fldChar w:fldCharType="begin"/>
          </w:r>
          <w:r>
            <w:rPr>
              <w:color w:val="auto"/>
            </w:rPr>
            <w:instrText xml:space="preserve"> HYPERLINK \l _Toc36 </w:instrText>
          </w:r>
          <w:r>
            <w:rPr>
              <w:color w:val="auto"/>
            </w:rPr>
            <w:fldChar w:fldCharType="separate"/>
          </w:r>
          <w:r>
            <w:rPr>
              <w:rFonts w:hint="eastAsia" w:ascii="Times New Roman" w:hAnsi="Times New Roman" w:eastAsia="宋体" w:cs="Times New Roman"/>
              <w:color w:val="auto"/>
              <w:szCs w:val="36"/>
              <w:lang w:val="en-US" w:eastAsia="zh-CN"/>
            </w:rPr>
            <w:t>9</w:t>
          </w:r>
          <w:r>
            <w:rPr>
              <w:rFonts w:hint="default" w:ascii="Times New Roman" w:hAnsi="Times New Roman" w:eastAsia="宋体" w:cs="Times New Roman"/>
              <w:color w:val="auto"/>
              <w:szCs w:val="36"/>
              <w:lang w:val="en-US" w:eastAsia="zh-CN"/>
            </w:rPr>
            <w:t xml:space="preserve"> 固体废物影响调查​</w:t>
          </w:r>
          <w:r>
            <w:rPr>
              <w:color w:val="auto"/>
            </w:rPr>
            <w:tab/>
          </w:r>
          <w:r>
            <w:rPr>
              <w:color w:val="auto"/>
            </w:rPr>
            <w:fldChar w:fldCharType="begin"/>
          </w:r>
          <w:r>
            <w:rPr>
              <w:color w:val="auto"/>
            </w:rPr>
            <w:instrText xml:space="preserve"> PAGEREF _Toc36 \h </w:instrText>
          </w:r>
          <w:r>
            <w:rPr>
              <w:color w:val="auto"/>
            </w:rPr>
            <w:fldChar w:fldCharType="separate"/>
          </w:r>
          <w:r>
            <w:rPr>
              <w:color w:val="auto"/>
            </w:rPr>
            <w:t>126</w:t>
          </w:r>
          <w:r>
            <w:rPr>
              <w:color w:val="auto"/>
            </w:rPr>
            <w:fldChar w:fldCharType="end"/>
          </w:r>
          <w:r>
            <w:rPr>
              <w:color w:val="auto"/>
            </w:rPr>
            <w:fldChar w:fldCharType="end"/>
          </w:r>
        </w:p>
        <w:p w14:paraId="65C61561">
          <w:pPr>
            <w:pStyle w:val="18"/>
            <w:tabs>
              <w:tab w:val="right" w:leader="dot" w:pos="8306"/>
            </w:tabs>
            <w:rPr>
              <w:color w:val="auto"/>
            </w:rPr>
          </w:pPr>
          <w:r>
            <w:rPr>
              <w:color w:val="auto"/>
            </w:rPr>
            <w:fldChar w:fldCharType="begin"/>
          </w:r>
          <w:r>
            <w:rPr>
              <w:color w:val="auto"/>
            </w:rPr>
            <w:instrText xml:space="preserve"> HYPERLINK \l _Toc1861 </w:instrText>
          </w:r>
          <w:r>
            <w:rPr>
              <w:color w:val="auto"/>
            </w:rPr>
            <w:fldChar w:fldCharType="separate"/>
          </w:r>
          <w:r>
            <w:rPr>
              <w:rFonts w:hint="eastAsia" w:ascii="Times New Roman" w:hAnsi="Times New Roman" w:cs="Times New Roman"/>
              <w:bCs/>
              <w:color w:val="auto"/>
              <w:kern w:val="2"/>
              <w:szCs w:val="32"/>
              <w:lang w:val="en-US" w:eastAsia="zh-CN" w:bidi="ar-SA"/>
            </w:rPr>
            <w:t>9.1</w:t>
          </w:r>
          <w:r>
            <w:rPr>
              <w:rFonts w:hint="default" w:ascii="Times New Roman" w:hAnsi="Times New Roman" w:cs="Times New Roman"/>
              <w:color w:val="auto"/>
            </w:rPr>
            <w:t>施工期固体废物处置情况</w:t>
          </w:r>
          <w:r>
            <w:rPr>
              <w:color w:val="auto"/>
            </w:rPr>
            <w:tab/>
          </w:r>
          <w:r>
            <w:rPr>
              <w:color w:val="auto"/>
            </w:rPr>
            <w:fldChar w:fldCharType="begin"/>
          </w:r>
          <w:r>
            <w:rPr>
              <w:color w:val="auto"/>
            </w:rPr>
            <w:instrText xml:space="preserve"> PAGEREF _Toc1861 \h </w:instrText>
          </w:r>
          <w:r>
            <w:rPr>
              <w:color w:val="auto"/>
            </w:rPr>
            <w:fldChar w:fldCharType="separate"/>
          </w:r>
          <w:r>
            <w:rPr>
              <w:color w:val="auto"/>
            </w:rPr>
            <w:t>126</w:t>
          </w:r>
          <w:r>
            <w:rPr>
              <w:color w:val="auto"/>
            </w:rPr>
            <w:fldChar w:fldCharType="end"/>
          </w:r>
          <w:r>
            <w:rPr>
              <w:color w:val="auto"/>
            </w:rPr>
            <w:fldChar w:fldCharType="end"/>
          </w:r>
        </w:p>
        <w:p w14:paraId="31D79981">
          <w:pPr>
            <w:pStyle w:val="18"/>
            <w:tabs>
              <w:tab w:val="right" w:leader="dot" w:pos="8306"/>
            </w:tabs>
            <w:rPr>
              <w:color w:val="auto"/>
            </w:rPr>
          </w:pPr>
          <w:r>
            <w:rPr>
              <w:color w:val="auto"/>
            </w:rPr>
            <w:fldChar w:fldCharType="begin"/>
          </w:r>
          <w:r>
            <w:rPr>
              <w:color w:val="auto"/>
            </w:rPr>
            <w:instrText xml:space="preserve"> HYPERLINK \l _Toc8743 </w:instrText>
          </w:r>
          <w:r>
            <w:rPr>
              <w:color w:val="auto"/>
            </w:rPr>
            <w:fldChar w:fldCharType="separate"/>
          </w:r>
          <w:r>
            <w:rPr>
              <w:rFonts w:hint="eastAsia" w:ascii="Times New Roman" w:hAnsi="Times New Roman" w:cs="Times New Roman"/>
              <w:bCs/>
              <w:color w:val="auto"/>
              <w:kern w:val="2"/>
              <w:szCs w:val="32"/>
              <w:lang w:val="en-US" w:eastAsia="zh-CN" w:bidi="ar-SA"/>
            </w:rPr>
            <w:t>9.2</w:t>
          </w:r>
          <w:r>
            <w:rPr>
              <w:rFonts w:hint="default" w:ascii="Times New Roman" w:hAnsi="Times New Roman" w:cs="Times New Roman"/>
              <w:color w:val="auto"/>
            </w:rPr>
            <w:t>运营期固体废物处置调查</w:t>
          </w:r>
          <w:r>
            <w:rPr>
              <w:color w:val="auto"/>
            </w:rPr>
            <w:tab/>
          </w:r>
          <w:r>
            <w:rPr>
              <w:color w:val="auto"/>
            </w:rPr>
            <w:fldChar w:fldCharType="begin"/>
          </w:r>
          <w:r>
            <w:rPr>
              <w:color w:val="auto"/>
            </w:rPr>
            <w:instrText xml:space="preserve"> PAGEREF _Toc8743 \h </w:instrText>
          </w:r>
          <w:r>
            <w:rPr>
              <w:color w:val="auto"/>
            </w:rPr>
            <w:fldChar w:fldCharType="separate"/>
          </w:r>
          <w:r>
            <w:rPr>
              <w:color w:val="auto"/>
            </w:rPr>
            <w:t>126</w:t>
          </w:r>
          <w:r>
            <w:rPr>
              <w:color w:val="auto"/>
            </w:rPr>
            <w:fldChar w:fldCharType="end"/>
          </w:r>
          <w:r>
            <w:rPr>
              <w:color w:val="auto"/>
            </w:rPr>
            <w:fldChar w:fldCharType="end"/>
          </w:r>
        </w:p>
        <w:p w14:paraId="0F6F9B38">
          <w:pPr>
            <w:pStyle w:val="18"/>
            <w:tabs>
              <w:tab w:val="right" w:leader="dot" w:pos="8306"/>
            </w:tabs>
            <w:rPr>
              <w:color w:val="auto"/>
            </w:rPr>
          </w:pPr>
          <w:r>
            <w:rPr>
              <w:color w:val="auto"/>
            </w:rPr>
            <w:fldChar w:fldCharType="begin"/>
          </w:r>
          <w:r>
            <w:rPr>
              <w:color w:val="auto"/>
            </w:rPr>
            <w:instrText xml:space="preserve"> HYPERLINK \l _Toc27362 </w:instrText>
          </w:r>
          <w:r>
            <w:rPr>
              <w:color w:val="auto"/>
            </w:rPr>
            <w:fldChar w:fldCharType="separate"/>
          </w:r>
          <w:r>
            <w:rPr>
              <w:rFonts w:hint="eastAsia" w:ascii="Times New Roman" w:hAnsi="Times New Roman" w:cs="Times New Roman"/>
              <w:bCs/>
              <w:color w:val="auto"/>
              <w:kern w:val="2"/>
              <w:szCs w:val="32"/>
              <w:lang w:val="en-US" w:eastAsia="zh-CN" w:bidi="ar-SA"/>
            </w:rPr>
            <w:t>9.3</w:t>
          </w:r>
          <w:r>
            <w:rPr>
              <w:rFonts w:hint="default" w:ascii="Times New Roman" w:hAnsi="Times New Roman" w:cs="Times New Roman"/>
              <w:color w:val="auto"/>
            </w:rPr>
            <w:t>小结</w:t>
          </w:r>
          <w:r>
            <w:rPr>
              <w:color w:val="auto"/>
            </w:rPr>
            <w:tab/>
          </w:r>
          <w:r>
            <w:rPr>
              <w:color w:val="auto"/>
            </w:rPr>
            <w:fldChar w:fldCharType="begin"/>
          </w:r>
          <w:r>
            <w:rPr>
              <w:color w:val="auto"/>
            </w:rPr>
            <w:instrText xml:space="preserve"> PAGEREF _Toc27362 \h </w:instrText>
          </w:r>
          <w:r>
            <w:rPr>
              <w:color w:val="auto"/>
            </w:rPr>
            <w:fldChar w:fldCharType="separate"/>
          </w:r>
          <w:r>
            <w:rPr>
              <w:color w:val="auto"/>
            </w:rPr>
            <w:t>127</w:t>
          </w:r>
          <w:r>
            <w:rPr>
              <w:color w:val="auto"/>
            </w:rPr>
            <w:fldChar w:fldCharType="end"/>
          </w:r>
          <w:r>
            <w:rPr>
              <w:color w:val="auto"/>
            </w:rPr>
            <w:fldChar w:fldCharType="end"/>
          </w:r>
        </w:p>
        <w:p w14:paraId="7C24BB55">
          <w:pPr>
            <w:pStyle w:val="16"/>
            <w:tabs>
              <w:tab w:val="right" w:leader="dot" w:pos="8306"/>
            </w:tabs>
            <w:rPr>
              <w:color w:val="auto"/>
            </w:rPr>
          </w:pPr>
          <w:r>
            <w:rPr>
              <w:color w:val="auto"/>
            </w:rPr>
            <w:fldChar w:fldCharType="begin"/>
          </w:r>
          <w:r>
            <w:rPr>
              <w:color w:val="auto"/>
            </w:rPr>
            <w:instrText xml:space="preserve"> HYPERLINK \l _Toc1533 </w:instrText>
          </w:r>
          <w:r>
            <w:rPr>
              <w:color w:val="auto"/>
            </w:rPr>
            <w:fldChar w:fldCharType="separate"/>
          </w:r>
          <w:r>
            <w:rPr>
              <w:rFonts w:hint="eastAsia" w:ascii="Times New Roman" w:hAnsi="Times New Roman" w:eastAsia="宋体" w:cs="Times New Roman"/>
              <w:color w:val="auto"/>
              <w:szCs w:val="36"/>
              <w:lang w:val="en-US" w:eastAsia="zh-CN"/>
            </w:rPr>
            <w:t>10</w:t>
          </w:r>
          <w:r>
            <w:rPr>
              <w:rFonts w:hint="default" w:ascii="Times New Roman" w:hAnsi="Times New Roman" w:eastAsia="宋体" w:cs="Times New Roman"/>
              <w:color w:val="auto"/>
              <w:szCs w:val="36"/>
              <w:lang w:val="en-US" w:eastAsia="zh-CN"/>
            </w:rPr>
            <w:t>其他环境影响调查</w:t>
          </w:r>
          <w:r>
            <w:rPr>
              <w:color w:val="auto"/>
            </w:rPr>
            <w:tab/>
          </w:r>
          <w:r>
            <w:rPr>
              <w:color w:val="auto"/>
            </w:rPr>
            <w:fldChar w:fldCharType="begin"/>
          </w:r>
          <w:r>
            <w:rPr>
              <w:color w:val="auto"/>
            </w:rPr>
            <w:instrText xml:space="preserve"> PAGEREF _Toc1533 \h </w:instrText>
          </w:r>
          <w:r>
            <w:rPr>
              <w:color w:val="auto"/>
            </w:rPr>
            <w:fldChar w:fldCharType="separate"/>
          </w:r>
          <w:r>
            <w:rPr>
              <w:color w:val="auto"/>
            </w:rPr>
            <w:t>128</w:t>
          </w:r>
          <w:r>
            <w:rPr>
              <w:color w:val="auto"/>
            </w:rPr>
            <w:fldChar w:fldCharType="end"/>
          </w:r>
          <w:r>
            <w:rPr>
              <w:color w:val="auto"/>
            </w:rPr>
            <w:fldChar w:fldCharType="end"/>
          </w:r>
        </w:p>
        <w:p w14:paraId="6765F9B9">
          <w:pPr>
            <w:pStyle w:val="18"/>
            <w:tabs>
              <w:tab w:val="right" w:leader="dot" w:pos="8306"/>
            </w:tabs>
            <w:rPr>
              <w:color w:val="auto"/>
            </w:rPr>
          </w:pPr>
          <w:r>
            <w:rPr>
              <w:color w:val="auto"/>
            </w:rPr>
            <w:fldChar w:fldCharType="begin"/>
          </w:r>
          <w:r>
            <w:rPr>
              <w:color w:val="auto"/>
            </w:rPr>
            <w:instrText xml:space="preserve"> HYPERLINK \l _Toc20602 </w:instrText>
          </w:r>
          <w:r>
            <w:rPr>
              <w:color w:val="auto"/>
            </w:rPr>
            <w:fldChar w:fldCharType="separate"/>
          </w:r>
          <w:r>
            <w:rPr>
              <w:rFonts w:hint="eastAsia" w:ascii="Times New Roman" w:hAnsi="Times New Roman" w:eastAsia="宋体" w:cs="Times New Roman"/>
              <w:bCs/>
              <w:color w:val="auto"/>
              <w:kern w:val="2"/>
              <w:szCs w:val="32"/>
              <w:lang w:val="en-US" w:eastAsia="zh-CN" w:bidi="ar-SA"/>
            </w:rPr>
            <w:t>10.1</w:t>
          </w:r>
          <w:r>
            <w:rPr>
              <w:rFonts w:hint="default" w:ascii="Times New Roman" w:hAnsi="Times New Roman" w:eastAsia="宋体" w:cs="Times New Roman"/>
              <w:bCs/>
              <w:color w:val="auto"/>
              <w:kern w:val="2"/>
              <w:szCs w:val="32"/>
              <w:lang w:val="en-US" w:eastAsia="zh-CN" w:bidi="ar-SA"/>
            </w:rPr>
            <w:t>对区域城镇建设及路网建设的影响</w:t>
          </w:r>
          <w:r>
            <w:rPr>
              <w:color w:val="auto"/>
            </w:rPr>
            <w:tab/>
          </w:r>
          <w:r>
            <w:rPr>
              <w:color w:val="auto"/>
            </w:rPr>
            <w:fldChar w:fldCharType="begin"/>
          </w:r>
          <w:r>
            <w:rPr>
              <w:color w:val="auto"/>
            </w:rPr>
            <w:instrText xml:space="preserve"> PAGEREF _Toc20602 \h </w:instrText>
          </w:r>
          <w:r>
            <w:rPr>
              <w:color w:val="auto"/>
            </w:rPr>
            <w:fldChar w:fldCharType="separate"/>
          </w:r>
          <w:r>
            <w:rPr>
              <w:color w:val="auto"/>
            </w:rPr>
            <w:t>128</w:t>
          </w:r>
          <w:r>
            <w:rPr>
              <w:color w:val="auto"/>
            </w:rPr>
            <w:fldChar w:fldCharType="end"/>
          </w:r>
          <w:r>
            <w:rPr>
              <w:color w:val="auto"/>
            </w:rPr>
            <w:fldChar w:fldCharType="end"/>
          </w:r>
        </w:p>
        <w:p w14:paraId="7AC8CA96">
          <w:pPr>
            <w:pStyle w:val="18"/>
            <w:tabs>
              <w:tab w:val="right" w:leader="dot" w:pos="8306"/>
            </w:tabs>
            <w:rPr>
              <w:color w:val="auto"/>
            </w:rPr>
          </w:pPr>
          <w:r>
            <w:rPr>
              <w:color w:val="auto"/>
            </w:rPr>
            <w:fldChar w:fldCharType="begin"/>
          </w:r>
          <w:r>
            <w:rPr>
              <w:color w:val="auto"/>
            </w:rPr>
            <w:instrText xml:space="preserve"> HYPERLINK \l _Toc27272 </w:instrText>
          </w:r>
          <w:r>
            <w:rPr>
              <w:color w:val="auto"/>
            </w:rPr>
            <w:fldChar w:fldCharType="separate"/>
          </w:r>
          <w:r>
            <w:rPr>
              <w:rFonts w:hint="eastAsia" w:ascii="Times New Roman" w:hAnsi="Times New Roman" w:eastAsia="宋体" w:cs="Times New Roman"/>
              <w:bCs/>
              <w:color w:val="auto"/>
              <w:kern w:val="2"/>
              <w:szCs w:val="32"/>
              <w:lang w:val="en-US" w:eastAsia="zh-CN" w:bidi="ar-SA"/>
            </w:rPr>
            <w:t>10.2</w:t>
          </w:r>
          <w:r>
            <w:rPr>
              <w:rFonts w:hint="default" w:ascii="Times New Roman" w:hAnsi="Times New Roman" w:eastAsia="宋体" w:cs="Times New Roman"/>
              <w:bCs/>
              <w:color w:val="auto"/>
              <w:kern w:val="2"/>
              <w:szCs w:val="32"/>
              <w:lang w:val="en-US" w:eastAsia="zh-CN" w:bidi="ar-SA"/>
            </w:rPr>
            <w:t>文物保护情况影响调查</w:t>
          </w:r>
          <w:r>
            <w:rPr>
              <w:color w:val="auto"/>
            </w:rPr>
            <w:tab/>
          </w:r>
          <w:r>
            <w:rPr>
              <w:color w:val="auto"/>
            </w:rPr>
            <w:fldChar w:fldCharType="begin"/>
          </w:r>
          <w:r>
            <w:rPr>
              <w:color w:val="auto"/>
            </w:rPr>
            <w:instrText xml:space="preserve"> PAGEREF _Toc27272 \h </w:instrText>
          </w:r>
          <w:r>
            <w:rPr>
              <w:color w:val="auto"/>
            </w:rPr>
            <w:fldChar w:fldCharType="separate"/>
          </w:r>
          <w:r>
            <w:rPr>
              <w:color w:val="auto"/>
            </w:rPr>
            <w:t>128</w:t>
          </w:r>
          <w:r>
            <w:rPr>
              <w:color w:val="auto"/>
            </w:rPr>
            <w:fldChar w:fldCharType="end"/>
          </w:r>
          <w:r>
            <w:rPr>
              <w:color w:val="auto"/>
            </w:rPr>
            <w:fldChar w:fldCharType="end"/>
          </w:r>
        </w:p>
        <w:p w14:paraId="1CA7A16E">
          <w:pPr>
            <w:pStyle w:val="18"/>
            <w:tabs>
              <w:tab w:val="right" w:leader="dot" w:pos="8306"/>
            </w:tabs>
            <w:rPr>
              <w:color w:val="auto"/>
            </w:rPr>
          </w:pPr>
          <w:r>
            <w:rPr>
              <w:color w:val="auto"/>
            </w:rPr>
            <w:fldChar w:fldCharType="begin"/>
          </w:r>
          <w:r>
            <w:rPr>
              <w:color w:val="auto"/>
            </w:rPr>
            <w:instrText xml:space="preserve"> HYPERLINK \l _Toc2303 </w:instrText>
          </w:r>
          <w:r>
            <w:rPr>
              <w:color w:val="auto"/>
            </w:rPr>
            <w:fldChar w:fldCharType="separate"/>
          </w:r>
          <w:r>
            <w:rPr>
              <w:rFonts w:hint="eastAsia" w:ascii="Times New Roman" w:hAnsi="Times New Roman" w:eastAsia="宋体" w:cs="Times New Roman"/>
              <w:bCs/>
              <w:color w:val="auto"/>
              <w:kern w:val="2"/>
              <w:szCs w:val="32"/>
              <w:lang w:val="en-US" w:eastAsia="zh-CN" w:bidi="ar-SA"/>
            </w:rPr>
            <w:t>10.3</w:t>
          </w:r>
          <w:r>
            <w:rPr>
              <w:rFonts w:hint="default" w:ascii="Times New Roman" w:hAnsi="Times New Roman" w:eastAsia="宋体" w:cs="Times New Roman"/>
              <w:bCs/>
              <w:color w:val="auto"/>
              <w:kern w:val="2"/>
              <w:szCs w:val="32"/>
              <w:lang w:val="en-US" w:eastAsia="zh-CN" w:bidi="ar-SA"/>
            </w:rPr>
            <w:t>人群健康调查影响调查</w:t>
          </w:r>
          <w:r>
            <w:rPr>
              <w:color w:val="auto"/>
            </w:rPr>
            <w:tab/>
          </w:r>
          <w:r>
            <w:rPr>
              <w:color w:val="auto"/>
            </w:rPr>
            <w:fldChar w:fldCharType="begin"/>
          </w:r>
          <w:r>
            <w:rPr>
              <w:color w:val="auto"/>
            </w:rPr>
            <w:instrText xml:space="preserve"> PAGEREF _Toc2303 \h </w:instrText>
          </w:r>
          <w:r>
            <w:rPr>
              <w:color w:val="auto"/>
            </w:rPr>
            <w:fldChar w:fldCharType="separate"/>
          </w:r>
          <w:r>
            <w:rPr>
              <w:color w:val="auto"/>
            </w:rPr>
            <w:t>128</w:t>
          </w:r>
          <w:r>
            <w:rPr>
              <w:color w:val="auto"/>
            </w:rPr>
            <w:fldChar w:fldCharType="end"/>
          </w:r>
          <w:r>
            <w:rPr>
              <w:color w:val="auto"/>
            </w:rPr>
            <w:fldChar w:fldCharType="end"/>
          </w:r>
        </w:p>
        <w:p w14:paraId="5564A95F">
          <w:pPr>
            <w:pStyle w:val="16"/>
            <w:tabs>
              <w:tab w:val="right" w:leader="dot" w:pos="8306"/>
            </w:tabs>
            <w:rPr>
              <w:color w:val="auto"/>
            </w:rPr>
          </w:pPr>
          <w:r>
            <w:rPr>
              <w:color w:val="auto"/>
            </w:rPr>
            <w:fldChar w:fldCharType="begin"/>
          </w:r>
          <w:r>
            <w:rPr>
              <w:color w:val="auto"/>
            </w:rPr>
            <w:instrText xml:space="preserve"> HYPERLINK \l _Toc7205 </w:instrText>
          </w:r>
          <w:r>
            <w:rPr>
              <w:color w:val="auto"/>
            </w:rPr>
            <w:fldChar w:fldCharType="separate"/>
          </w:r>
          <w:r>
            <w:rPr>
              <w:rFonts w:hint="eastAsia" w:ascii="Times New Roman" w:hAnsi="Times New Roman" w:cs="Times New Roman"/>
              <w:color w:val="auto"/>
              <w:kern w:val="2"/>
              <w:lang w:val="en-US" w:eastAsia="zh-CN" w:bidi="ar-SA"/>
            </w:rPr>
            <w:t>11</w:t>
          </w:r>
          <w:r>
            <w:rPr>
              <w:rFonts w:hint="default" w:ascii="Times New Roman" w:hAnsi="Times New Roman" w:cs="Times New Roman"/>
              <w:color w:val="auto"/>
            </w:rPr>
            <w:t>环境风险事故与应急措施调查</w:t>
          </w:r>
          <w:r>
            <w:rPr>
              <w:color w:val="auto"/>
            </w:rPr>
            <w:tab/>
          </w:r>
          <w:r>
            <w:rPr>
              <w:color w:val="auto"/>
            </w:rPr>
            <w:fldChar w:fldCharType="begin"/>
          </w:r>
          <w:r>
            <w:rPr>
              <w:color w:val="auto"/>
            </w:rPr>
            <w:instrText xml:space="preserve"> PAGEREF _Toc7205 \h </w:instrText>
          </w:r>
          <w:r>
            <w:rPr>
              <w:color w:val="auto"/>
            </w:rPr>
            <w:fldChar w:fldCharType="separate"/>
          </w:r>
          <w:r>
            <w:rPr>
              <w:color w:val="auto"/>
            </w:rPr>
            <w:t>129</w:t>
          </w:r>
          <w:r>
            <w:rPr>
              <w:color w:val="auto"/>
            </w:rPr>
            <w:fldChar w:fldCharType="end"/>
          </w:r>
          <w:r>
            <w:rPr>
              <w:color w:val="auto"/>
            </w:rPr>
            <w:fldChar w:fldCharType="end"/>
          </w:r>
        </w:p>
        <w:p w14:paraId="1D93E3BA">
          <w:pPr>
            <w:pStyle w:val="18"/>
            <w:tabs>
              <w:tab w:val="right" w:leader="dot" w:pos="8306"/>
            </w:tabs>
            <w:rPr>
              <w:color w:val="auto"/>
            </w:rPr>
          </w:pPr>
          <w:r>
            <w:rPr>
              <w:color w:val="auto"/>
            </w:rPr>
            <w:fldChar w:fldCharType="begin"/>
          </w:r>
          <w:r>
            <w:rPr>
              <w:color w:val="auto"/>
            </w:rPr>
            <w:instrText xml:space="preserve"> HYPERLINK \l _Toc14792 </w:instrText>
          </w:r>
          <w:r>
            <w:rPr>
              <w:color w:val="auto"/>
            </w:rPr>
            <w:fldChar w:fldCharType="separate"/>
          </w:r>
          <w:r>
            <w:rPr>
              <w:rFonts w:hint="eastAsia" w:ascii="Times New Roman" w:hAnsi="Times New Roman" w:cs="Times New Roman"/>
              <w:bCs/>
              <w:color w:val="auto"/>
              <w:kern w:val="2"/>
              <w:szCs w:val="32"/>
              <w:lang w:val="en-US" w:eastAsia="zh-CN" w:bidi="ar-SA"/>
            </w:rPr>
            <w:t>11.1</w:t>
          </w:r>
          <w:r>
            <w:rPr>
              <w:rFonts w:hint="default" w:ascii="Times New Roman" w:hAnsi="Times New Roman" w:cs="Times New Roman"/>
              <w:color w:val="auto"/>
            </w:rPr>
            <w:t>项目建设存在的环境风险因素及其影响</w:t>
          </w:r>
          <w:r>
            <w:rPr>
              <w:color w:val="auto"/>
            </w:rPr>
            <w:tab/>
          </w:r>
          <w:r>
            <w:rPr>
              <w:color w:val="auto"/>
            </w:rPr>
            <w:fldChar w:fldCharType="begin"/>
          </w:r>
          <w:r>
            <w:rPr>
              <w:color w:val="auto"/>
            </w:rPr>
            <w:instrText xml:space="preserve"> PAGEREF _Toc14792 \h </w:instrText>
          </w:r>
          <w:r>
            <w:rPr>
              <w:color w:val="auto"/>
            </w:rPr>
            <w:fldChar w:fldCharType="separate"/>
          </w:r>
          <w:r>
            <w:rPr>
              <w:color w:val="auto"/>
            </w:rPr>
            <w:t>129</w:t>
          </w:r>
          <w:r>
            <w:rPr>
              <w:color w:val="auto"/>
            </w:rPr>
            <w:fldChar w:fldCharType="end"/>
          </w:r>
          <w:r>
            <w:rPr>
              <w:color w:val="auto"/>
            </w:rPr>
            <w:fldChar w:fldCharType="end"/>
          </w:r>
        </w:p>
        <w:p w14:paraId="24C8C389">
          <w:pPr>
            <w:pStyle w:val="18"/>
            <w:tabs>
              <w:tab w:val="right" w:leader="dot" w:pos="8306"/>
            </w:tabs>
            <w:rPr>
              <w:color w:val="auto"/>
            </w:rPr>
          </w:pPr>
          <w:r>
            <w:rPr>
              <w:color w:val="auto"/>
            </w:rPr>
            <w:fldChar w:fldCharType="begin"/>
          </w:r>
          <w:r>
            <w:rPr>
              <w:color w:val="auto"/>
            </w:rPr>
            <w:instrText xml:space="preserve"> HYPERLINK \l _Toc13198 </w:instrText>
          </w:r>
          <w:r>
            <w:rPr>
              <w:color w:val="auto"/>
            </w:rPr>
            <w:fldChar w:fldCharType="separate"/>
          </w:r>
          <w:r>
            <w:rPr>
              <w:rFonts w:hint="eastAsia" w:ascii="Times New Roman" w:hAnsi="Times New Roman" w:cs="Times New Roman"/>
              <w:bCs/>
              <w:color w:val="auto"/>
              <w:kern w:val="2"/>
              <w:szCs w:val="32"/>
              <w:lang w:val="en-US" w:eastAsia="zh-CN" w:bidi="ar-SA"/>
            </w:rPr>
            <w:t>11.2</w:t>
          </w:r>
          <w:r>
            <w:rPr>
              <w:rFonts w:hint="default" w:ascii="Times New Roman" w:hAnsi="Times New Roman" w:cs="Times New Roman"/>
              <w:color w:val="auto"/>
            </w:rPr>
            <w:t>风险防范与应急措施落实情况调查</w:t>
          </w:r>
          <w:r>
            <w:rPr>
              <w:color w:val="auto"/>
            </w:rPr>
            <w:tab/>
          </w:r>
          <w:r>
            <w:rPr>
              <w:color w:val="auto"/>
            </w:rPr>
            <w:fldChar w:fldCharType="begin"/>
          </w:r>
          <w:r>
            <w:rPr>
              <w:color w:val="auto"/>
            </w:rPr>
            <w:instrText xml:space="preserve"> PAGEREF _Toc13198 \h </w:instrText>
          </w:r>
          <w:r>
            <w:rPr>
              <w:color w:val="auto"/>
            </w:rPr>
            <w:fldChar w:fldCharType="separate"/>
          </w:r>
          <w:r>
            <w:rPr>
              <w:color w:val="auto"/>
            </w:rPr>
            <w:t>130</w:t>
          </w:r>
          <w:r>
            <w:rPr>
              <w:color w:val="auto"/>
            </w:rPr>
            <w:fldChar w:fldCharType="end"/>
          </w:r>
          <w:r>
            <w:rPr>
              <w:color w:val="auto"/>
            </w:rPr>
            <w:fldChar w:fldCharType="end"/>
          </w:r>
        </w:p>
        <w:p w14:paraId="0FD1EAA8">
          <w:pPr>
            <w:pStyle w:val="18"/>
            <w:tabs>
              <w:tab w:val="right" w:leader="dot" w:pos="8306"/>
            </w:tabs>
            <w:rPr>
              <w:color w:val="auto"/>
            </w:rPr>
          </w:pPr>
          <w:r>
            <w:rPr>
              <w:color w:val="auto"/>
            </w:rPr>
            <w:fldChar w:fldCharType="begin"/>
          </w:r>
          <w:r>
            <w:rPr>
              <w:color w:val="auto"/>
            </w:rPr>
            <w:instrText xml:space="preserve"> HYPERLINK \l _Toc1627 </w:instrText>
          </w:r>
          <w:r>
            <w:rPr>
              <w:color w:val="auto"/>
            </w:rPr>
            <w:fldChar w:fldCharType="separate"/>
          </w:r>
          <w:r>
            <w:rPr>
              <w:rFonts w:hint="eastAsia" w:ascii="Times New Roman" w:hAnsi="Times New Roman" w:cs="Times New Roman"/>
              <w:bCs/>
              <w:color w:val="auto"/>
              <w:kern w:val="2"/>
              <w:szCs w:val="32"/>
              <w:lang w:val="en-US" w:eastAsia="zh-CN" w:bidi="ar"/>
            </w:rPr>
            <w:t>11.3</w:t>
          </w:r>
          <w:r>
            <w:rPr>
              <w:rFonts w:hint="default" w:ascii="Times New Roman" w:hAnsi="Times New Roman" w:cs="Times New Roman"/>
              <w:color w:val="auto"/>
              <w:lang w:bidi="ar"/>
            </w:rPr>
            <w:t>应急预案</w:t>
          </w:r>
          <w:r>
            <w:rPr>
              <w:color w:val="auto"/>
            </w:rPr>
            <w:tab/>
          </w:r>
          <w:r>
            <w:rPr>
              <w:color w:val="auto"/>
            </w:rPr>
            <w:fldChar w:fldCharType="begin"/>
          </w:r>
          <w:r>
            <w:rPr>
              <w:color w:val="auto"/>
            </w:rPr>
            <w:instrText xml:space="preserve"> PAGEREF _Toc1627 \h </w:instrText>
          </w:r>
          <w:r>
            <w:rPr>
              <w:color w:val="auto"/>
            </w:rPr>
            <w:fldChar w:fldCharType="separate"/>
          </w:r>
          <w:r>
            <w:rPr>
              <w:color w:val="auto"/>
            </w:rPr>
            <w:t>130</w:t>
          </w:r>
          <w:r>
            <w:rPr>
              <w:color w:val="auto"/>
            </w:rPr>
            <w:fldChar w:fldCharType="end"/>
          </w:r>
          <w:r>
            <w:rPr>
              <w:color w:val="auto"/>
            </w:rPr>
            <w:fldChar w:fldCharType="end"/>
          </w:r>
        </w:p>
        <w:p w14:paraId="2AEC3623">
          <w:pPr>
            <w:pStyle w:val="18"/>
            <w:tabs>
              <w:tab w:val="right" w:leader="dot" w:pos="8306"/>
            </w:tabs>
            <w:rPr>
              <w:color w:val="auto"/>
            </w:rPr>
          </w:pPr>
          <w:r>
            <w:rPr>
              <w:color w:val="auto"/>
            </w:rPr>
            <w:fldChar w:fldCharType="begin"/>
          </w:r>
          <w:r>
            <w:rPr>
              <w:color w:val="auto"/>
            </w:rPr>
            <w:instrText xml:space="preserve"> HYPERLINK \l _Toc25862 </w:instrText>
          </w:r>
          <w:r>
            <w:rPr>
              <w:color w:val="auto"/>
            </w:rPr>
            <w:fldChar w:fldCharType="separate"/>
          </w:r>
          <w:r>
            <w:rPr>
              <w:rFonts w:hint="eastAsia" w:ascii="Times New Roman" w:hAnsi="Times New Roman" w:cs="Times New Roman"/>
              <w:bCs/>
              <w:color w:val="auto"/>
              <w:kern w:val="2"/>
              <w:szCs w:val="32"/>
              <w:lang w:val="en-US" w:eastAsia="zh-CN" w:bidi="ar"/>
            </w:rPr>
            <w:t>11.4</w:t>
          </w:r>
          <w:r>
            <w:rPr>
              <w:rFonts w:hint="default" w:ascii="Times New Roman" w:hAnsi="Times New Roman" w:cs="Times New Roman"/>
              <w:color w:val="auto"/>
              <w:lang w:bidi="ar"/>
            </w:rPr>
            <w:t>结论及建议</w:t>
          </w:r>
          <w:r>
            <w:rPr>
              <w:color w:val="auto"/>
            </w:rPr>
            <w:tab/>
          </w:r>
          <w:r>
            <w:rPr>
              <w:color w:val="auto"/>
            </w:rPr>
            <w:fldChar w:fldCharType="begin"/>
          </w:r>
          <w:r>
            <w:rPr>
              <w:color w:val="auto"/>
            </w:rPr>
            <w:instrText xml:space="preserve"> PAGEREF _Toc25862 \h </w:instrText>
          </w:r>
          <w:r>
            <w:rPr>
              <w:color w:val="auto"/>
            </w:rPr>
            <w:fldChar w:fldCharType="separate"/>
          </w:r>
          <w:r>
            <w:rPr>
              <w:color w:val="auto"/>
            </w:rPr>
            <w:t>136</w:t>
          </w:r>
          <w:r>
            <w:rPr>
              <w:color w:val="auto"/>
            </w:rPr>
            <w:fldChar w:fldCharType="end"/>
          </w:r>
          <w:r>
            <w:rPr>
              <w:color w:val="auto"/>
            </w:rPr>
            <w:fldChar w:fldCharType="end"/>
          </w:r>
        </w:p>
        <w:p w14:paraId="24ABF90D">
          <w:pPr>
            <w:pStyle w:val="16"/>
            <w:tabs>
              <w:tab w:val="right" w:leader="dot" w:pos="8306"/>
            </w:tabs>
            <w:rPr>
              <w:color w:val="auto"/>
            </w:rPr>
          </w:pPr>
          <w:r>
            <w:rPr>
              <w:color w:val="auto"/>
            </w:rPr>
            <w:fldChar w:fldCharType="begin"/>
          </w:r>
          <w:r>
            <w:rPr>
              <w:color w:val="auto"/>
            </w:rPr>
            <w:instrText xml:space="preserve"> HYPERLINK \l _Toc15743 </w:instrText>
          </w:r>
          <w:r>
            <w:rPr>
              <w:color w:val="auto"/>
            </w:rPr>
            <w:fldChar w:fldCharType="separate"/>
          </w:r>
          <w:r>
            <w:rPr>
              <w:rFonts w:hint="eastAsia" w:ascii="Times New Roman" w:hAnsi="Times New Roman" w:cs="Times New Roman"/>
              <w:color w:val="auto"/>
              <w:kern w:val="2"/>
              <w:lang w:val="en-US" w:eastAsia="zh-CN" w:bidi="ar-SA"/>
            </w:rPr>
            <w:t>12</w:t>
          </w:r>
          <w:r>
            <w:rPr>
              <w:rFonts w:hint="default" w:ascii="Times New Roman" w:hAnsi="Times New Roman" w:cs="Times New Roman"/>
              <w:color w:val="auto"/>
            </w:rPr>
            <w:t>环境管理状况及监测计划落实情况调查</w:t>
          </w:r>
          <w:r>
            <w:rPr>
              <w:color w:val="auto"/>
            </w:rPr>
            <w:tab/>
          </w:r>
          <w:r>
            <w:rPr>
              <w:color w:val="auto"/>
            </w:rPr>
            <w:fldChar w:fldCharType="begin"/>
          </w:r>
          <w:r>
            <w:rPr>
              <w:color w:val="auto"/>
            </w:rPr>
            <w:instrText xml:space="preserve"> PAGEREF _Toc15743 \h </w:instrText>
          </w:r>
          <w:r>
            <w:rPr>
              <w:color w:val="auto"/>
            </w:rPr>
            <w:fldChar w:fldCharType="separate"/>
          </w:r>
          <w:r>
            <w:rPr>
              <w:color w:val="auto"/>
            </w:rPr>
            <w:t>137</w:t>
          </w:r>
          <w:r>
            <w:rPr>
              <w:color w:val="auto"/>
            </w:rPr>
            <w:fldChar w:fldCharType="end"/>
          </w:r>
          <w:r>
            <w:rPr>
              <w:color w:val="auto"/>
            </w:rPr>
            <w:fldChar w:fldCharType="end"/>
          </w:r>
        </w:p>
        <w:p w14:paraId="7CE808A7">
          <w:pPr>
            <w:pStyle w:val="18"/>
            <w:tabs>
              <w:tab w:val="right" w:leader="dot" w:pos="8306"/>
            </w:tabs>
            <w:rPr>
              <w:color w:val="auto"/>
            </w:rPr>
          </w:pPr>
          <w:r>
            <w:rPr>
              <w:color w:val="auto"/>
            </w:rPr>
            <w:fldChar w:fldCharType="begin"/>
          </w:r>
          <w:r>
            <w:rPr>
              <w:color w:val="auto"/>
            </w:rPr>
            <w:instrText xml:space="preserve"> HYPERLINK \l _Toc10652 </w:instrText>
          </w:r>
          <w:r>
            <w:rPr>
              <w:color w:val="auto"/>
            </w:rPr>
            <w:fldChar w:fldCharType="separate"/>
          </w:r>
          <w:r>
            <w:rPr>
              <w:rFonts w:hint="eastAsia" w:ascii="Times New Roman" w:hAnsi="Times New Roman" w:cs="Times New Roman"/>
              <w:bCs/>
              <w:color w:val="auto"/>
              <w:kern w:val="2"/>
              <w:szCs w:val="32"/>
              <w:lang w:val="en-US" w:eastAsia="zh-CN" w:bidi="ar-SA"/>
            </w:rPr>
            <w:t>12.1</w:t>
          </w:r>
          <w:r>
            <w:rPr>
              <w:rFonts w:hint="default" w:ascii="Times New Roman" w:hAnsi="Times New Roman" w:cs="Times New Roman"/>
              <w:color w:val="auto"/>
            </w:rPr>
            <w:t>环境管理工作调查</w:t>
          </w:r>
          <w:r>
            <w:rPr>
              <w:color w:val="auto"/>
            </w:rPr>
            <w:tab/>
          </w:r>
          <w:r>
            <w:rPr>
              <w:color w:val="auto"/>
            </w:rPr>
            <w:fldChar w:fldCharType="begin"/>
          </w:r>
          <w:r>
            <w:rPr>
              <w:color w:val="auto"/>
            </w:rPr>
            <w:instrText xml:space="preserve"> PAGEREF _Toc10652 \h </w:instrText>
          </w:r>
          <w:r>
            <w:rPr>
              <w:color w:val="auto"/>
            </w:rPr>
            <w:fldChar w:fldCharType="separate"/>
          </w:r>
          <w:r>
            <w:rPr>
              <w:color w:val="auto"/>
            </w:rPr>
            <w:t>137</w:t>
          </w:r>
          <w:r>
            <w:rPr>
              <w:color w:val="auto"/>
            </w:rPr>
            <w:fldChar w:fldCharType="end"/>
          </w:r>
          <w:r>
            <w:rPr>
              <w:color w:val="auto"/>
            </w:rPr>
            <w:fldChar w:fldCharType="end"/>
          </w:r>
        </w:p>
        <w:p w14:paraId="647A3BCC">
          <w:pPr>
            <w:pStyle w:val="18"/>
            <w:tabs>
              <w:tab w:val="right" w:leader="dot" w:pos="8306"/>
            </w:tabs>
            <w:rPr>
              <w:color w:val="auto"/>
            </w:rPr>
          </w:pPr>
          <w:r>
            <w:rPr>
              <w:color w:val="auto"/>
            </w:rPr>
            <w:fldChar w:fldCharType="begin"/>
          </w:r>
          <w:r>
            <w:rPr>
              <w:color w:val="auto"/>
            </w:rPr>
            <w:instrText xml:space="preserve"> HYPERLINK \l _Toc7111 </w:instrText>
          </w:r>
          <w:r>
            <w:rPr>
              <w:color w:val="auto"/>
            </w:rPr>
            <w:fldChar w:fldCharType="separate"/>
          </w:r>
          <w:r>
            <w:rPr>
              <w:rFonts w:hint="eastAsia" w:ascii="Times New Roman" w:hAnsi="Times New Roman" w:cs="Times New Roman"/>
              <w:bCs/>
              <w:color w:val="auto"/>
              <w:kern w:val="2"/>
              <w:szCs w:val="32"/>
              <w:lang w:val="en-US" w:eastAsia="zh-CN" w:bidi="ar-SA"/>
            </w:rPr>
            <w:t>12.2</w:t>
          </w:r>
          <w:r>
            <w:rPr>
              <w:rFonts w:hint="default" w:ascii="Times New Roman" w:hAnsi="Times New Roman" w:cs="Times New Roman"/>
              <w:color w:val="auto"/>
            </w:rPr>
            <w:t>环境监测计划落实情况</w:t>
          </w:r>
          <w:r>
            <w:rPr>
              <w:color w:val="auto"/>
            </w:rPr>
            <w:tab/>
          </w:r>
          <w:r>
            <w:rPr>
              <w:color w:val="auto"/>
            </w:rPr>
            <w:fldChar w:fldCharType="begin"/>
          </w:r>
          <w:r>
            <w:rPr>
              <w:color w:val="auto"/>
            </w:rPr>
            <w:instrText xml:space="preserve"> PAGEREF _Toc7111 \h </w:instrText>
          </w:r>
          <w:r>
            <w:rPr>
              <w:color w:val="auto"/>
            </w:rPr>
            <w:fldChar w:fldCharType="separate"/>
          </w:r>
          <w:r>
            <w:rPr>
              <w:color w:val="auto"/>
            </w:rPr>
            <w:t>138</w:t>
          </w:r>
          <w:r>
            <w:rPr>
              <w:color w:val="auto"/>
            </w:rPr>
            <w:fldChar w:fldCharType="end"/>
          </w:r>
          <w:r>
            <w:rPr>
              <w:color w:val="auto"/>
            </w:rPr>
            <w:fldChar w:fldCharType="end"/>
          </w:r>
        </w:p>
        <w:p w14:paraId="436D2BA2">
          <w:pPr>
            <w:pStyle w:val="18"/>
            <w:tabs>
              <w:tab w:val="right" w:leader="dot" w:pos="8306"/>
            </w:tabs>
            <w:rPr>
              <w:color w:val="auto"/>
            </w:rPr>
          </w:pPr>
          <w:r>
            <w:rPr>
              <w:color w:val="auto"/>
            </w:rPr>
            <w:fldChar w:fldCharType="begin"/>
          </w:r>
          <w:r>
            <w:rPr>
              <w:color w:val="auto"/>
            </w:rPr>
            <w:instrText xml:space="preserve"> HYPERLINK \l _Toc2234 </w:instrText>
          </w:r>
          <w:r>
            <w:rPr>
              <w:color w:val="auto"/>
            </w:rPr>
            <w:fldChar w:fldCharType="separate"/>
          </w:r>
          <w:r>
            <w:rPr>
              <w:rFonts w:hint="eastAsia" w:ascii="Times New Roman" w:hAnsi="Times New Roman" w:cs="Times New Roman"/>
              <w:bCs/>
              <w:color w:val="auto"/>
              <w:kern w:val="2"/>
              <w:szCs w:val="32"/>
              <w:lang w:val="en-US" w:eastAsia="zh-CN" w:bidi="ar-SA"/>
            </w:rPr>
            <w:t>12.3</w:t>
          </w:r>
          <w:r>
            <w:rPr>
              <w:rFonts w:hint="default" w:ascii="Times New Roman" w:hAnsi="Times New Roman" w:cs="Times New Roman"/>
              <w:color w:val="auto"/>
            </w:rPr>
            <w:t>环境保护投资落实情况</w:t>
          </w:r>
          <w:r>
            <w:rPr>
              <w:color w:val="auto"/>
            </w:rPr>
            <w:tab/>
          </w:r>
          <w:r>
            <w:rPr>
              <w:color w:val="auto"/>
            </w:rPr>
            <w:fldChar w:fldCharType="begin"/>
          </w:r>
          <w:r>
            <w:rPr>
              <w:color w:val="auto"/>
            </w:rPr>
            <w:instrText xml:space="preserve"> PAGEREF _Toc2234 \h </w:instrText>
          </w:r>
          <w:r>
            <w:rPr>
              <w:color w:val="auto"/>
            </w:rPr>
            <w:fldChar w:fldCharType="separate"/>
          </w:r>
          <w:r>
            <w:rPr>
              <w:color w:val="auto"/>
            </w:rPr>
            <w:t>138</w:t>
          </w:r>
          <w:r>
            <w:rPr>
              <w:color w:val="auto"/>
            </w:rPr>
            <w:fldChar w:fldCharType="end"/>
          </w:r>
          <w:r>
            <w:rPr>
              <w:color w:val="auto"/>
            </w:rPr>
            <w:fldChar w:fldCharType="end"/>
          </w:r>
        </w:p>
        <w:p w14:paraId="2B2B80AA">
          <w:pPr>
            <w:pStyle w:val="18"/>
            <w:tabs>
              <w:tab w:val="right" w:leader="dot" w:pos="8306"/>
            </w:tabs>
            <w:rPr>
              <w:color w:val="auto"/>
            </w:rPr>
          </w:pPr>
          <w:r>
            <w:rPr>
              <w:color w:val="auto"/>
            </w:rPr>
            <w:fldChar w:fldCharType="begin"/>
          </w:r>
          <w:r>
            <w:rPr>
              <w:color w:val="auto"/>
            </w:rPr>
            <w:instrText xml:space="preserve"> HYPERLINK \l _Toc27053 </w:instrText>
          </w:r>
          <w:r>
            <w:rPr>
              <w:color w:val="auto"/>
            </w:rPr>
            <w:fldChar w:fldCharType="separate"/>
          </w:r>
          <w:r>
            <w:rPr>
              <w:rFonts w:hint="eastAsia" w:ascii="Times New Roman" w:hAnsi="Times New Roman" w:cs="Times New Roman"/>
              <w:bCs/>
              <w:color w:val="auto"/>
              <w:kern w:val="2"/>
              <w:szCs w:val="32"/>
              <w:lang w:val="en-US" w:eastAsia="zh-CN" w:bidi="ar-SA"/>
            </w:rPr>
            <w:t>12.4</w:t>
          </w:r>
          <w:r>
            <w:rPr>
              <w:rFonts w:hint="default" w:ascii="Times New Roman" w:hAnsi="Times New Roman" w:cs="Times New Roman"/>
              <w:color w:val="auto"/>
            </w:rPr>
            <w:t>环境保护管理状况的有效性</w:t>
          </w:r>
          <w:r>
            <w:rPr>
              <w:color w:val="auto"/>
            </w:rPr>
            <w:tab/>
          </w:r>
          <w:r>
            <w:rPr>
              <w:color w:val="auto"/>
            </w:rPr>
            <w:fldChar w:fldCharType="begin"/>
          </w:r>
          <w:r>
            <w:rPr>
              <w:color w:val="auto"/>
            </w:rPr>
            <w:instrText xml:space="preserve"> PAGEREF _Toc27053 \h </w:instrText>
          </w:r>
          <w:r>
            <w:rPr>
              <w:color w:val="auto"/>
            </w:rPr>
            <w:fldChar w:fldCharType="separate"/>
          </w:r>
          <w:r>
            <w:rPr>
              <w:color w:val="auto"/>
            </w:rPr>
            <w:t>139</w:t>
          </w:r>
          <w:r>
            <w:rPr>
              <w:color w:val="auto"/>
            </w:rPr>
            <w:fldChar w:fldCharType="end"/>
          </w:r>
          <w:r>
            <w:rPr>
              <w:color w:val="auto"/>
            </w:rPr>
            <w:fldChar w:fldCharType="end"/>
          </w:r>
        </w:p>
        <w:p w14:paraId="17FEC0B3">
          <w:pPr>
            <w:pStyle w:val="16"/>
            <w:tabs>
              <w:tab w:val="right" w:leader="dot" w:pos="8306"/>
            </w:tabs>
            <w:rPr>
              <w:color w:val="auto"/>
            </w:rPr>
          </w:pPr>
          <w:r>
            <w:rPr>
              <w:color w:val="auto"/>
            </w:rPr>
            <w:fldChar w:fldCharType="begin"/>
          </w:r>
          <w:r>
            <w:rPr>
              <w:color w:val="auto"/>
            </w:rPr>
            <w:instrText xml:space="preserve"> HYPERLINK \l _Toc21921 </w:instrText>
          </w:r>
          <w:r>
            <w:rPr>
              <w:color w:val="auto"/>
            </w:rPr>
            <w:fldChar w:fldCharType="separate"/>
          </w:r>
          <w:r>
            <w:rPr>
              <w:rFonts w:hint="eastAsia" w:ascii="Times New Roman" w:hAnsi="Times New Roman" w:cs="Times New Roman"/>
              <w:color w:val="auto"/>
              <w:kern w:val="2"/>
              <w:lang w:val="en-US" w:eastAsia="zh-CN" w:bidi="ar-SA"/>
            </w:rPr>
            <w:t>13</w:t>
          </w:r>
          <w:r>
            <w:rPr>
              <w:rFonts w:hint="default" w:ascii="Times New Roman" w:hAnsi="Times New Roman" w:cs="Times New Roman"/>
              <w:color w:val="auto"/>
            </w:rPr>
            <w:t>公众意见调查</w:t>
          </w:r>
          <w:r>
            <w:rPr>
              <w:color w:val="auto"/>
            </w:rPr>
            <w:tab/>
          </w:r>
          <w:r>
            <w:rPr>
              <w:color w:val="auto"/>
            </w:rPr>
            <w:fldChar w:fldCharType="begin"/>
          </w:r>
          <w:r>
            <w:rPr>
              <w:color w:val="auto"/>
            </w:rPr>
            <w:instrText xml:space="preserve"> PAGEREF _Toc21921 \h </w:instrText>
          </w:r>
          <w:r>
            <w:rPr>
              <w:color w:val="auto"/>
            </w:rPr>
            <w:fldChar w:fldCharType="separate"/>
          </w:r>
          <w:r>
            <w:rPr>
              <w:color w:val="auto"/>
            </w:rPr>
            <w:t>140</w:t>
          </w:r>
          <w:r>
            <w:rPr>
              <w:color w:val="auto"/>
            </w:rPr>
            <w:fldChar w:fldCharType="end"/>
          </w:r>
          <w:r>
            <w:rPr>
              <w:color w:val="auto"/>
            </w:rPr>
            <w:fldChar w:fldCharType="end"/>
          </w:r>
        </w:p>
        <w:p w14:paraId="10ABAAD2">
          <w:pPr>
            <w:pStyle w:val="18"/>
            <w:tabs>
              <w:tab w:val="right" w:leader="dot" w:pos="8306"/>
            </w:tabs>
            <w:rPr>
              <w:color w:val="auto"/>
            </w:rPr>
          </w:pPr>
          <w:r>
            <w:rPr>
              <w:color w:val="auto"/>
            </w:rPr>
            <w:fldChar w:fldCharType="begin"/>
          </w:r>
          <w:r>
            <w:rPr>
              <w:color w:val="auto"/>
            </w:rPr>
            <w:instrText xml:space="preserve"> HYPERLINK \l _Toc4814 </w:instrText>
          </w:r>
          <w:r>
            <w:rPr>
              <w:color w:val="auto"/>
            </w:rPr>
            <w:fldChar w:fldCharType="separate"/>
          </w:r>
          <w:r>
            <w:rPr>
              <w:rFonts w:hint="eastAsia" w:ascii="Times New Roman" w:hAnsi="Times New Roman" w:cs="Times New Roman"/>
              <w:bCs/>
              <w:color w:val="auto"/>
              <w:kern w:val="2"/>
              <w:szCs w:val="32"/>
              <w:lang w:val="en-US" w:eastAsia="zh-CN" w:bidi="ar-SA"/>
            </w:rPr>
            <w:t>13.1</w:t>
          </w:r>
          <w:r>
            <w:rPr>
              <w:rFonts w:hint="default" w:ascii="Times New Roman" w:hAnsi="Times New Roman" w:cs="Times New Roman"/>
              <w:color w:val="auto"/>
            </w:rPr>
            <w:t>调查目的</w:t>
          </w:r>
          <w:r>
            <w:rPr>
              <w:color w:val="auto"/>
            </w:rPr>
            <w:tab/>
          </w:r>
          <w:r>
            <w:rPr>
              <w:color w:val="auto"/>
            </w:rPr>
            <w:fldChar w:fldCharType="begin"/>
          </w:r>
          <w:r>
            <w:rPr>
              <w:color w:val="auto"/>
            </w:rPr>
            <w:instrText xml:space="preserve"> PAGEREF _Toc4814 \h </w:instrText>
          </w:r>
          <w:r>
            <w:rPr>
              <w:color w:val="auto"/>
            </w:rPr>
            <w:fldChar w:fldCharType="separate"/>
          </w:r>
          <w:r>
            <w:rPr>
              <w:color w:val="auto"/>
            </w:rPr>
            <w:t>140</w:t>
          </w:r>
          <w:r>
            <w:rPr>
              <w:color w:val="auto"/>
            </w:rPr>
            <w:fldChar w:fldCharType="end"/>
          </w:r>
          <w:r>
            <w:rPr>
              <w:color w:val="auto"/>
            </w:rPr>
            <w:fldChar w:fldCharType="end"/>
          </w:r>
        </w:p>
        <w:p w14:paraId="5627D442">
          <w:pPr>
            <w:pStyle w:val="18"/>
            <w:tabs>
              <w:tab w:val="right" w:leader="dot" w:pos="8306"/>
            </w:tabs>
            <w:rPr>
              <w:color w:val="auto"/>
            </w:rPr>
          </w:pPr>
          <w:r>
            <w:rPr>
              <w:color w:val="auto"/>
            </w:rPr>
            <w:fldChar w:fldCharType="begin"/>
          </w:r>
          <w:r>
            <w:rPr>
              <w:color w:val="auto"/>
            </w:rPr>
            <w:instrText xml:space="preserve"> HYPERLINK \l _Toc4057 </w:instrText>
          </w:r>
          <w:r>
            <w:rPr>
              <w:color w:val="auto"/>
            </w:rPr>
            <w:fldChar w:fldCharType="separate"/>
          </w:r>
          <w:r>
            <w:rPr>
              <w:rFonts w:hint="eastAsia" w:ascii="Times New Roman" w:hAnsi="Times New Roman" w:cs="Times New Roman"/>
              <w:bCs/>
              <w:color w:val="auto"/>
              <w:kern w:val="2"/>
              <w:szCs w:val="32"/>
              <w:lang w:val="en-US" w:eastAsia="zh-CN" w:bidi="ar-SA"/>
            </w:rPr>
            <w:t>13.2</w:t>
          </w:r>
          <w:r>
            <w:rPr>
              <w:rFonts w:hint="default" w:ascii="Times New Roman" w:hAnsi="Times New Roman" w:cs="Times New Roman"/>
              <w:color w:val="auto"/>
            </w:rPr>
            <w:t>调查方法</w:t>
          </w:r>
          <w:r>
            <w:rPr>
              <w:color w:val="auto"/>
            </w:rPr>
            <w:tab/>
          </w:r>
          <w:r>
            <w:rPr>
              <w:color w:val="auto"/>
            </w:rPr>
            <w:fldChar w:fldCharType="begin"/>
          </w:r>
          <w:r>
            <w:rPr>
              <w:color w:val="auto"/>
            </w:rPr>
            <w:instrText xml:space="preserve"> PAGEREF _Toc4057 \h </w:instrText>
          </w:r>
          <w:r>
            <w:rPr>
              <w:color w:val="auto"/>
            </w:rPr>
            <w:fldChar w:fldCharType="separate"/>
          </w:r>
          <w:r>
            <w:rPr>
              <w:color w:val="auto"/>
            </w:rPr>
            <w:t>140</w:t>
          </w:r>
          <w:r>
            <w:rPr>
              <w:color w:val="auto"/>
            </w:rPr>
            <w:fldChar w:fldCharType="end"/>
          </w:r>
          <w:r>
            <w:rPr>
              <w:color w:val="auto"/>
            </w:rPr>
            <w:fldChar w:fldCharType="end"/>
          </w:r>
        </w:p>
        <w:p w14:paraId="458FC280">
          <w:pPr>
            <w:pStyle w:val="18"/>
            <w:tabs>
              <w:tab w:val="right" w:leader="dot" w:pos="8306"/>
            </w:tabs>
            <w:rPr>
              <w:color w:val="auto"/>
            </w:rPr>
          </w:pPr>
          <w:r>
            <w:rPr>
              <w:color w:val="auto"/>
            </w:rPr>
            <w:fldChar w:fldCharType="begin"/>
          </w:r>
          <w:r>
            <w:rPr>
              <w:color w:val="auto"/>
            </w:rPr>
            <w:instrText xml:space="preserve"> HYPERLINK \l _Toc5106 </w:instrText>
          </w:r>
          <w:r>
            <w:rPr>
              <w:color w:val="auto"/>
            </w:rPr>
            <w:fldChar w:fldCharType="separate"/>
          </w:r>
          <w:r>
            <w:rPr>
              <w:rFonts w:hint="eastAsia" w:ascii="Times New Roman" w:hAnsi="Times New Roman" w:cs="Times New Roman"/>
              <w:bCs/>
              <w:color w:val="auto"/>
              <w:kern w:val="2"/>
              <w:szCs w:val="32"/>
              <w:lang w:val="en-US" w:eastAsia="zh-CN" w:bidi="ar-SA"/>
            </w:rPr>
            <w:t>13.3</w:t>
          </w:r>
          <w:r>
            <w:rPr>
              <w:rFonts w:hint="default" w:ascii="Times New Roman" w:hAnsi="Times New Roman" w:cs="Times New Roman"/>
              <w:color w:val="auto"/>
            </w:rPr>
            <w:t>调查对象及调查内容</w:t>
          </w:r>
          <w:r>
            <w:rPr>
              <w:color w:val="auto"/>
            </w:rPr>
            <w:tab/>
          </w:r>
          <w:r>
            <w:rPr>
              <w:color w:val="auto"/>
            </w:rPr>
            <w:fldChar w:fldCharType="begin"/>
          </w:r>
          <w:r>
            <w:rPr>
              <w:color w:val="auto"/>
            </w:rPr>
            <w:instrText xml:space="preserve"> PAGEREF _Toc5106 \h </w:instrText>
          </w:r>
          <w:r>
            <w:rPr>
              <w:color w:val="auto"/>
            </w:rPr>
            <w:fldChar w:fldCharType="separate"/>
          </w:r>
          <w:r>
            <w:rPr>
              <w:color w:val="auto"/>
            </w:rPr>
            <w:t>140</w:t>
          </w:r>
          <w:r>
            <w:rPr>
              <w:color w:val="auto"/>
            </w:rPr>
            <w:fldChar w:fldCharType="end"/>
          </w:r>
          <w:r>
            <w:rPr>
              <w:color w:val="auto"/>
            </w:rPr>
            <w:fldChar w:fldCharType="end"/>
          </w:r>
        </w:p>
        <w:p w14:paraId="1FB4DD80">
          <w:pPr>
            <w:pStyle w:val="18"/>
            <w:tabs>
              <w:tab w:val="right" w:leader="dot" w:pos="8306"/>
            </w:tabs>
            <w:rPr>
              <w:color w:val="auto"/>
            </w:rPr>
          </w:pPr>
          <w:r>
            <w:rPr>
              <w:color w:val="auto"/>
            </w:rPr>
            <w:fldChar w:fldCharType="begin"/>
          </w:r>
          <w:r>
            <w:rPr>
              <w:color w:val="auto"/>
            </w:rPr>
            <w:instrText xml:space="preserve"> HYPERLINK \l _Toc2854 </w:instrText>
          </w:r>
          <w:r>
            <w:rPr>
              <w:color w:val="auto"/>
            </w:rPr>
            <w:fldChar w:fldCharType="separate"/>
          </w:r>
          <w:r>
            <w:rPr>
              <w:rFonts w:hint="eastAsia" w:ascii="Times New Roman" w:hAnsi="Times New Roman" w:cs="Times New Roman"/>
              <w:bCs/>
              <w:color w:val="auto"/>
              <w:kern w:val="2"/>
              <w:szCs w:val="32"/>
              <w:lang w:val="en-US" w:eastAsia="zh-CN" w:bidi="ar-SA"/>
            </w:rPr>
            <w:t>13.4</w:t>
          </w:r>
          <w:r>
            <w:rPr>
              <w:rFonts w:hint="default" w:ascii="Times New Roman" w:hAnsi="Times New Roman" w:cs="Times New Roman"/>
              <w:color w:val="auto"/>
            </w:rPr>
            <w:t>调查结果</w:t>
          </w:r>
          <w:r>
            <w:rPr>
              <w:color w:val="auto"/>
            </w:rPr>
            <w:tab/>
          </w:r>
          <w:r>
            <w:rPr>
              <w:color w:val="auto"/>
            </w:rPr>
            <w:fldChar w:fldCharType="begin"/>
          </w:r>
          <w:r>
            <w:rPr>
              <w:color w:val="auto"/>
            </w:rPr>
            <w:instrText xml:space="preserve"> PAGEREF _Toc2854 \h </w:instrText>
          </w:r>
          <w:r>
            <w:rPr>
              <w:color w:val="auto"/>
            </w:rPr>
            <w:fldChar w:fldCharType="separate"/>
          </w:r>
          <w:r>
            <w:rPr>
              <w:color w:val="auto"/>
            </w:rPr>
            <w:t>142</w:t>
          </w:r>
          <w:r>
            <w:rPr>
              <w:color w:val="auto"/>
            </w:rPr>
            <w:fldChar w:fldCharType="end"/>
          </w:r>
          <w:r>
            <w:rPr>
              <w:color w:val="auto"/>
            </w:rPr>
            <w:fldChar w:fldCharType="end"/>
          </w:r>
        </w:p>
        <w:p w14:paraId="02A43D6A">
          <w:pPr>
            <w:pStyle w:val="18"/>
            <w:tabs>
              <w:tab w:val="right" w:leader="dot" w:pos="8306"/>
            </w:tabs>
            <w:rPr>
              <w:color w:val="auto"/>
            </w:rPr>
          </w:pPr>
          <w:r>
            <w:rPr>
              <w:color w:val="auto"/>
            </w:rPr>
            <w:fldChar w:fldCharType="begin"/>
          </w:r>
          <w:r>
            <w:rPr>
              <w:color w:val="auto"/>
            </w:rPr>
            <w:instrText xml:space="preserve"> HYPERLINK \l _Toc31619 </w:instrText>
          </w:r>
          <w:r>
            <w:rPr>
              <w:color w:val="auto"/>
            </w:rPr>
            <w:fldChar w:fldCharType="separate"/>
          </w:r>
          <w:r>
            <w:rPr>
              <w:rFonts w:hint="eastAsia" w:ascii="Times New Roman" w:hAnsi="Times New Roman" w:cs="Times New Roman"/>
              <w:bCs/>
              <w:color w:val="auto"/>
              <w:kern w:val="2"/>
              <w:szCs w:val="32"/>
              <w:lang w:val="en-US" w:eastAsia="zh-CN" w:bidi="ar-SA"/>
            </w:rPr>
            <w:t>13.5</w:t>
          </w:r>
          <w:r>
            <w:rPr>
              <w:rFonts w:hint="default" w:ascii="Times New Roman" w:hAnsi="Times New Roman" w:cs="Times New Roman"/>
              <w:color w:val="auto"/>
            </w:rPr>
            <w:t>环保投诉情况调查</w:t>
          </w:r>
          <w:r>
            <w:rPr>
              <w:color w:val="auto"/>
            </w:rPr>
            <w:tab/>
          </w:r>
          <w:r>
            <w:rPr>
              <w:color w:val="auto"/>
            </w:rPr>
            <w:fldChar w:fldCharType="begin"/>
          </w:r>
          <w:r>
            <w:rPr>
              <w:color w:val="auto"/>
            </w:rPr>
            <w:instrText xml:space="preserve"> PAGEREF _Toc31619 \h </w:instrText>
          </w:r>
          <w:r>
            <w:rPr>
              <w:color w:val="auto"/>
            </w:rPr>
            <w:fldChar w:fldCharType="separate"/>
          </w:r>
          <w:r>
            <w:rPr>
              <w:color w:val="auto"/>
            </w:rPr>
            <w:t>145</w:t>
          </w:r>
          <w:r>
            <w:rPr>
              <w:color w:val="auto"/>
            </w:rPr>
            <w:fldChar w:fldCharType="end"/>
          </w:r>
          <w:r>
            <w:rPr>
              <w:color w:val="auto"/>
            </w:rPr>
            <w:fldChar w:fldCharType="end"/>
          </w:r>
        </w:p>
        <w:p w14:paraId="41AABE2D">
          <w:pPr>
            <w:pStyle w:val="16"/>
            <w:tabs>
              <w:tab w:val="right" w:leader="dot" w:pos="8306"/>
            </w:tabs>
            <w:rPr>
              <w:color w:val="auto"/>
            </w:rPr>
          </w:pPr>
          <w:r>
            <w:rPr>
              <w:color w:val="auto"/>
            </w:rPr>
            <w:fldChar w:fldCharType="begin"/>
          </w:r>
          <w:r>
            <w:rPr>
              <w:color w:val="auto"/>
            </w:rPr>
            <w:instrText xml:space="preserve"> HYPERLINK \l _Toc18226 </w:instrText>
          </w:r>
          <w:r>
            <w:rPr>
              <w:color w:val="auto"/>
            </w:rPr>
            <w:fldChar w:fldCharType="separate"/>
          </w:r>
          <w:r>
            <w:rPr>
              <w:rFonts w:hint="eastAsia" w:ascii="Times New Roman" w:hAnsi="Times New Roman" w:cs="Times New Roman"/>
              <w:color w:val="auto"/>
              <w:kern w:val="2"/>
              <w:lang w:val="en-US" w:eastAsia="zh-CN" w:bidi="ar-SA"/>
            </w:rPr>
            <w:t>14</w:t>
          </w:r>
          <w:r>
            <w:rPr>
              <w:rFonts w:hint="default" w:ascii="Times New Roman" w:hAnsi="Times New Roman" w:cs="Times New Roman"/>
              <w:color w:val="auto"/>
            </w:rPr>
            <w:t>调查结论与建议</w:t>
          </w:r>
          <w:r>
            <w:rPr>
              <w:color w:val="auto"/>
            </w:rPr>
            <w:tab/>
          </w:r>
          <w:r>
            <w:rPr>
              <w:color w:val="auto"/>
            </w:rPr>
            <w:fldChar w:fldCharType="begin"/>
          </w:r>
          <w:r>
            <w:rPr>
              <w:color w:val="auto"/>
            </w:rPr>
            <w:instrText xml:space="preserve"> PAGEREF _Toc18226 \h </w:instrText>
          </w:r>
          <w:r>
            <w:rPr>
              <w:color w:val="auto"/>
            </w:rPr>
            <w:fldChar w:fldCharType="separate"/>
          </w:r>
          <w:r>
            <w:rPr>
              <w:color w:val="auto"/>
            </w:rPr>
            <w:t>146</w:t>
          </w:r>
          <w:r>
            <w:rPr>
              <w:color w:val="auto"/>
            </w:rPr>
            <w:fldChar w:fldCharType="end"/>
          </w:r>
          <w:r>
            <w:rPr>
              <w:color w:val="auto"/>
            </w:rPr>
            <w:fldChar w:fldCharType="end"/>
          </w:r>
        </w:p>
        <w:p w14:paraId="67A79618">
          <w:pPr>
            <w:pStyle w:val="18"/>
            <w:tabs>
              <w:tab w:val="right" w:leader="dot" w:pos="8306"/>
            </w:tabs>
            <w:rPr>
              <w:color w:val="auto"/>
            </w:rPr>
          </w:pPr>
          <w:r>
            <w:rPr>
              <w:color w:val="auto"/>
            </w:rPr>
            <w:fldChar w:fldCharType="begin"/>
          </w:r>
          <w:r>
            <w:rPr>
              <w:color w:val="auto"/>
            </w:rPr>
            <w:instrText xml:space="preserve"> HYPERLINK \l _Toc29116 </w:instrText>
          </w:r>
          <w:r>
            <w:rPr>
              <w:color w:val="auto"/>
            </w:rPr>
            <w:fldChar w:fldCharType="separate"/>
          </w:r>
          <w:r>
            <w:rPr>
              <w:rFonts w:hint="eastAsia" w:ascii="Times New Roman" w:hAnsi="Times New Roman" w:cs="Times New Roman"/>
              <w:bCs/>
              <w:color w:val="auto"/>
              <w:kern w:val="2"/>
              <w:szCs w:val="32"/>
              <w:lang w:val="en-US" w:eastAsia="zh-CN" w:bidi="ar-SA"/>
            </w:rPr>
            <w:t>14.1</w:t>
          </w:r>
          <w:r>
            <w:rPr>
              <w:rFonts w:hint="default" w:ascii="Times New Roman" w:hAnsi="Times New Roman" w:cs="Times New Roman"/>
              <w:color w:val="auto"/>
            </w:rPr>
            <w:t>工程概况</w:t>
          </w:r>
          <w:r>
            <w:rPr>
              <w:color w:val="auto"/>
            </w:rPr>
            <w:tab/>
          </w:r>
          <w:r>
            <w:rPr>
              <w:color w:val="auto"/>
            </w:rPr>
            <w:fldChar w:fldCharType="begin"/>
          </w:r>
          <w:r>
            <w:rPr>
              <w:color w:val="auto"/>
            </w:rPr>
            <w:instrText xml:space="preserve"> PAGEREF _Toc29116 \h </w:instrText>
          </w:r>
          <w:r>
            <w:rPr>
              <w:color w:val="auto"/>
            </w:rPr>
            <w:fldChar w:fldCharType="separate"/>
          </w:r>
          <w:r>
            <w:rPr>
              <w:color w:val="auto"/>
            </w:rPr>
            <w:t>146</w:t>
          </w:r>
          <w:r>
            <w:rPr>
              <w:color w:val="auto"/>
            </w:rPr>
            <w:fldChar w:fldCharType="end"/>
          </w:r>
          <w:r>
            <w:rPr>
              <w:color w:val="auto"/>
            </w:rPr>
            <w:fldChar w:fldCharType="end"/>
          </w:r>
        </w:p>
        <w:p w14:paraId="6005D5C5">
          <w:pPr>
            <w:pStyle w:val="18"/>
            <w:tabs>
              <w:tab w:val="right" w:leader="dot" w:pos="8306"/>
            </w:tabs>
            <w:rPr>
              <w:color w:val="auto"/>
            </w:rPr>
          </w:pPr>
          <w:r>
            <w:rPr>
              <w:color w:val="auto"/>
            </w:rPr>
            <w:fldChar w:fldCharType="begin"/>
          </w:r>
          <w:r>
            <w:rPr>
              <w:color w:val="auto"/>
            </w:rPr>
            <w:instrText xml:space="preserve"> HYPERLINK \l _Toc23944 </w:instrText>
          </w:r>
          <w:r>
            <w:rPr>
              <w:color w:val="auto"/>
            </w:rPr>
            <w:fldChar w:fldCharType="separate"/>
          </w:r>
          <w:r>
            <w:rPr>
              <w:rFonts w:hint="eastAsia" w:ascii="Times New Roman" w:hAnsi="Times New Roman" w:cs="Times New Roman"/>
              <w:bCs/>
              <w:color w:val="auto"/>
              <w:kern w:val="2"/>
              <w:szCs w:val="32"/>
              <w:lang w:val="en-US" w:eastAsia="zh-CN" w:bidi="ar-SA"/>
            </w:rPr>
            <w:t>14.2</w:t>
          </w:r>
          <w:r>
            <w:rPr>
              <w:rFonts w:hint="default" w:ascii="Times New Roman" w:hAnsi="Times New Roman" w:cs="Times New Roman"/>
              <w:color w:val="auto"/>
            </w:rPr>
            <w:t>环境影响调查结论</w:t>
          </w:r>
          <w:r>
            <w:rPr>
              <w:color w:val="auto"/>
            </w:rPr>
            <w:tab/>
          </w:r>
          <w:r>
            <w:rPr>
              <w:color w:val="auto"/>
            </w:rPr>
            <w:fldChar w:fldCharType="begin"/>
          </w:r>
          <w:r>
            <w:rPr>
              <w:color w:val="auto"/>
            </w:rPr>
            <w:instrText xml:space="preserve"> PAGEREF _Toc23944 \h </w:instrText>
          </w:r>
          <w:r>
            <w:rPr>
              <w:color w:val="auto"/>
            </w:rPr>
            <w:fldChar w:fldCharType="separate"/>
          </w:r>
          <w:r>
            <w:rPr>
              <w:color w:val="auto"/>
            </w:rPr>
            <w:t>146</w:t>
          </w:r>
          <w:r>
            <w:rPr>
              <w:color w:val="auto"/>
            </w:rPr>
            <w:fldChar w:fldCharType="end"/>
          </w:r>
          <w:r>
            <w:rPr>
              <w:color w:val="auto"/>
            </w:rPr>
            <w:fldChar w:fldCharType="end"/>
          </w:r>
        </w:p>
        <w:p w14:paraId="2D6FBFE8">
          <w:pPr>
            <w:pStyle w:val="18"/>
            <w:tabs>
              <w:tab w:val="right" w:leader="dot" w:pos="8306"/>
            </w:tabs>
            <w:rPr>
              <w:color w:val="auto"/>
            </w:rPr>
          </w:pPr>
          <w:r>
            <w:rPr>
              <w:color w:val="auto"/>
            </w:rPr>
            <w:fldChar w:fldCharType="begin"/>
          </w:r>
          <w:r>
            <w:rPr>
              <w:color w:val="auto"/>
            </w:rPr>
            <w:instrText xml:space="preserve"> HYPERLINK \l _Toc23383 </w:instrText>
          </w:r>
          <w:r>
            <w:rPr>
              <w:color w:val="auto"/>
            </w:rPr>
            <w:fldChar w:fldCharType="separate"/>
          </w:r>
          <w:r>
            <w:rPr>
              <w:rFonts w:hint="eastAsia" w:ascii="Times New Roman" w:hAnsi="Times New Roman" w:cs="Times New Roman"/>
              <w:bCs/>
              <w:color w:val="auto"/>
              <w:kern w:val="2"/>
              <w:szCs w:val="32"/>
              <w:lang w:val="en-US" w:eastAsia="zh-CN" w:bidi="ar-SA"/>
            </w:rPr>
            <w:t>14.3</w:t>
          </w:r>
          <w:r>
            <w:rPr>
              <w:rFonts w:hint="default" w:ascii="Times New Roman" w:hAnsi="Times New Roman" w:cs="Times New Roman"/>
              <w:color w:val="auto"/>
            </w:rPr>
            <w:t>环境管理及监测计划调查结果</w:t>
          </w:r>
          <w:r>
            <w:rPr>
              <w:color w:val="auto"/>
            </w:rPr>
            <w:tab/>
          </w:r>
          <w:r>
            <w:rPr>
              <w:color w:val="auto"/>
            </w:rPr>
            <w:fldChar w:fldCharType="begin"/>
          </w:r>
          <w:r>
            <w:rPr>
              <w:color w:val="auto"/>
            </w:rPr>
            <w:instrText xml:space="preserve"> PAGEREF _Toc23383 \h </w:instrText>
          </w:r>
          <w:r>
            <w:rPr>
              <w:color w:val="auto"/>
            </w:rPr>
            <w:fldChar w:fldCharType="separate"/>
          </w:r>
          <w:r>
            <w:rPr>
              <w:color w:val="auto"/>
            </w:rPr>
            <w:t>147</w:t>
          </w:r>
          <w:r>
            <w:rPr>
              <w:color w:val="auto"/>
            </w:rPr>
            <w:fldChar w:fldCharType="end"/>
          </w:r>
          <w:r>
            <w:rPr>
              <w:color w:val="auto"/>
            </w:rPr>
            <w:fldChar w:fldCharType="end"/>
          </w:r>
        </w:p>
        <w:p w14:paraId="0EABCA92">
          <w:pPr>
            <w:pStyle w:val="18"/>
            <w:tabs>
              <w:tab w:val="right" w:leader="dot" w:pos="8306"/>
            </w:tabs>
            <w:rPr>
              <w:color w:val="auto"/>
            </w:rPr>
          </w:pPr>
          <w:r>
            <w:rPr>
              <w:color w:val="auto"/>
            </w:rPr>
            <w:fldChar w:fldCharType="begin"/>
          </w:r>
          <w:r>
            <w:rPr>
              <w:color w:val="auto"/>
            </w:rPr>
            <w:instrText xml:space="preserve"> HYPERLINK \l _Toc21508 </w:instrText>
          </w:r>
          <w:r>
            <w:rPr>
              <w:color w:val="auto"/>
            </w:rPr>
            <w:fldChar w:fldCharType="separate"/>
          </w:r>
          <w:r>
            <w:rPr>
              <w:rFonts w:hint="eastAsia" w:ascii="Times New Roman" w:hAnsi="Times New Roman" w:cs="Times New Roman"/>
              <w:bCs/>
              <w:color w:val="auto"/>
              <w:kern w:val="2"/>
              <w:szCs w:val="32"/>
              <w:lang w:val="en-US" w:eastAsia="zh-CN" w:bidi="ar-SA"/>
            </w:rPr>
            <w:t>14.4</w:t>
          </w:r>
          <w:r>
            <w:rPr>
              <w:rFonts w:hint="default" w:ascii="Times New Roman" w:hAnsi="Times New Roman" w:cs="Times New Roman"/>
              <w:color w:val="auto"/>
            </w:rPr>
            <w:t>公众意见调查结果</w:t>
          </w:r>
          <w:r>
            <w:rPr>
              <w:color w:val="auto"/>
            </w:rPr>
            <w:tab/>
          </w:r>
          <w:r>
            <w:rPr>
              <w:color w:val="auto"/>
            </w:rPr>
            <w:fldChar w:fldCharType="begin"/>
          </w:r>
          <w:r>
            <w:rPr>
              <w:color w:val="auto"/>
            </w:rPr>
            <w:instrText xml:space="preserve"> PAGEREF _Toc21508 \h </w:instrText>
          </w:r>
          <w:r>
            <w:rPr>
              <w:color w:val="auto"/>
            </w:rPr>
            <w:fldChar w:fldCharType="separate"/>
          </w:r>
          <w:r>
            <w:rPr>
              <w:color w:val="auto"/>
            </w:rPr>
            <w:t>148</w:t>
          </w:r>
          <w:r>
            <w:rPr>
              <w:color w:val="auto"/>
            </w:rPr>
            <w:fldChar w:fldCharType="end"/>
          </w:r>
          <w:r>
            <w:rPr>
              <w:color w:val="auto"/>
            </w:rPr>
            <w:fldChar w:fldCharType="end"/>
          </w:r>
        </w:p>
        <w:p w14:paraId="64C493FC">
          <w:pPr>
            <w:pStyle w:val="18"/>
            <w:tabs>
              <w:tab w:val="right" w:leader="dot" w:pos="8306"/>
            </w:tabs>
            <w:rPr>
              <w:color w:val="auto"/>
            </w:rPr>
          </w:pPr>
          <w:r>
            <w:rPr>
              <w:color w:val="auto"/>
            </w:rPr>
            <w:fldChar w:fldCharType="begin"/>
          </w:r>
          <w:r>
            <w:rPr>
              <w:color w:val="auto"/>
            </w:rPr>
            <w:instrText xml:space="preserve"> HYPERLINK \l _Toc12957 </w:instrText>
          </w:r>
          <w:r>
            <w:rPr>
              <w:color w:val="auto"/>
            </w:rPr>
            <w:fldChar w:fldCharType="separate"/>
          </w:r>
          <w:r>
            <w:rPr>
              <w:rFonts w:hint="eastAsia" w:ascii="Times New Roman" w:hAnsi="Times New Roman" w:cs="Times New Roman"/>
              <w:bCs/>
              <w:color w:val="auto"/>
              <w:kern w:val="2"/>
              <w:szCs w:val="32"/>
              <w:lang w:val="en-US" w:eastAsia="zh-CN" w:bidi="ar-SA"/>
            </w:rPr>
            <w:t>14.5</w:t>
          </w:r>
          <w:r>
            <w:rPr>
              <w:rFonts w:hint="default" w:ascii="Times New Roman" w:hAnsi="Times New Roman" w:cs="Times New Roman"/>
              <w:color w:val="auto"/>
            </w:rPr>
            <w:t>结论与要求</w:t>
          </w:r>
          <w:r>
            <w:rPr>
              <w:color w:val="auto"/>
            </w:rPr>
            <w:tab/>
          </w:r>
          <w:r>
            <w:rPr>
              <w:color w:val="auto"/>
            </w:rPr>
            <w:fldChar w:fldCharType="begin"/>
          </w:r>
          <w:r>
            <w:rPr>
              <w:color w:val="auto"/>
            </w:rPr>
            <w:instrText xml:space="preserve"> PAGEREF _Toc12957 \h </w:instrText>
          </w:r>
          <w:r>
            <w:rPr>
              <w:color w:val="auto"/>
            </w:rPr>
            <w:fldChar w:fldCharType="separate"/>
          </w:r>
          <w:r>
            <w:rPr>
              <w:color w:val="auto"/>
            </w:rPr>
            <w:t>148</w:t>
          </w:r>
          <w:r>
            <w:rPr>
              <w:color w:val="auto"/>
            </w:rPr>
            <w:fldChar w:fldCharType="end"/>
          </w:r>
          <w:r>
            <w:rPr>
              <w:color w:val="auto"/>
            </w:rPr>
            <w:fldChar w:fldCharType="end"/>
          </w:r>
        </w:p>
        <w:p w14:paraId="31B4C7C5">
          <w:pPr>
            <w:rPr>
              <w:color w:val="auto"/>
            </w:rPr>
            <w:sectPr>
              <w:footerReference r:id="rId13" w:type="default"/>
              <w:pgSz w:w="11906" w:h="16838"/>
              <w:pgMar w:top="1440" w:right="1800" w:bottom="1440" w:left="1800" w:header="680" w:footer="992" w:gutter="0"/>
              <w:pgBorders>
                <w:top w:val="none" w:sz="0" w:space="0"/>
                <w:left w:val="none" w:sz="0" w:space="0"/>
                <w:bottom w:val="none" w:sz="0" w:space="0"/>
                <w:right w:val="none" w:sz="0" w:space="0"/>
              </w:pgBorders>
              <w:pgNumType w:fmt="upperRoman" w:start="1"/>
              <w:cols w:space="720" w:num="1"/>
              <w:docGrid w:type="linesAndChars" w:linePitch="326" w:charSpace="0"/>
            </w:sectPr>
          </w:pPr>
          <w:r>
            <w:rPr>
              <w:color w:val="auto"/>
            </w:rPr>
            <w:fldChar w:fldCharType="end"/>
          </w:r>
        </w:p>
      </w:sdtContent>
    </w:sdt>
    <w:p w14:paraId="7DC0541E">
      <w:pPr>
        <w:keepNext w:val="0"/>
        <w:keepLines w:val="0"/>
        <w:pageBreakBefore w:val="0"/>
        <w:widowControl w:val="0"/>
        <w:kinsoku/>
        <w:wordWrap/>
        <w:topLinePunct w:val="0"/>
        <w:bidi w:val="0"/>
        <w:adjustRightInd w:val="0"/>
        <w:snapToGrid w:val="0"/>
        <w:spacing w:line="360" w:lineRule="auto"/>
        <w:ind w:left="0" w:leftChars="0" w:firstLine="560" w:firstLineChars="200"/>
        <w:jc w:val="center"/>
        <w:rPr>
          <w:rFonts w:hint="default" w:ascii="Times New Roman" w:hAnsi="Times New Roman" w:cs="Times New Roman"/>
          <w:b/>
          <w:color w:val="auto"/>
          <w:sz w:val="28"/>
          <w:szCs w:val="24"/>
        </w:rPr>
      </w:pPr>
      <w:r>
        <w:rPr>
          <w:rFonts w:hint="default" w:ascii="Times New Roman" w:hAnsi="Times New Roman" w:cs="Times New Roman"/>
          <w:b/>
          <w:color w:val="auto"/>
          <w:sz w:val="28"/>
          <w:szCs w:val="24"/>
        </w:rPr>
        <w:t>附图</w:t>
      </w:r>
      <w:r>
        <w:rPr>
          <w:rFonts w:hint="eastAsia" w:cs="Times New Roman"/>
          <w:b/>
          <w:color w:val="auto"/>
          <w:sz w:val="28"/>
          <w:szCs w:val="24"/>
          <w:lang w:eastAsia="zh-CN"/>
        </w:rPr>
        <w:t>、</w:t>
      </w:r>
      <w:r>
        <w:rPr>
          <w:rFonts w:hint="default" w:ascii="Times New Roman" w:hAnsi="Times New Roman" w:cs="Times New Roman"/>
          <w:b/>
          <w:color w:val="auto"/>
          <w:sz w:val="28"/>
          <w:szCs w:val="24"/>
        </w:rPr>
        <w:t>附件目录</w:t>
      </w:r>
    </w:p>
    <w:p w14:paraId="59061B92">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default" w:ascii="Times New Roman" w:hAnsi="Times New Roman" w:cs="Times New Roman"/>
          <w:b/>
          <w:color w:val="auto"/>
          <w:szCs w:val="24"/>
        </w:rPr>
      </w:pPr>
      <w:r>
        <w:rPr>
          <w:rFonts w:hint="default" w:ascii="Times New Roman" w:hAnsi="Times New Roman" w:cs="Times New Roman"/>
          <w:b/>
          <w:color w:val="auto"/>
          <w:szCs w:val="24"/>
        </w:rPr>
        <w:t>附图</w:t>
      </w:r>
    </w:p>
    <w:p w14:paraId="083E5046">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default" w:ascii="Times New Roman" w:hAnsi="Times New Roman" w:cs="Times New Roman"/>
          <w:b w:val="0"/>
          <w:bCs/>
          <w:color w:val="auto"/>
          <w:szCs w:val="24"/>
        </w:rPr>
      </w:pPr>
      <w:r>
        <w:rPr>
          <w:rFonts w:hint="default" w:ascii="Times New Roman" w:hAnsi="Times New Roman" w:cs="Times New Roman"/>
          <w:b w:val="0"/>
          <w:bCs/>
          <w:color w:val="auto"/>
          <w:szCs w:val="24"/>
        </w:rPr>
        <w:t>附图1项目地理位置图</w:t>
      </w:r>
    </w:p>
    <w:p w14:paraId="1EF68013">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eastAsia" w:cs="Times New Roman"/>
          <w:b w:val="0"/>
          <w:bCs/>
          <w:color w:val="auto"/>
          <w:szCs w:val="24"/>
          <w:lang w:val="en-US" w:eastAsia="zh-CN"/>
        </w:rPr>
      </w:pPr>
      <w:r>
        <w:rPr>
          <w:rFonts w:hint="eastAsia" w:cs="Times New Roman"/>
          <w:b w:val="0"/>
          <w:bCs/>
          <w:color w:val="auto"/>
          <w:szCs w:val="24"/>
          <w:lang w:val="en-US" w:eastAsia="zh-CN"/>
        </w:rPr>
        <w:t>附图2.1 项目地表水监测布点图</w:t>
      </w:r>
    </w:p>
    <w:p w14:paraId="57718E70">
      <w:pPr>
        <w:keepNext w:val="0"/>
        <w:keepLines w:val="0"/>
        <w:pageBreakBefore w:val="0"/>
        <w:widowControl w:val="0"/>
        <w:kinsoku/>
        <w:wordWrap/>
        <w:topLinePunct w:val="0"/>
        <w:bidi w:val="0"/>
        <w:adjustRightInd w:val="0"/>
        <w:snapToGrid w:val="0"/>
        <w:spacing w:line="360" w:lineRule="auto"/>
        <w:ind w:left="0" w:leftChars="0" w:firstLine="480" w:firstLineChars="200"/>
        <w:rPr>
          <w:color w:val="auto"/>
        </w:rPr>
      </w:pPr>
      <w:r>
        <w:rPr>
          <w:rFonts w:hint="eastAsia" w:cs="Times New Roman"/>
          <w:b w:val="0"/>
          <w:bCs/>
          <w:color w:val="auto"/>
          <w:szCs w:val="24"/>
          <w:lang w:val="en-US" w:eastAsia="zh-CN"/>
        </w:rPr>
        <w:t>附图2.2 验收监测全线布点图</w:t>
      </w:r>
    </w:p>
    <w:p w14:paraId="413EAB55">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eastAsia"/>
          <w:color w:val="auto"/>
          <w:lang w:val="en-US" w:eastAsia="zh-CN"/>
        </w:rPr>
      </w:pPr>
      <w:r>
        <w:rPr>
          <w:rFonts w:hint="eastAsia"/>
          <w:color w:val="auto"/>
          <w:lang w:val="en-US" w:eastAsia="zh-CN"/>
        </w:rPr>
        <w:t>附图3.1线路起点至陈家坝大桥段沿线敏感点目标分布示意图</w:t>
      </w:r>
    </w:p>
    <w:p w14:paraId="0355A6E9">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default"/>
          <w:color w:val="auto"/>
          <w:lang w:val="en-US" w:eastAsia="zh-CN"/>
        </w:rPr>
      </w:pPr>
      <w:r>
        <w:rPr>
          <w:rFonts w:hint="default"/>
          <w:color w:val="auto"/>
          <w:lang w:val="en-US" w:eastAsia="zh-CN"/>
        </w:rPr>
        <w:t>附图3-2</w:t>
      </w:r>
      <w:r>
        <w:rPr>
          <w:rFonts w:hint="eastAsia"/>
          <w:color w:val="auto"/>
          <w:lang w:val="en-US" w:eastAsia="zh-CN"/>
        </w:rPr>
        <w:t xml:space="preserve"> </w:t>
      </w:r>
      <w:r>
        <w:rPr>
          <w:rFonts w:hint="default"/>
          <w:color w:val="auto"/>
          <w:lang w:val="en-US" w:eastAsia="zh-CN"/>
        </w:rPr>
        <w:t>陈家坝大桥至团结水库中桥段沿线敏感点目标分布示意图</w:t>
      </w:r>
    </w:p>
    <w:p w14:paraId="2ACC68B1">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default"/>
          <w:color w:val="auto"/>
          <w:lang w:val="en-US" w:eastAsia="zh-CN"/>
        </w:rPr>
      </w:pPr>
      <w:r>
        <w:rPr>
          <w:rFonts w:hint="default"/>
          <w:color w:val="auto"/>
          <w:lang w:val="en-US" w:eastAsia="zh-CN"/>
        </w:rPr>
        <w:t>附图3-3</w:t>
      </w:r>
      <w:r>
        <w:rPr>
          <w:rFonts w:hint="eastAsia"/>
          <w:color w:val="auto"/>
          <w:lang w:val="en-US" w:eastAsia="zh-CN"/>
        </w:rPr>
        <w:t xml:space="preserve"> </w:t>
      </w:r>
      <w:r>
        <w:rPr>
          <w:rFonts w:hint="default"/>
          <w:color w:val="auto"/>
          <w:lang w:val="en-US" w:eastAsia="zh-CN"/>
        </w:rPr>
        <w:t>团结水库中桥至项目终点段沿线敏感点目标分布示意图</w:t>
      </w:r>
    </w:p>
    <w:p w14:paraId="396206A2">
      <w:pPr>
        <w:keepNext w:val="0"/>
        <w:keepLines w:val="0"/>
        <w:pageBreakBefore w:val="0"/>
        <w:widowControl w:val="0"/>
        <w:kinsoku/>
        <w:wordWrap/>
        <w:topLinePunct w:val="0"/>
        <w:bidi w:val="0"/>
        <w:adjustRightInd w:val="0"/>
        <w:snapToGrid w:val="0"/>
        <w:spacing w:line="360" w:lineRule="auto"/>
        <w:ind w:left="0" w:leftChars="0" w:firstLine="480" w:firstLineChars="200"/>
        <w:rPr>
          <w:rFonts w:hint="default" w:ascii="Times New Roman" w:hAnsi="Times New Roman" w:cs="Times New Roman"/>
          <w:b/>
          <w:color w:val="auto"/>
          <w:szCs w:val="24"/>
        </w:rPr>
      </w:pPr>
      <w:r>
        <w:rPr>
          <w:rFonts w:hint="default" w:ascii="Times New Roman" w:hAnsi="Times New Roman" w:cs="Times New Roman"/>
          <w:b/>
          <w:color w:val="auto"/>
          <w:szCs w:val="24"/>
        </w:rPr>
        <w:t>附件</w:t>
      </w:r>
    </w:p>
    <w:p w14:paraId="08497F5D">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附件1：《重庆市交通委员会关于广安主城区过境高速公路</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含对渝合作园区连接支线</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工程可行性研究路线及互通设置方案意见的函》（渝交委计〔2014〕51号）</w:t>
      </w:r>
    </w:p>
    <w:p w14:paraId="65C9828C">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附件2：《四川省发展和改革委员会重庆市发展和改革委员会关于广安市过境高速公路东环线及渝广高速支线项目核准的批复》</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川发改基础〔2017〕317号</w:t>
      </w:r>
      <w:r>
        <w:rPr>
          <w:rFonts w:hint="eastAsia" w:ascii="Times New Roman" w:hAnsi="Times New Roman" w:cs="Times New Roman"/>
          <w:color w:val="auto"/>
          <w:sz w:val="24"/>
          <w:szCs w:val="24"/>
          <w:lang w:val="en-US" w:eastAsia="zh-CN"/>
        </w:rPr>
        <w:t>）</w:t>
      </w:r>
    </w:p>
    <w:p w14:paraId="63848A59">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附件3：《重庆市交通委员会关于渝广高速支线</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重庆段</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初步设计的批复》（渝交委路〔2017〕125号）</w:t>
      </w:r>
    </w:p>
    <w:p w14:paraId="55C180E1">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附件4：《重庆市交通委员会关于渝广高速支线</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重庆段</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施工图设计的批复》（渝交委路〔2018〕55号）</w:t>
      </w:r>
    </w:p>
    <w:p w14:paraId="766ABB32">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附件5：《重庆市国土房管局关于广安市过境高速公路东环线及渝广高速支线</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重庆段</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建设项目用地预审的意见》（渝国土房管规〔2016〕77号）</w:t>
      </w:r>
    </w:p>
    <w:p w14:paraId="2D818C36">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附件6：《建设项目用地预审与选址意见书》（用字第市政500000202000013号）</w:t>
      </w:r>
    </w:p>
    <w:p w14:paraId="2F7D0C8E">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附件7：《重庆市建设项目环境影响评价文件批准书》（渝</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合</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环准〔2015〕152号）</w:t>
      </w:r>
    </w:p>
    <w:p w14:paraId="18F3D6CA">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附件8：</w:t>
      </w:r>
      <w:r>
        <w:rPr>
          <w:rFonts w:hint="eastAsia" w:ascii="Times New Roman" w:hAnsi="Times New Roman" w:cs="Times New Roman"/>
          <w:b w:val="0"/>
          <w:bCs w:val="0"/>
          <w:color w:val="auto"/>
          <w:sz w:val="24"/>
          <w:szCs w:val="24"/>
          <w:lang w:val="en-US" w:eastAsia="zh-CN"/>
        </w:rPr>
        <w:t>《重庆市建设项目环境影响评价文件批准书》（渝（合）环准〔2026〕12号）</w:t>
      </w:r>
    </w:p>
    <w:p w14:paraId="72482A16">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附件9：</w:t>
      </w:r>
      <w:r>
        <w:rPr>
          <w:rFonts w:hint="eastAsia" w:cs="Times New Roman"/>
          <w:color w:val="auto"/>
          <w:sz w:val="24"/>
          <w:szCs w:val="24"/>
          <w:lang w:val="en-US" w:eastAsia="zh-CN"/>
        </w:rPr>
        <w:t>《广安绕城（重庆段）水保方案变更批复 渝水许可〔2021〕15号》</w:t>
      </w:r>
    </w:p>
    <w:p w14:paraId="3D7F6D22">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附件10：</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重庆市合川区人民政府关于调整石庙子水库规划使用功能的函</w:t>
      </w:r>
      <w:r>
        <w:rPr>
          <w:rFonts w:hint="eastAsia" w:ascii="Times New Roman" w:hAnsi="Times New Roman" w:cs="Times New Roman"/>
          <w:color w:val="auto"/>
          <w:sz w:val="24"/>
          <w:szCs w:val="24"/>
          <w:lang w:val="en-US" w:eastAsia="zh-CN"/>
        </w:rPr>
        <w:t>》</w:t>
      </w:r>
    </w:p>
    <w:p w14:paraId="06AB3C58">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附件11：</w:t>
      </w:r>
      <w:r>
        <w:rPr>
          <w:rFonts w:hint="eastAsia" w:ascii="Times New Roman" w:hAnsi="Times New Roman" w:cs="Times New Roman"/>
          <w:color w:val="auto"/>
          <w:sz w:val="24"/>
          <w:szCs w:val="24"/>
          <w:lang w:val="en-US" w:eastAsia="zh-CN"/>
        </w:rPr>
        <w:t>《四川广安绕城高速公路有限责任公司关于广安市过境高速公路东环线及渝广高速支线项目（重庆合川境）施工用地不涉及古树名木的说明》</w:t>
      </w:r>
    </w:p>
    <w:p w14:paraId="5C48A606">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附件12：</w:t>
      </w:r>
      <w:r>
        <w:rPr>
          <w:rFonts w:hint="eastAsia" w:cs="Times New Roman"/>
          <w:color w:val="auto"/>
          <w:sz w:val="24"/>
          <w:szCs w:val="24"/>
          <w:lang w:val="en-US" w:eastAsia="zh-CN"/>
        </w:rPr>
        <w:t>《广安市过境高速公路东环线及渝广高速支线（重庆合川境）突发环境事件应急预案（2024版）》突发环境事件应急预案送达回执</w:t>
      </w:r>
    </w:p>
    <w:p w14:paraId="432AE31C">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附件13：《重庆市人民政府关于合川区建设渝广高速支线重庆段农用地转用和土地征收的批复》（渝府地〔2020〕1091号）</w:t>
      </w:r>
    </w:p>
    <w:p w14:paraId="46D2A57F">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附件14：《使用林地</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自然保护区</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审核同意书》（渝林许可地〔2020〕320号）</w:t>
      </w:r>
    </w:p>
    <w:p w14:paraId="7F2D5269">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四川广安过境高速公路东环线及渝广高速支线（合川段）临时用地协议</w:t>
      </w:r>
      <w:r>
        <w:rPr>
          <w:rFonts w:hint="eastAsia" w:ascii="Times New Roman" w:hAnsi="Times New Roman" w:cs="Times New Roman"/>
          <w:color w:val="auto"/>
          <w:sz w:val="24"/>
          <w:szCs w:val="24"/>
          <w:lang w:val="en-US" w:eastAsia="zh-CN"/>
        </w:rPr>
        <w:t>》</w:t>
      </w:r>
    </w:p>
    <w:p w14:paraId="4D6E5746">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val="en-US" w:eastAsia="zh-CN"/>
        </w:rPr>
        <w:t>：</w:t>
      </w:r>
      <w:r>
        <w:rPr>
          <w:rFonts w:hint="eastAsia"/>
          <w:color w:val="auto"/>
          <w:lang w:eastAsia="zh-CN"/>
        </w:rPr>
        <w:t>《</w:t>
      </w:r>
      <w:r>
        <w:rPr>
          <w:rFonts w:hint="default" w:ascii="Times New Roman" w:hAnsi="Times New Roman" w:cs="Times New Roman"/>
          <w:color w:val="auto"/>
          <w:sz w:val="24"/>
          <w:szCs w:val="24"/>
          <w:lang w:val="en-US" w:eastAsia="zh-CN"/>
        </w:rPr>
        <w:t>重庆市合川区生态环境局关于未对四川广安绕城高速公路有限责任公司“未批先建”违法行为行政处罚的情况说明</w:t>
      </w:r>
      <w:r>
        <w:rPr>
          <w:rFonts w:hint="eastAsia" w:ascii="Times New Roman" w:hAnsi="Times New Roman" w:cs="Times New Roman"/>
          <w:color w:val="auto"/>
          <w:sz w:val="24"/>
          <w:szCs w:val="24"/>
          <w:lang w:val="en-US" w:eastAsia="zh-CN"/>
        </w:rPr>
        <w:t>》</w:t>
      </w:r>
    </w:p>
    <w:p w14:paraId="19376D0C">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w:t>
      </w: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val="en-US" w:eastAsia="zh-CN"/>
        </w:rPr>
        <w:t>：《重庆市合川区生态环境局行政处罚决定书》（合环罚〔2025〕59号）</w:t>
      </w:r>
      <w:r>
        <w:rPr>
          <w:rFonts w:hint="eastAsia" w:ascii="Times New Roman" w:hAnsi="Times New Roman" w:cs="Times New Roman"/>
          <w:color w:val="auto"/>
          <w:sz w:val="24"/>
          <w:szCs w:val="24"/>
          <w:lang w:val="en-US" w:eastAsia="zh-CN"/>
        </w:rPr>
        <w:t>及</w:t>
      </w:r>
      <w:r>
        <w:rPr>
          <w:rFonts w:hint="default" w:ascii="Times New Roman" w:hAnsi="Times New Roman" w:cs="Times New Roman"/>
          <w:color w:val="auto"/>
          <w:sz w:val="24"/>
          <w:szCs w:val="24"/>
          <w:lang w:val="en-US" w:eastAsia="zh-CN"/>
        </w:rPr>
        <w:t>罚款缴费单</w:t>
      </w:r>
    </w:p>
    <w:p w14:paraId="6E703F06">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附件1</w:t>
      </w:r>
      <w:r>
        <w:rPr>
          <w:rFonts w:hint="eastAsia" w:ascii="Times New Roman" w:hAnsi="Times New Roman" w:cs="Times New Roman"/>
          <w:color w:val="auto"/>
          <w:sz w:val="24"/>
          <w:szCs w:val="24"/>
          <w:lang w:val="en-US" w:eastAsia="zh-CN"/>
        </w:rPr>
        <w:t>8</w:t>
      </w:r>
      <w:r>
        <w:rPr>
          <w:rFonts w:hint="eastAsia" w:cs="Times New Roman"/>
          <w:color w:val="auto"/>
          <w:sz w:val="24"/>
          <w:szCs w:val="24"/>
          <w:lang w:val="en-US" w:eastAsia="zh-CN"/>
        </w:rPr>
        <w:t>.1</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引用</w:t>
      </w:r>
      <w:r>
        <w:rPr>
          <w:rFonts w:hint="eastAsia" w:ascii="Times New Roman" w:hAnsi="Times New Roman" w:cs="Times New Roman"/>
          <w:color w:val="auto"/>
          <w:sz w:val="24"/>
          <w:szCs w:val="24"/>
          <w:lang w:val="en-US" w:eastAsia="zh-CN"/>
        </w:rPr>
        <w:t>《检测报告》（川绿检字（2022）第0710号）</w:t>
      </w:r>
    </w:p>
    <w:p w14:paraId="55799E80">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附件</w:t>
      </w:r>
      <w:r>
        <w:rPr>
          <w:rFonts w:hint="default"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val="en-US" w:eastAsia="zh-CN"/>
        </w:rPr>
        <w:t>8</w:t>
      </w:r>
      <w:r>
        <w:rPr>
          <w:rFonts w:hint="eastAsia" w:cs="Times New Roman"/>
          <w:color w:val="auto"/>
          <w:sz w:val="24"/>
          <w:szCs w:val="24"/>
          <w:lang w:val="en-US" w:eastAsia="zh-CN"/>
        </w:rPr>
        <w:t>.2</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引用</w:t>
      </w:r>
      <w:r>
        <w:rPr>
          <w:rFonts w:hint="eastAsia" w:ascii="Times New Roman" w:hAnsi="Times New Roman" w:cs="Times New Roman"/>
          <w:color w:val="auto"/>
          <w:sz w:val="24"/>
          <w:szCs w:val="24"/>
          <w:lang w:val="en-US" w:eastAsia="zh-CN"/>
        </w:rPr>
        <w:t>《检测报告》（2510WT157号）</w:t>
      </w:r>
    </w:p>
    <w:p w14:paraId="38EDB28E">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w:t>
      </w:r>
      <w:r>
        <w:rPr>
          <w:rFonts w:hint="eastAsia" w:ascii="Times New Roman" w:hAnsi="Times New Roman" w:cs="Times New Roman"/>
          <w:color w:val="auto"/>
          <w:sz w:val="24"/>
          <w:szCs w:val="24"/>
          <w:lang w:val="en-US" w:eastAsia="zh-CN"/>
        </w:rPr>
        <w:t>19</w:t>
      </w:r>
      <w:r>
        <w:rPr>
          <w:rFonts w:hint="default" w:ascii="Times New Roman" w:hAnsi="Times New Roman" w:cs="Times New Roman"/>
          <w:color w:val="auto"/>
          <w:sz w:val="24"/>
          <w:szCs w:val="24"/>
          <w:lang w:val="en-US" w:eastAsia="zh-CN"/>
        </w:rPr>
        <w:t>：</w:t>
      </w:r>
      <w:r>
        <w:rPr>
          <w:rFonts w:hint="eastAsia" w:ascii="Times New Roman" w:hAnsi="Times New Roman" w:cs="Times New Roman"/>
          <w:b w:val="0"/>
          <w:bCs w:val="0"/>
          <w:color w:val="auto"/>
          <w:sz w:val="24"/>
          <w:szCs w:val="24"/>
          <w:lang w:val="en-US" w:eastAsia="zh-CN"/>
        </w:rPr>
        <w:t>《检测报告》（九升（检）字</w:t>
      </w:r>
      <w:r>
        <w:rPr>
          <w:rFonts w:hint="eastAsia" w:cs="Times New Roman"/>
          <w:b w:val="0"/>
          <w:bCs w:val="0"/>
          <w:color w:val="auto"/>
          <w:sz w:val="24"/>
          <w:szCs w:val="24"/>
          <w:lang w:val="en-US" w:eastAsia="zh-CN"/>
        </w:rPr>
        <w:t>〔2026〕</w:t>
      </w:r>
      <w:r>
        <w:rPr>
          <w:rFonts w:hint="eastAsia" w:ascii="Times New Roman" w:hAnsi="Times New Roman" w:cs="Times New Roman"/>
          <w:b w:val="0"/>
          <w:bCs w:val="0"/>
          <w:color w:val="auto"/>
          <w:sz w:val="24"/>
          <w:szCs w:val="24"/>
          <w:lang w:val="en-US" w:eastAsia="zh-CN"/>
        </w:rPr>
        <w:t>第WT01021-2号）</w:t>
      </w:r>
    </w:p>
    <w:p w14:paraId="64DCAFAF">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附件2</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lang w:val="en-US" w:eastAsia="zh-CN"/>
        </w:rPr>
        <w:t>：</w:t>
      </w:r>
      <w:r>
        <w:rPr>
          <w:rFonts w:hint="eastAsia" w:ascii="Times New Roman" w:hAnsi="Times New Roman" w:eastAsia="宋体" w:cs="Times New Roman"/>
          <w:b w:val="0"/>
          <w:bCs w:val="0"/>
          <w:color w:val="auto"/>
          <w:sz w:val="24"/>
          <w:szCs w:val="24"/>
          <w:lang w:val="en-US" w:eastAsia="zh-CN"/>
        </w:rPr>
        <w:t>《</w:t>
      </w:r>
      <w:r>
        <w:rPr>
          <w:rFonts w:hint="eastAsia" w:ascii="Times New Roman" w:hAnsi="Times New Roman" w:cs="Times New Roman"/>
          <w:b w:val="0"/>
          <w:bCs w:val="0"/>
          <w:color w:val="auto"/>
          <w:sz w:val="24"/>
          <w:szCs w:val="24"/>
          <w:lang w:val="en-US" w:eastAsia="zh-CN"/>
        </w:rPr>
        <w:t>检测报告</w:t>
      </w:r>
      <w:r>
        <w:rPr>
          <w:rFonts w:hint="eastAsia" w:ascii="Times New Roman" w:hAnsi="Times New Roman" w:eastAsia="宋体" w:cs="Times New Roman"/>
          <w:b w:val="0"/>
          <w:bCs w:val="0"/>
          <w:color w:val="auto"/>
          <w:sz w:val="24"/>
          <w:szCs w:val="24"/>
          <w:lang w:val="en-US" w:eastAsia="zh-CN"/>
        </w:rPr>
        <w:t>》</w:t>
      </w:r>
      <w:r>
        <w:rPr>
          <w:rFonts w:hint="eastAsia" w:ascii="Times New Roman" w:hAnsi="Times New Roman" w:cs="Times New Roman"/>
          <w:b w:val="0"/>
          <w:bCs w:val="0"/>
          <w:color w:val="auto"/>
          <w:sz w:val="24"/>
          <w:szCs w:val="24"/>
          <w:lang w:val="en-US" w:eastAsia="zh-CN"/>
        </w:rPr>
        <w:t>（</w:t>
      </w:r>
      <w:r>
        <w:rPr>
          <w:rFonts w:hint="eastAsia" w:ascii="Times New Roman" w:hAnsi="Times New Roman" w:eastAsia="宋体" w:cs="Times New Roman"/>
          <w:b w:val="0"/>
          <w:bCs w:val="0"/>
          <w:color w:val="auto"/>
          <w:sz w:val="24"/>
          <w:szCs w:val="24"/>
          <w:lang w:val="en-US" w:eastAsia="zh-CN"/>
        </w:rPr>
        <w:t>九升（检）字</w:t>
      </w:r>
      <w:r>
        <w:rPr>
          <w:rFonts w:hint="eastAsia" w:cs="Times New Roman"/>
          <w:b w:val="0"/>
          <w:bCs w:val="0"/>
          <w:color w:val="auto"/>
          <w:sz w:val="24"/>
          <w:szCs w:val="24"/>
          <w:lang w:val="en-US" w:eastAsia="zh-CN"/>
        </w:rPr>
        <w:t>〔2026〕</w:t>
      </w:r>
      <w:r>
        <w:rPr>
          <w:rFonts w:hint="eastAsia" w:ascii="Times New Roman" w:hAnsi="Times New Roman" w:eastAsia="宋体" w:cs="Times New Roman"/>
          <w:b w:val="0"/>
          <w:bCs w:val="0"/>
          <w:color w:val="auto"/>
          <w:sz w:val="24"/>
          <w:szCs w:val="24"/>
          <w:lang w:val="en-US" w:eastAsia="zh-CN"/>
        </w:rPr>
        <w:t>第YS03089号</w:t>
      </w:r>
      <w:r>
        <w:rPr>
          <w:rFonts w:hint="eastAsia" w:ascii="Times New Roman" w:hAnsi="Times New Roman" w:cs="Times New Roman"/>
          <w:b w:val="0"/>
          <w:bCs w:val="0"/>
          <w:color w:val="auto"/>
          <w:sz w:val="24"/>
          <w:szCs w:val="24"/>
          <w:lang w:val="en-US" w:eastAsia="zh-CN"/>
        </w:rPr>
        <w:t>）</w:t>
      </w:r>
    </w:p>
    <w:p w14:paraId="43E3B9AB">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eastAsia" w:cs="Times New Roman"/>
          <w:color w:val="auto"/>
          <w:szCs w:val="24"/>
          <w:lang w:eastAsia="zh-CN"/>
        </w:rPr>
      </w:pPr>
      <w:r>
        <w:rPr>
          <w:rFonts w:hint="eastAsia" w:ascii="Times New Roman" w:hAnsi="Times New Roman" w:cs="Times New Roman"/>
          <w:b w:val="0"/>
          <w:bCs w:val="0"/>
          <w:color w:val="auto"/>
          <w:sz w:val="24"/>
          <w:szCs w:val="24"/>
          <w:lang w:val="en-US" w:eastAsia="zh-CN"/>
        </w:rPr>
        <w:t>附件21</w:t>
      </w:r>
      <w:r>
        <w:rPr>
          <w:rFonts w:hint="eastAsia" w:cs="Times New Roman"/>
          <w:b w:val="0"/>
          <w:bCs w:val="0"/>
          <w:color w:val="auto"/>
          <w:sz w:val="24"/>
          <w:szCs w:val="24"/>
          <w:lang w:val="en-US" w:eastAsia="zh-CN"/>
        </w:rPr>
        <w:t>.1</w:t>
      </w:r>
      <w:r>
        <w:rPr>
          <w:rFonts w:hint="eastAsia" w:ascii="Times New Roman" w:hAnsi="Times New Roman" w:cs="Times New Roman"/>
          <w:b w:val="0"/>
          <w:bCs w:val="0"/>
          <w:color w:val="auto"/>
          <w:sz w:val="24"/>
          <w:szCs w:val="24"/>
          <w:lang w:val="en-US" w:eastAsia="zh-CN"/>
        </w:rPr>
        <w:t>：</w:t>
      </w:r>
      <w:r>
        <w:rPr>
          <w:rFonts w:hint="default" w:ascii="Times New Roman" w:hAnsi="Times New Roman" w:cs="Times New Roman"/>
          <w:color w:val="auto"/>
          <w:szCs w:val="24"/>
          <w:lang w:eastAsia="zh-CN"/>
        </w:rPr>
        <w:t>公参调查表</w:t>
      </w:r>
      <w:r>
        <w:rPr>
          <w:rFonts w:hint="eastAsia" w:cs="Times New Roman"/>
          <w:color w:val="auto"/>
          <w:szCs w:val="24"/>
          <w:lang w:eastAsia="zh-CN"/>
        </w:rPr>
        <w:t>（</w:t>
      </w:r>
      <w:r>
        <w:rPr>
          <w:rFonts w:hint="eastAsia" w:cs="Times New Roman"/>
          <w:color w:val="auto"/>
          <w:szCs w:val="24"/>
          <w:lang w:val="en-US" w:eastAsia="zh-CN"/>
        </w:rPr>
        <w:t>个人</w:t>
      </w:r>
      <w:r>
        <w:rPr>
          <w:rFonts w:hint="eastAsia" w:cs="Times New Roman"/>
          <w:color w:val="auto"/>
          <w:szCs w:val="24"/>
          <w:lang w:eastAsia="zh-CN"/>
        </w:rPr>
        <w:t>）</w:t>
      </w:r>
    </w:p>
    <w:p w14:paraId="3C488412">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80" w:firstLineChars="200"/>
        <w:textAlignment w:val="baseline"/>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附件21</w:t>
      </w:r>
      <w:r>
        <w:rPr>
          <w:rFonts w:hint="eastAsia" w:cs="Times New Roman"/>
          <w:b w:val="0"/>
          <w:bCs w:val="0"/>
          <w:color w:val="auto"/>
          <w:sz w:val="24"/>
          <w:szCs w:val="24"/>
          <w:lang w:val="en-US" w:eastAsia="zh-CN"/>
        </w:rPr>
        <w:t>.2</w:t>
      </w:r>
      <w:r>
        <w:rPr>
          <w:rFonts w:hint="eastAsia" w:ascii="Times New Roman" w:hAnsi="Times New Roman" w:cs="Times New Roman"/>
          <w:b w:val="0"/>
          <w:bCs w:val="0"/>
          <w:color w:val="auto"/>
          <w:sz w:val="24"/>
          <w:szCs w:val="24"/>
          <w:lang w:val="en-US" w:eastAsia="zh-CN"/>
        </w:rPr>
        <w:t>：</w:t>
      </w:r>
      <w:r>
        <w:rPr>
          <w:rFonts w:hint="default" w:ascii="Times New Roman" w:hAnsi="Times New Roman" w:cs="Times New Roman"/>
          <w:color w:val="auto"/>
          <w:szCs w:val="24"/>
          <w:lang w:eastAsia="zh-CN"/>
        </w:rPr>
        <w:t>公参调查表</w:t>
      </w:r>
      <w:r>
        <w:rPr>
          <w:rFonts w:hint="eastAsia" w:cs="Times New Roman"/>
          <w:color w:val="auto"/>
          <w:szCs w:val="24"/>
          <w:lang w:eastAsia="zh-CN"/>
        </w:rPr>
        <w:t>（</w:t>
      </w:r>
      <w:r>
        <w:rPr>
          <w:rFonts w:hint="eastAsia" w:cs="Times New Roman"/>
          <w:color w:val="auto"/>
          <w:szCs w:val="24"/>
          <w:lang w:val="en-US" w:eastAsia="zh-CN"/>
        </w:rPr>
        <w:t>团体</w:t>
      </w:r>
      <w:r>
        <w:rPr>
          <w:rFonts w:hint="eastAsia" w:cs="Times New Roman"/>
          <w:color w:val="auto"/>
          <w:szCs w:val="24"/>
          <w:lang w:eastAsia="zh-CN"/>
        </w:rPr>
        <w:t>）</w:t>
      </w:r>
    </w:p>
    <w:p w14:paraId="3C04BFFC">
      <w:pPr>
        <w:rPr>
          <w:color w:val="auto"/>
        </w:rPr>
      </w:pPr>
    </w:p>
    <w:p w14:paraId="6CBFA4CD">
      <w:pPr>
        <w:rPr>
          <w:color w:val="auto"/>
        </w:rPr>
      </w:pPr>
    </w:p>
    <w:p w14:paraId="64F941F2">
      <w:pPr>
        <w:rPr>
          <w:color w:val="auto"/>
        </w:rPr>
        <w:sectPr>
          <w:pgSz w:w="11906" w:h="16838"/>
          <w:pgMar w:top="1440" w:right="1800" w:bottom="1440" w:left="1800" w:header="680" w:footer="992" w:gutter="0"/>
          <w:pgBorders>
            <w:top w:val="none" w:sz="0" w:space="0"/>
            <w:left w:val="none" w:sz="0" w:space="0"/>
            <w:bottom w:val="none" w:sz="0" w:space="0"/>
            <w:right w:val="none" w:sz="0" w:space="0"/>
          </w:pgBorders>
          <w:pgNumType w:fmt="upperRoman"/>
          <w:cols w:space="720" w:num="1"/>
          <w:docGrid w:type="linesAndChars" w:linePitch="326" w:charSpace="0"/>
        </w:sectPr>
      </w:pPr>
    </w:p>
    <w:p w14:paraId="3DE8E159">
      <w:pPr>
        <w:snapToGrid/>
        <w:ind w:firstLine="0" w:firstLineChars="0"/>
        <w:jc w:val="center"/>
        <w:rPr>
          <w:rFonts w:hint="default" w:ascii="Times New Roman" w:hAnsi="Times New Roman" w:cs="Times New Roman"/>
          <w:b/>
          <w:color w:val="auto"/>
          <w:sz w:val="32"/>
          <w:szCs w:val="24"/>
        </w:rPr>
      </w:pPr>
      <w:r>
        <w:rPr>
          <w:rFonts w:hint="default" w:ascii="Times New Roman" w:hAnsi="Times New Roman" w:cs="Times New Roman"/>
          <w:b/>
          <w:color w:val="auto"/>
          <w:sz w:val="32"/>
          <w:szCs w:val="24"/>
        </w:rPr>
        <w:t>前言</w:t>
      </w:r>
    </w:p>
    <w:p w14:paraId="344EB73B">
      <w:pPr>
        <w:bidi w:val="0"/>
        <w:rPr>
          <w:rFonts w:hint="default" w:ascii="Times New Roman" w:hAnsi="Times New Roman" w:eastAsia="宋体" w:cs="Times New Roman"/>
          <w:color w:val="auto"/>
          <w:spacing w:val="0"/>
          <w:w w:val="100"/>
          <w:kern w:val="0"/>
          <w:position w:val="0"/>
          <w:sz w:val="24"/>
          <w:szCs w:val="24"/>
          <w:lang w:val="en-US" w:eastAsia="en-US"/>
        </w:rPr>
      </w:pPr>
      <w:r>
        <w:rPr>
          <w:rFonts w:hint="default" w:ascii="Times New Roman" w:hAnsi="Times New Roman" w:cs="Times New Roman"/>
          <w:color w:val="auto"/>
          <w:sz w:val="24"/>
          <w:szCs w:val="24"/>
        </w:rPr>
        <w:t>广安市过境高速公路东环线及渝广高速支线（重庆合川境）是《重庆市高速公路网规划（2023—2035年）》和《重庆市综合交通运输“十三五”发展规划》的重要组成路段，是重庆市“四环二十二射六十联线”高速公路网布局中</w:t>
      </w:r>
      <w:r>
        <w:rPr>
          <w:rFonts w:hint="eastAsia" w:cs="Times New Roman"/>
          <w:color w:val="auto"/>
          <w:sz w:val="24"/>
          <w:szCs w:val="24"/>
          <w:lang w:eastAsia="zh-CN"/>
        </w:rPr>
        <w:t>的“</w:t>
      </w:r>
      <w:r>
        <w:rPr>
          <w:rFonts w:hint="default" w:ascii="Times New Roman" w:hAnsi="Times New Roman" w:cs="Times New Roman"/>
          <w:color w:val="auto"/>
          <w:sz w:val="24"/>
          <w:szCs w:val="24"/>
        </w:rPr>
        <w:t>五十联”。该项目是重庆市和四川相连的又一出省通道，也是成渝经济区加强融合的重要经济走廊，其建设可以完善重庆的骨架公路网，对重庆市建设统筹城乡的</w:t>
      </w:r>
      <w:r>
        <w:rPr>
          <w:rFonts w:hint="eastAsia" w:cs="Times New Roman"/>
          <w:color w:val="auto"/>
          <w:sz w:val="24"/>
          <w:szCs w:val="24"/>
          <w:lang w:eastAsia="zh-CN"/>
        </w:rPr>
        <w:t>工作</w:t>
      </w:r>
      <w:r>
        <w:rPr>
          <w:rFonts w:hint="default" w:ascii="Times New Roman" w:hAnsi="Times New Roman" w:cs="Times New Roman"/>
          <w:color w:val="auto"/>
          <w:sz w:val="24"/>
          <w:szCs w:val="24"/>
        </w:rPr>
        <w:t>具有十分重要的意义。</w:t>
      </w:r>
      <w:r>
        <w:rPr>
          <w:rFonts w:hint="default" w:ascii="Times New Roman" w:hAnsi="Times New Roman" w:eastAsia="宋体" w:cs="Times New Roman"/>
          <w:color w:val="auto"/>
          <w:spacing w:val="0"/>
          <w:w w:val="100"/>
          <w:kern w:val="0"/>
          <w:position w:val="0"/>
          <w:sz w:val="24"/>
          <w:szCs w:val="24"/>
          <w:lang w:val="en-US" w:eastAsia="en-US"/>
        </w:rPr>
        <w:t>工程前期工作和建设进度情况如下：</w:t>
      </w:r>
    </w:p>
    <w:p w14:paraId="1701DCA9">
      <w:pPr>
        <w:bidi w:val="0"/>
        <w:ind w:left="0" w:leftChars="0" w:firstLine="480" w:firstLineChars="20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（1）2015年1月，四川省交通运输厅公路规划勘察设计研究院编制完成了《广安过境高速东环线及渝广高速支线工程可行性研究报告》。</w:t>
      </w:r>
    </w:p>
    <w:p w14:paraId="03911217">
      <w:pPr>
        <w:bidi w:val="0"/>
        <w:ind w:left="0" w:leftChars="0" w:firstLine="480" w:firstLineChars="200"/>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（2）2015年10月，项目取得了原重庆市合川区环境保护局《重庆市建设项目环境影响评价文件批准书》（渝</w:t>
      </w:r>
      <w:r>
        <w:rPr>
          <w:rFonts w:hint="eastAsia" w:cs="Times New Roman"/>
          <w:color w:val="auto"/>
          <w:spacing w:val="0"/>
          <w:w w:val="100"/>
          <w:kern w:val="0"/>
          <w:position w:val="0"/>
          <w:sz w:val="24"/>
          <w:szCs w:val="24"/>
          <w:lang w:val="en-US" w:eastAsia="zh-CN"/>
        </w:rPr>
        <w:t>（合）</w:t>
      </w:r>
      <w:r>
        <w:rPr>
          <w:rFonts w:hint="default" w:ascii="Times New Roman" w:hAnsi="Times New Roman" w:cs="Times New Roman"/>
          <w:color w:val="auto"/>
          <w:spacing w:val="0"/>
          <w:w w:val="100"/>
          <w:kern w:val="0"/>
          <w:position w:val="0"/>
          <w:sz w:val="24"/>
          <w:szCs w:val="24"/>
          <w:lang w:val="en-US" w:eastAsia="zh-CN"/>
        </w:rPr>
        <w:t>环准</w:t>
      </w:r>
      <w:r>
        <w:rPr>
          <w:rFonts w:hint="eastAsia" w:cs="Times New Roman"/>
          <w:color w:val="auto"/>
          <w:spacing w:val="0"/>
          <w:w w:val="100"/>
          <w:kern w:val="0"/>
          <w:position w:val="0"/>
          <w:sz w:val="24"/>
          <w:szCs w:val="24"/>
          <w:lang w:val="en-US" w:eastAsia="zh-CN"/>
        </w:rPr>
        <w:t>〔2015〕152号</w:t>
      </w:r>
      <w:r>
        <w:rPr>
          <w:rFonts w:hint="default" w:ascii="Times New Roman" w:hAnsi="Times New Roman" w:cs="Times New Roman"/>
          <w:color w:val="auto"/>
          <w:spacing w:val="0"/>
          <w:w w:val="100"/>
          <w:kern w:val="0"/>
          <w:position w:val="0"/>
          <w:sz w:val="24"/>
          <w:szCs w:val="24"/>
          <w:lang w:val="en-US" w:eastAsia="zh-CN"/>
        </w:rPr>
        <w:t>）</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spacing w:val="0"/>
          <w:w w:val="100"/>
          <w:kern w:val="0"/>
          <w:position w:val="0"/>
          <w:sz w:val="24"/>
          <w:szCs w:val="24"/>
          <w:lang w:val="en-US" w:eastAsia="zh-CN"/>
        </w:rPr>
        <w:t>批复的主要建设规模为</w:t>
      </w:r>
      <w:r>
        <w:rPr>
          <w:rFonts w:hint="eastAsia" w:cs="Times New Roman"/>
          <w:color w:val="auto"/>
          <w:spacing w:val="0"/>
          <w:w w:val="100"/>
          <w:kern w:val="0"/>
          <w:position w:val="0"/>
          <w:sz w:val="24"/>
          <w:szCs w:val="24"/>
          <w:lang w:val="en-US" w:eastAsia="zh-CN"/>
        </w:rPr>
        <w:t>：线路</w:t>
      </w:r>
      <w:r>
        <w:rPr>
          <w:rFonts w:hint="default" w:ascii="Times New Roman" w:hAnsi="Times New Roman" w:cs="Times New Roman"/>
          <w:color w:val="auto"/>
          <w:spacing w:val="0"/>
          <w:w w:val="100"/>
          <w:kern w:val="0"/>
          <w:position w:val="0"/>
          <w:sz w:val="24"/>
          <w:szCs w:val="24"/>
          <w:lang w:val="en-US" w:eastAsia="zh-CN"/>
        </w:rPr>
        <w:t>全长11.736km，设计时速80km/h，路基宽24.5m；全线设置桥梁1390m/7座，全为大桥，互通1座，无隧道工程，涵洞15道，通道10道，人行天桥2座；无服务区、收费站等附属设施。</w:t>
      </w:r>
    </w:p>
    <w:p w14:paraId="08870364">
      <w:pPr>
        <w:bidi w:val="0"/>
        <w:ind w:left="0" w:leftChars="0" w:firstLine="480" w:firstLineChars="200"/>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（3）2016年9月18日，项目取得了重庆市国土房管局《关于广安市过境高速公路东环线及渝广高速支线</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spacing w:val="0"/>
          <w:w w:val="100"/>
          <w:kern w:val="0"/>
          <w:position w:val="0"/>
          <w:sz w:val="24"/>
          <w:szCs w:val="24"/>
          <w:lang w:val="en-US" w:eastAsia="zh-CN"/>
        </w:rPr>
        <w:t>重庆段</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spacing w:val="0"/>
          <w:w w:val="100"/>
          <w:kern w:val="0"/>
          <w:position w:val="0"/>
          <w:sz w:val="24"/>
          <w:szCs w:val="24"/>
          <w:lang w:val="en-US" w:eastAsia="zh-CN"/>
        </w:rPr>
        <w:t>建设项目用地预审的意见》（渝国土房管规</w:t>
      </w:r>
      <w:r>
        <w:rPr>
          <w:rFonts w:hint="eastAsia" w:cs="Times New Roman"/>
          <w:color w:val="auto"/>
          <w:spacing w:val="0"/>
          <w:w w:val="100"/>
          <w:kern w:val="0"/>
          <w:position w:val="0"/>
          <w:sz w:val="24"/>
          <w:szCs w:val="24"/>
          <w:lang w:val="en-US" w:eastAsia="zh-CN"/>
        </w:rPr>
        <w:t>〔2016〕77号</w:t>
      </w:r>
      <w:r>
        <w:rPr>
          <w:rFonts w:hint="default" w:ascii="Times New Roman" w:hAnsi="Times New Roman" w:cs="Times New Roman"/>
          <w:color w:val="auto"/>
          <w:spacing w:val="0"/>
          <w:w w:val="100"/>
          <w:kern w:val="0"/>
          <w:position w:val="0"/>
          <w:sz w:val="24"/>
          <w:szCs w:val="24"/>
          <w:lang w:val="en-US" w:eastAsia="zh-CN"/>
        </w:rPr>
        <w:t>）。</w:t>
      </w:r>
    </w:p>
    <w:p w14:paraId="17DFB96E">
      <w:pPr>
        <w:bidi w:val="0"/>
        <w:ind w:left="0" w:leftChars="0" w:firstLine="480" w:firstLineChars="20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（4）2017年5月4日，本项目取得了四川省发展和改革委员会</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spacing w:val="0"/>
          <w:w w:val="100"/>
          <w:kern w:val="0"/>
          <w:position w:val="0"/>
          <w:sz w:val="24"/>
          <w:szCs w:val="24"/>
          <w:lang w:val="en-US" w:eastAsia="zh-CN"/>
        </w:rPr>
        <w:t>重庆市发展和改革委员会《关于广安市过境高速公路东环线及渝广高速支线项目核准的批复》（川发改基础</w:t>
      </w:r>
      <w:r>
        <w:rPr>
          <w:rFonts w:hint="eastAsia" w:cs="Times New Roman"/>
          <w:color w:val="auto"/>
          <w:spacing w:val="0"/>
          <w:w w:val="100"/>
          <w:kern w:val="0"/>
          <w:position w:val="0"/>
          <w:sz w:val="24"/>
          <w:szCs w:val="24"/>
          <w:lang w:val="en-US" w:eastAsia="zh-CN"/>
        </w:rPr>
        <w:t>〔2017〕317号</w:t>
      </w:r>
      <w:r>
        <w:rPr>
          <w:rFonts w:hint="default" w:ascii="Times New Roman" w:hAnsi="Times New Roman" w:cs="Times New Roman"/>
          <w:color w:val="auto"/>
          <w:spacing w:val="0"/>
          <w:w w:val="100"/>
          <w:kern w:val="0"/>
          <w:position w:val="0"/>
          <w:sz w:val="24"/>
          <w:szCs w:val="24"/>
          <w:lang w:val="en-US" w:eastAsia="zh-CN"/>
        </w:rPr>
        <w:t>）</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highlight w:val="none"/>
          <w:lang w:val="en-US" w:eastAsia="zh-CN"/>
        </w:rPr>
        <w:t>项目建设单位</w:t>
      </w:r>
      <w:r>
        <w:rPr>
          <w:rFonts w:hint="default" w:ascii="Times New Roman" w:hAnsi="Times New Roman" w:eastAsia="宋体" w:cs="Times New Roman"/>
          <w:color w:val="auto"/>
          <w:spacing w:val="0"/>
          <w:w w:val="100"/>
          <w:kern w:val="0"/>
          <w:position w:val="0"/>
          <w:sz w:val="24"/>
          <w:szCs w:val="24"/>
          <w:highlight w:val="none"/>
          <w:lang w:val="en-US" w:eastAsia="zh-CN"/>
        </w:rPr>
        <w:t>由“广安市交通运输局”变更为“四川广安绕城高速公路有限责任公司”</w:t>
      </w:r>
      <w:r>
        <w:rPr>
          <w:rFonts w:hint="default" w:ascii="Times New Roman" w:hAnsi="Times New Roman" w:cs="Times New Roman"/>
          <w:color w:val="auto"/>
          <w:spacing w:val="0"/>
          <w:w w:val="100"/>
          <w:kern w:val="0"/>
          <w:position w:val="0"/>
          <w:sz w:val="24"/>
          <w:szCs w:val="24"/>
          <w:lang w:val="en-US" w:eastAsia="zh-CN"/>
        </w:rPr>
        <w:t>。</w:t>
      </w:r>
    </w:p>
    <w:p w14:paraId="30F2A0FD">
      <w:pPr>
        <w:bidi w:val="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（5）</w:t>
      </w:r>
      <w:r>
        <w:rPr>
          <w:rFonts w:hint="default" w:ascii="Times New Roman" w:hAnsi="Times New Roman" w:eastAsia="宋体" w:cs="Times New Roman"/>
          <w:color w:val="auto"/>
          <w:spacing w:val="0"/>
          <w:w w:val="100"/>
          <w:kern w:val="0"/>
          <w:position w:val="0"/>
          <w:sz w:val="24"/>
          <w:szCs w:val="24"/>
          <w:lang w:val="en-US" w:eastAsia="en-US"/>
        </w:rPr>
        <w:t>2017年7月，四川省交通运输厅公路规划勘察设计研究院完成了《广安过境高速东环线及渝广高速支线工程两阶段初步设计》，</w:t>
      </w:r>
      <w:r>
        <w:rPr>
          <w:rFonts w:hint="default" w:ascii="Times New Roman" w:hAnsi="Times New Roman" w:cs="Times New Roman"/>
          <w:color w:val="auto"/>
          <w:spacing w:val="0"/>
          <w:w w:val="100"/>
          <w:kern w:val="0"/>
          <w:position w:val="0"/>
          <w:sz w:val="24"/>
          <w:szCs w:val="24"/>
          <w:lang w:val="en-US" w:eastAsia="zh-CN"/>
        </w:rPr>
        <w:t>于</w:t>
      </w:r>
      <w:r>
        <w:rPr>
          <w:rFonts w:hint="default" w:ascii="Times New Roman" w:hAnsi="Times New Roman" w:eastAsia="宋体" w:cs="Times New Roman"/>
          <w:color w:val="auto"/>
          <w:spacing w:val="0"/>
          <w:w w:val="100"/>
          <w:kern w:val="0"/>
          <w:position w:val="0"/>
          <w:sz w:val="24"/>
          <w:szCs w:val="24"/>
          <w:lang w:val="en-US" w:eastAsia="en-US"/>
        </w:rPr>
        <w:t>2017年12月取得了重庆市交通委员会《关于</w:t>
      </w:r>
      <w:r>
        <w:rPr>
          <w:rFonts w:hint="default" w:ascii="Times New Roman" w:hAnsi="Times New Roman" w:cs="Times New Roman"/>
          <w:color w:val="auto"/>
          <w:spacing w:val="0"/>
          <w:w w:val="100"/>
          <w:kern w:val="0"/>
          <w:position w:val="0"/>
          <w:sz w:val="24"/>
          <w:szCs w:val="24"/>
          <w:lang w:val="en-US" w:eastAsia="zh-CN"/>
        </w:rPr>
        <w:t>广安市过境高速公路东环线及渝广高速支线（重庆合川境）</w:t>
      </w:r>
      <w:r>
        <w:rPr>
          <w:rFonts w:hint="default" w:ascii="Times New Roman" w:hAnsi="Times New Roman" w:eastAsia="宋体" w:cs="Times New Roman"/>
          <w:color w:val="auto"/>
          <w:spacing w:val="0"/>
          <w:w w:val="100"/>
          <w:kern w:val="0"/>
          <w:position w:val="0"/>
          <w:sz w:val="24"/>
          <w:szCs w:val="24"/>
          <w:lang w:val="en-US" w:eastAsia="en-US"/>
        </w:rPr>
        <w:t>初步设计的批复》（渝交委路</w:t>
      </w:r>
      <w:r>
        <w:rPr>
          <w:rFonts w:hint="eastAsia" w:cs="Times New Roman"/>
          <w:color w:val="auto"/>
          <w:spacing w:val="0"/>
          <w:w w:val="100"/>
          <w:kern w:val="0"/>
          <w:position w:val="0"/>
          <w:sz w:val="24"/>
          <w:szCs w:val="24"/>
          <w:lang w:val="en-US" w:eastAsia="zh-CN"/>
        </w:rPr>
        <w:t>〔2017〕125号</w:t>
      </w:r>
      <w:r>
        <w:rPr>
          <w:rFonts w:hint="default" w:ascii="Times New Roman" w:hAnsi="Times New Roman" w:eastAsia="宋体" w:cs="Times New Roman"/>
          <w:color w:val="auto"/>
          <w:spacing w:val="0"/>
          <w:w w:val="100"/>
          <w:kern w:val="0"/>
          <w:position w:val="0"/>
          <w:sz w:val="24"/>
          <w:szCs w:val="24"/>
          <w:lang w:val="en-US" w:eastAsia="en-US"/>
        </w:rPr>
        <w:t>）</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spacing w:val="0"/>
          <w:w w:val="100"/>
          <w:kern w:val="0"/>
          <w:position w:val="0"/>
          <w:sz w:val="24"/>
          <w:szCs w:val="24"/>
          <w:lang w:val="en-US" w:eastAsia="zh-CN"/>
        </w:rPr>
        <w:t>主要</w:t>
      </w:r>
      <w:r>
        <w:rPr>
          <w:rFonts w:hint="default" w:ascii="Times New Roman" w:hAnsi="Times New Roman" w:cs="Times New Roman"/>
          <w:color w:val="auto"/>
          <w:lang w:val="en-US" w:eastAsia="zh-CN"/>
        </w:rPr>
        <w:t>考虑不跨越双槐运煤专线，结合路线地质条件与铁路干扰等因素，对线路终点进行了调整，长度由11.736km调整至10.979km，沿线控制点进行了相应调整，并新增匝道收费站、省界收费站和服务区。</w:t>
      </w:r>
    </w:p>
    <w:p w14:paraId="20AD1BBD">
      <w:pPr>
        <w:bidi w:val="0"/>
        <w:ind w:left="0" w:leftChars="0" w:firstLine="480" w:firstLineChars="20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（6）2018年4月，四川公路桥梁建设集团有限公司完成了《广安过境高速东环线及渝广高速支线两阶段施工设计》</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于</w:t>
      </w:r>
      <w:r>
        <w:rPr>
          <w:rFonts w:hint="default" w:ascii="Times New Roman" w:hAnsi="Times New Roman" w:eastAsia="宋体" w:cs="Times New Roman"/>
          <w:color w:val="auto"/>
          <w:spacing w:val="0"/>
          <w:w w:val="100"/>
          <w:kern w:val="0"/>
          <w:position w:val="0"/>
          <w:sz w:val="24"/>
          <w:szCs w:val="24"/>
          <w:lang w:val="en-US" w:eastAsia="en-US"/>
        </w:rPr>
        <w:t>201</w:t>
      </w:r>
      <w:r>
        <w:rPr>
          <w:rFonts w:hint="default" w:ascii="Times New Roman" w:hAnsi="Times New Roman" w:eastAsia="宋体" w:cs="Times New Roman"/>
          <w:color w:val="auto"/>
          <w:spacing w:val="0"/>
          <w:w w:val="100"/>
          <w:kern w:val="0"/>
          <w:position w:val="0"/>
          <w:sz w:val="24"/>
          <w:szCs w:val="24"/>
          <w:lang w:val="en-US" w:eastAsia="zh-CN"/>
        </w:rPr>
        <w:t>8</w:t>
      </w:r>
      <w:r>
        <w:rPr>
          <w:rFonts w:hint="default" w:ascii="Times New Roman" w:hAnsi="Times New Roman" w:eastAsia="宋体" w:cs="Times New Roman"/>
          <w:color w:val="auto"/>
          <w:spacing w:val="0"/>
          <w:w w:val="100"/>
          <w:kern w:val="0"/>
          <w:position w:val="0"/>
          <w:sz w:val="24"/>
          <w:szCs w:val="24"/>
          <w:lang w:val="en-US" w:eastAsia="en-US"/>
        </w:rPr>
        <w:t>年</w:t>
      </w:r>
      <w:r>
        <w:rPr>
          <w:rFonts w:hint="default" w:ascii="Times New Roman" w:hAnsi="Times New Roman" w:eastAsia="宋体" w:cs="Times New Roman"/>
          <w:color w:val="auto"/>
          <w:spacing w:val="0"/>
          <w:w w:val="100"/>
          <w:kern w:val="0"/>
          <w:position w:val="0"/>
          <w:sz w:val="24"/>
          <w:szCs w:val="24"/>
          <w:lang w:val="en-US" w:eastAsia="zh-CN"/>
        </w:rPr>
        <w:t>6</w:t>
      </w:r>
      <w:r>
        <w:rPr>
          <w:rFonts w:hint="default" w:ascii="Times New Roman" w:hAnsi="Times New Roman" w:eastAsia="宋体" w:cs="Times New Roman"/>
          <w:color w:val="auto"/>
          <w:spacing w:val="0"/>
          <w:w w:val="100"/>
          <w:kern w:val="0"/>
          <w:position w:val="0"/>
          <w:sz w:val="24"/>
          <w:szCs w:val="24"/>
          <w:lang w:val="en-US" w:eastAsia="en-US"/>
        </w:rPr>
        <w:t>月</w:t>
      </w:r>
      <w:r>
        <w:rPr>
          <w:rFonts w:hint="default" w:ascii="Times New Roman" w:hAnsi="Times New Roman" w:eastAsia="宋体" w:cs="Times New Roman"/>
          <w:color w:val="auto"/>
          <w:spacing w:val="0"/>
          <w:w w:val="100"/>
          <w:kern w:val="0"/>
          <w:position w:val="0"/>
          <w:sz w:val="24"/>
          <w:szCs w:val="24"/>
          <w:lang w:val="en-US" w:eastAsia="zh-CN"/>
        </w:rPr>
        <w:t>7</w:t>
      </w:r>
      <w:r>
        <w:rPr>
          <w:rFonts w:hint="default" w:ascii="Times New Roman" w:hAnsi="Times New Roman" w:eastAsia="宋体" w:cs="Times New Roman"/>
          <w:color w:val="auto"/>
          <w:spacing w:val="0"/>
          <w:w w:val="100"/>
          <w:kern w:val="0"/>
          <w:position w:val="0"/>
          <w:sz w:val="24"/>
          <w:szCs w:val="24"/>
          <w:lang w:val="en-US" w:eastAsia="en-US"/>
        </w:rPr>
        <w:t>日取得了重庆市交通委员会《关于</w:t>
      </w:r>
      <w:r>
        <w:rPr>
          <w:rFonts w:hint="default" w:ascii="Times New Roman" w:hAnsi="Times New Roman" w:eastAsia="宋体" w:cs="Times New Roman"/>
          <w:color w:val="auto"/>
          <w:spacing w:val="0"/>
          <w:w w:val="100"/>
          <w:kern w:val="0"/>
          <w:position w:val="0"/>
          <w:sz w:val="24"/>
          <w:szCs w:val="24"/>
          <w:lang w:val="en-US" w:eastAsia="zh-CN"/>
        </w:rPr>
        <w:t>渝广高速支线（重庆段）施工图</w:t>
      </w:r>
      <w:r>
        <w:rPr>
          <w:rFonts w:hint="default" w:ascii="Times New Roman" w:hAnsi="Times New Roman" w:eastAsia="宋体" w:cs="Times New Roman"/>
          <w:color w:val="auto"/>
          <w:spacing w:val="0"/>
          <w:w w:val="100"/>
          <w:kern w:val="0"/>
          <w:position w:val="0"/>
          <w:sz w:val="24"/>
          <w:szCs w:val="24"/>
          <w:lang w:val="en-US" w:eastAsia="en-US"/>
        </w:rPr>
        <w:t>设计的批复》（渝交委路</w:t>
      </w:r>
      <w:r>
        <w:rPr>
          <w:rFonts w:hint="eastAsia" w:cs="Times New Roman"/>
          <w:color w:val="auto"/>
          <w:spacing w:val="0"/>
          <w:w w:val="100"/>
          <w:kern w:val="0"/>
          <w:position w:val="0"/>
          <w:sz w:val="24"/>
          <w:szCs w:val="24"/>
          <w:lang w:val="en-US" w:eastAsia="zh-CN"/>
        </w:rPr>
        <w:t>〔2018〕55号</w:t>
      </w:r>
      <w:r>
        <w:rPr>
          <w:rFonts w:hint="default" w:ascii="Times New Roman" w:hAnsi="Times New Roman" w:eastAsia="宋体" w:cs="Times New Roman"/>
          <w:color w:val="auto"/>
          <w:spacing w:val="0"/>
          <w:w w:val="100"/>
          <w:kern w:val="0"/>
          <w:position w:val="0"/>
          <w:sz w:val="24"/>
          <w:szCs w:val="24"/>
          <w:lang w:val="en-US" w:eastAsia="en-US"/>
        </w:rPr>
        <w:t>）</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根据批复内容</w:t>
      </w:r>
      <w:r>
        <w:rPr>
          <w:rFonts w:hint="eastAsia" w:cs="Times New Roman"/>
          <w:color w:val="auto"/>
          <w:spacing w:val="0"/>
          <w:w w:val="100"/>
          <w:kern w:val="0"/>
          <w:position w:val="0"/>
          <w:sz w:val="24"/>
          <w:szCs w:val="24"/>
          <w:lang w:val="en-US" w:eastAsia="zh-CN"/>
        </w:rPr>
        <w:t>，线路</w:t>
      </w:r>
      <w:r>
        <w:rPr>
          <w:rFonts w:hint="default" w:ascii="Times New Roman" w:hAnsi="Times New Roman" w:cs="Times New Roman"/>
          <w:color w:val="auto"/>
          <w:lang w:val="en-US" w:eastAsia="zh-CN"/>
        </w:rPr>
        <w:t>长度9.668km（其中主线长度9.668km，加上小沔枢纽互通式立交全线共计10.979km），全线设大中桥</w:t>
      </w:r>
      <w:r>
        <w:rPr>
          <w:rFonts w:hint="eastAsia" w:cs="Times New Roman"/>
          <w:color w:val="auto"/>
          <w:lang w:val="en-US" w:eastAsia="zh-CN"/>
        </w:rPr>
        <w:t>481m</w:t>
      </w:r>
      <w:r>
        <w:rPr>
          <w:rFonts w:hint="default" w:ascii="Times New Roman" w:hAnsi="Times New Roman" w:cs="Times New Roman"/>
          <w:color w:val="auto"/>
          <w:lang w:val="en-US" w:eastAsia="zh-CN"/>
        </w:rPr>
        <w:t>/3座</w:t>
      </w:r>
      <w:r>
        <w:rPr>
          <w:rFonts w:hint="eastAsia" w:cs="Times New Roman"/>
          <w:color w:val="auto"/>
          <w:lang w:val="en-US" w:eastAsia="zh-CN"/>
        </w:rPr>
        <w:t>，</w:t>
      </w:r>
      <w:r>
        <w:rPr>
          <w:rFonts w:hint="default" w:ascii="Times New Roman" w:hAnsi="Times New Roman" w:cs="Times New Roman"/>
          <w:color w:val="auto"/>
          <w:lang w:val="en-US" w:eastAsia="zh-CN"/>
        </w:rPr>
        <w:t>涵洞及通道43道</w:t>
      </w:r>
      <w:r>
        <w:rPr>
          <w:rFonts w:hint="eastAsia" w:cs="Times New Roman"/>
          <w:color w:val="auto"/>
          <w:lang w:val="en-US" w:eastAsia="zh-CN"/>
        </w:rPr>
        <w:t>，</w:t>
      </w:r>
      <w:r>
        <w:rPr>
          <w:rFonts w:hint="default" w:ascii="Times New Roman" w:hAnsi="Times New Roman" w:cs="Times New Roman"/>
          <w:color w:val="auto"/>
          <w:lang w:val="en-US" w:eastAsia="zh-CN"/>
        </w:rPr>
        <w:t>车行天桥4座</w:t>
      </w:r>
      <w:r>
        <w:rPr>
          <w:rFonts w:hint="eastAsia" w:cs="Times New Roman"/>
          <w:color w:val="auto"/>
          <w:lang w:val="en-US" w:eastAsia="zh-CN"/>
        </w:rPr>
        <w:t>，</w:t>
      </w:r>
      <w:r>
        <w:rPr>
          <w:rFonts w:hint="default" w:ascii="Times New Roman" w:hAnsi="Times New Roman" w:cs="Times New Roman"/>
          <w:color w:val="auto"/>
          <w:lang w:val="en-US" w:eastAsia="zh-CN"/>
        </w:rPr>
        <w:t>设置小沔枢纽互通式立交1处，匝道收费站1处。全线设服务区1处</w:t>
      </w:r>
      <w:r>
        <w:rPr>
          <w:rFonts w:hint="eastAsia" w:cs="Times New Roman"/>
          <w:color w:val="auto"/>
          <w:lang w:val="en-US" w:eastAsia="zh-CN"/>
        </w:rPr>
        <w:t>（设于省界主线收费站侧）</w:t>
      </w:r>
      <w:r>
        <w:rPr>
          <w:rFonts w:hint="default" w:ascii="Times New Roman" w:hAnsi="Times New Roman" w:cs="Times New Roman"/>
          <w:color w:val="auto"/>
          <w:lang w:val="en-US" w:eastAsia="zh-CN"/>
        </w:rPr>
        <w:t>，省界主线收费站1处</w:t>
      </w:r>
      <w:r>
        <w:rPr>
          <w:rFonts w:hint="eastAsia" w:cs="Times New Roman"/>
          <w:color w:val="auto"/>
          <w:lang w:val="en-US" w:eastAsia="zh-CN"/>
        </w:rPr>
        <w:t>（同址合建）</w:t>
      </w:r>
      <w:r>
        <w:rPr>
          <w:rFonts w:hint="default" w:ascii="Times New Roman" w:hAnsi="Times New Roman" w:cs="Times New Roman"/>
          <w:color w:val="auto"/>
          <w:lang w:val="en-US" w:eastAsia="zh-CN"/>
        </w:rPr>
        <w:t>，匝道收费站1处</w:t>
      </w:r>
      <w:r>
        <w:rPr>
          <w:rFonts w:hint="default" w:ascii="Times New Roman" w:hAnsi="Times New Roman" w:eastAsia="宋体" w:cs="Times New Roman"/>
          <w:color w:val="auto"/>
          <w:spacing w:val="0"/>
          <w:w w:val="100"/>
          <w:kern w:val="0"/>
          <w:position w:val="0"/>
          <w:sz w:val="24"/>
          <w:szCs w:val="24"/>
          <w:lang w:val="en-US" w:eastAsia="zh-CN"/>
        </w:rPr>
        <w:t>。</w:t>
      </w:r>
    </w:p>
    <w:p w14:paraId="072C467C">
      <w:pPr>
        <w:bidi w:val="0"/>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（7）2018年12月，建设单位与重庆市合川区高速公路建设指挥部签订了四川广安过境高速公路东环线及渝广高速支线合川段临时用地协议，由重庆市合川区高速公路建设指挥部负责办理该项目临时占地手续。</w:t>
      </w:r>
    </w:p>
    <w:p w14:paraId="273DEC54">
      <w:pPr>
        <w:bidi w:val="0"/>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（8）</w:t>
      </w:r>
      <w:r>
        <w:rPr>
          <w:rFonts w:hint="default" w:ascii="Times New Roman" w:hAnsi="Times New Roman" w:cs="Times New Roman"/>
          <w:color w:val="auto"/>
          <w:lang w:val="en-US" w:eastAsia="zh-CN"/>
        </w:rPr>
        <w:t>2019年5月</w:t>
      </w:r>
      <w:r>
        <w:rPr>
          <w:rFonts w:hint="eastAsia" w:cs="Times New Roman"/>
          <w:color w:val="auto"/>
          <w:lang w:val="en-US" w:eastAsia="zh-CN"/>
        </w:rPr>
        <w:t>，委托</w:t>
      </w:r>
      <w:r>
        <w:rPr>
          <w:rFonts w:hint="default" w:ascii="Times New Roman" w:hAnsi="Times New Roman" w:cs="Times New Roman"/>
          <w:color w:val="auto"/>
          <w:lang w:val="en-US" w:eastAsia="zh-CN"/>
        </w:rPr>
        <w:t>四川省林业科学研究院对</w:t>
      </w:r>
      <w:r>
        <w:rPr>
          <w:rFonts w:hint="default" w:ascii="Times New Roman" w:hAnsi="Times New Roman" w:eastAsia="宋体" w:cs="Times New Roman"/>
          <w:color w:val="auto"/>
          <w:spacing w:val="0"/>
          <w:w w:val="100"/>
          <w:kern w:val="0"/>
          <w:position w:val="0"/>
          <w:sz w:val="24"/>
          <w:szCs w:val="24"/>
          <w:lang w:val="en-US" w:eastAsia="zh-CN"/>
        </w:rPr>
        <w:t>线路变更后</w:t>
      </w:r>
      <w:r>
        <w:rPr>
          <w:rFonts w:hint="default" w:ascii="Times New Roman" w:hAnsi="Times New Roman" w:cs="Times New Roman"/>
          <w:color w:val="auto"/>
          <w:lang w:val="en-US" w:eastAsia="zh-CN"/>
        </w:rPr>
        <w:t>的使用林地可行性进行了调查，编制了《</w:t>
      </w:r>
      <w:r>
        <w:rPr>
          <w:rFonts w:hint="default" w:ascii="Times New Roman" w:hAnsi="Times New Roman" w:cs="Times New Roman"/>
          <w:color w:val="auto"/>
          <w:spacing w:val="0"/>
          <w:w w:val="100"/>
          <w:kern w:val="0"/>
          <w:position w:val="0"/>
          <w:sz w:val="24"/>
          <w:szCs w:val="24"/>
          <w:lang w:val="en-US" w:eastAsia="zh-CN"/>
        </w:rPr>
        <w:t>广安市过境高速公路东环线及渝广高速支线（重庆段）项目使用林地可行性报告</w:t>
      </w:r>
      <w:r>
        <w:rPr>
          <w:rFonts w:hint="default" w:ascii="Times New Roman" w:hAnsi="Times New Roman" w:cs="Times New Roman"/>
          <w:color w:val="auto"/>
          <w:lang w:val="en-US" w:eastAsia="zh-CN"/>
        </w:rPr>
        <w:t>》</w:t>
      </w:r>
      <w:r>
        <w:rPr>
          <w:rFonts w:hint="eastAsia" w:cs="Times New Roman"/>
          <w:color w:val="auto"/>
          <w:lang w:val="en-US" w:eastAsia="zh-CN"/>
        </w:rPr>
        <w:t>。</w:t>
      </w:r>
      <w:r>
        <w:rPr>
          <w:rFonts w:hint="default" w:ascii="Times New Roman" w:hAnsi="Times New Roman" w:eastAsia="宋体" w:cs="Times New Roman"/>
          <w:color w:val="auto"/>
          <w:spacing w:val="0"/>
          <w:w w:val="100"/>
          <w:kern w:val="0"/>
          <w:position w:val="0"/>
          <w:sz w:val="24"/>
          <w:szCs w:val="24"/>
          <w:lang w:val="en-US" w:eastAsia="en-US"/>
        </w:rPr>
        <w:t>20</w:t>
      </w:r>
      <w:r>
        <w:rPr>
          <w:rFonts w:hint="default" w:ascii="Times New Roman" w:hAnsi="Times New Roman" w:eastAsia="宋体" w:cs="Times New Roman"/>
          <w:color w:val="auto"/>
          <w:spacing w:val="0"/>
          <w:w w:val="100"/>
          <w:kern w:val="0"/>
          <w:position w:val="0"/>
          <w:sz w:val="24"/>
          <w:szCs w:val="24"/>
          <w:lang w:val="en-US" w:eastAsia="zh-CN"/>
        </w:rPr>
        <w:t>20</w:t>
      </w:r>
      <w:r>
        <w:rPr>
          <w:rFonts w:hint="default" w:ascii="Times New Roman" w:hAnsi="Times New Roman" w:eastAsia="宋体" w:cs="Times New Roman"/>
          <w:color w:val="auto"/>
          <w:spacing w:val="0"/>
          <w:w w:val="100"/>
          <w:kern w:val="0"/>
          <w:position w:val="0"/>
          <w:sz w:val="24"/>
          <w:szCs w:val="24"/>
          <w:lang w:val="en-US" w:eastAsia="en-US"/>
        </w:rPr>
        <w:t>年</w:t>
      </w:r>
      <w:r>
        <w:rPr>
          <w:rFonts w:hint="default" w:ascii="Times New Roman" w:hAnsi="Times New Roman" w:eastAsia="宋体" w:cs="Times New Roman"/>
          <w:color w:val="auto"/>
          <w:spacing w:val="0"/>
          <w:w w:val="100"/>
          <w:kern w:val="0"/>
          <w:position w:val="0"/>
          <w:sz w:val="24"/>
          <w:szCs w:val="24"/>
          <w:lang w:val="en-US" w:eastAsia="zh-CN"/>
        </w:rPr>
        <w:t>9</w:t>
      </w:r>
      <w:r>
        <w:rPr>
          <w:rFonts w:hint="default" w:ascii="Times New Roman" w:hAnsi="Times New Roman" w:eastAsia="宋体" w:cs="Times New Roman"/>
          <w:color w:val="auto"/>
          <w:spacing w:val="0"/>
          <w:w w:val="100"/>
          <w:kern w:val="0"/>
          <w:position w:val="0"/>
          <w:sz w:val="24"/>
          <w:szCs w:val="24"/>
          <w:lang w:val="en-US" w:eastAsia="en-US"/>
        </w:rPr>
        <w:t>月</w:t>
      </w:r>
      <w:r>
        <w:rPr>
          <w:rFonts w:hint="default" w:ascii="Times New Roman" w:hAnsi="Times New Roman" w:eastAsia="宋体" w:cs="Times New Roman"/>
          <w:color w:val="auto"/>
          <w:spacing w:val="0"/>
          <w:w w:val="100"/>
          <w:kern w:val="0"/>
          <w:position w:val="0"/>
          <w:sz w:val="24"/>
          <w:szCs w:val="24"/>
          <w:lang w:val="en-US" w:eastAsia="zh-CN"/>
        </w:rPr>
        <w:t>8</w:t>
      </w:r>
      <w:r>
        <w:rPr>
          <w:rFonts w:hint="default" w:ascii="Times New Roman" w:hAnsi="Times New Roman" w:eastAsia="宋体" w:cs="Times New Roman"/>
          <w:color w:val="auto"/>
          <w:spacing w:val="0"/>
          <w:w w:val="100"/>
          <w:kern w:val="0"/>
          <w:position w:val="0"/>
          <w:sz w:val="24"/>
          <w:szCs w:val="24"/>
          <w:lang w:val="en-US" w:eastAsia="en-US"/>
        </w:rPr>
        <w:t>日</w:t>
      </w:r>
      <w:r>
        <w:rPr>
          <w:rFonts w:hint="eastAsia" w:cs="Times New Roman"/>
          <w:color w:val="auto"/>
          <w:spacing w:val="0"/>
          <w:w w:val="100"/>
          <w:kern w:val="0"/>
          <w:position w:val="0"/>
          <w:sz w:val="24"/>
          <w:szCs w:val="24"/>
          <w:lang w:val="en-US" w:eastAsia="zh-CN"/>
        </w:rPr>
        <w:t>，取得</w:t>
      </w:r>
      <w:r>
        <w:rPr>
          <w:rFonts w:hint="default" w:ascii="Times New Roman" w:hAnsi="Times New Roman" w:eastAsia="宋体" w:cs="Times New Roman"/>
          <w:color w:val="auto"/>
          <w:spacing w:val="0"/>
          <w:w w:val="100"/>
          <w:kern w:val="0"/>
          <w:position w:val="0"/>
          <w:sz w:val="24"/>
          <w:szCs w:val="24"/>
          <w:lang w:val="en-US" w:eastAsia="en-US"/>
        </w:rPr>
        <w:t>了</w:t>
      </w:r>
      <w:r>
        <w:rPr>
          <w:rFonts w:hint="default" w:ascii="Times New Roman" w:hAnsi="Times New Roman" w:eastAsia="宋体" w:cs="Times New Roman"/>
          <w:color w:val="auto"/>
          <w:spacing w:val="0"/>
          <w:w w:val="100"/>
          <w:kern w:val="0"/>
          <w:position w:val="0"/>
          <w:sz w:val="24"/>
          <w:szCs w:val="24"/>
          <w:lang w:val="en-US" w:eastAsia="zh-CN"/>
        </w:rPr>
        <w:t>重庆市林业局</w:t>
      </w:r>
      <w:r>
        <w:rPr>
          <w:rFonts w:hint="default" w:ascii="Times New Roman" w:hAnsi="Times New Roman" w:eastAsia="宋体" w:cs="Times New Roman"/>
          <w:color w:val="auto"/>
          <w:spacing w:val="0"/>
          <w:w w:val="100"/>
          <w:kern w:val="0"/>
          <w:position w:val="0"/>
          <w:sz w:val="24"/>
          <w:szCs w:val="24"/>
          <w:lang w:val="en-US" w:eastAsia="en-US"/>
        </w:rPr>
        <w:t>《</w:t>
      </w:r>
      <w:r>
        <w:rPr>
          <w:rFonts w:hint="default" w:ascii="Times New Roman" w:hAnsi="Times New Roman" w:eastAsia="宋体" w:cs="Times New Roman"/>
          <w:color w:val="auto"/>
          <w:spacing w:val="0"/>
          <w:w w:val="100"/>
          <w:kern w:val="0"/>
          <w:position w:val="0"/>
          <w:sz w:val="24"/>
          <w:szCs w:val="24"/>
          <w:lang w:val="en-US" w:eastAsia="zh-CN"/>
        </w:rPr>
        <w:t>使用林地审核同意书</w:t>
      </w:r>
      <w:r>
        <w:rPr>
          <w:rFonts w:hint="default" w:ascii="Times New Roman" w:hAnsi="Times New Roman" w:eastAsia="宋体" w:cs="Times New Roman"/>
          <w:color w:val="auto"/>
          <w:spacing w:val="0"/>
          <w:w w:val="100"/>
          <w:kern w:val="0"/>
          <w:position w:val="0"/>
          <w:sz w:val="24"/>
          <w:szCs w:val="24"/>
          <w:lang w:val="en-US" w:eastAsia="en-US"/>
        </w:rPr>
        <w:t>》（渝林许可地</w:t>
      </w:r>
      <w:r>
        <w:rPr>
          <w:rFonts w:hint="eastAsia" w:cs="Times New Roman"/>
          <w:color w:val="auto"/>
          <w:spacing w:val="0"/>
          <w:w w:val="100"/>
          <w:kern w:val="0"/>
          <w:position w:val="0"/>
          <w:sz w:val="24"/>
          <w:szCs w:val="24"/>
          <w:lang w:val="en-US" w:eastAsia="zh-CN"/>
        </w:rPr>
        <w:t>〔2020〕320号</w:t>
      </w:r>
      <w:r>
        <w:rPr>
          <w:rFonts w:hint="default" w:ascii="Times New Roman" w:hAnsi="Times New Roman" w:eastAsia="宋体" w:cs="Times New Roman"/>
          <w:color w:val="auto"/>
          <w:spacing w:val="0"/>
          <w:w w:val="100"/>
          <w:kern w:val="0"/>
          <w:position w:val="0"/>
          <w:sz w:val="24"/>
          <w:szCs w:val="24"/>
          <w:lang w:val="en-US" w:eastAsia="en-US"/>
        </w:rPr>
        <w:t>）</w:t>
      </w:r>
      <w:r>
        <w:rPr>
          <w:rFonts w:hint="default" w:ascii="Times New Roman" w:hAnsi="Times New Roman" w:eastAsia="宋体" w:cs="Times New Roman"/>
          <w:color w:val="auto"/>
          <w:spacing w:val="0"/>
          <w:w w:val="100"/>
          <w:kern w:val="0"/>
          <w:position w:val="0"/>
          <w:sz w:val="24"/>
          <w:szCs w:val="24"/>
          <w:lang w:val="en-US" w:eastAsia="zh-CN"/>
        </w:rPr>
        <w:t>，取得了变更后的林地使用手续。</w:t>
      </w:r>
    </w:p>
    <w:p w14:paraId="4051DD64">
      <w:pPr>
        <w:bidi w:val="0"/>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（9）</w:t>
      </w:r>
      <w:r>
        <w:rPr>
          <w:rFonts w:hint="default" w:ascii="Times New Roman" w:hAnsi="Times New Roman" w:eastAsia="宋体" w:cs="Times New Roman"/>
          <w:color w:val="auto"/>
          <w:spacing w:val="0"/>
          <w:w w:val="100"/>
          <w:kern w:val="0"/>
          <w:position w:val="0"/>
          <w:sz w:val="24"/>
          <w:szCs w:val="24"/>
          <w:lang w:val="en-US" w:eastAsia="en-US"/>
        </w:rPr>
        <w:t>20</w:t>
      </w:r>
      <w:r>
        <w:rPr>
          <w:rFonts w:hint="default" w:ascii="Times New Roman" w:hAnsi="Times New Roman" w:eastAsia="宋体" w:cs="Times New Roman"/>
          <w:color w:val="auto"/>
          <w:spacing w:val="0"/>
          <w:w w:val="100"/>
          <w:kern w:val="0"/>
          <w:position w:val="0"/>
          <w:sz w:val="24"/>
          <w:szCs w:val="24"/>
          <w:lang w:val="en-US" w:eastAsia="zh-CN"/>
        </w:rPr>
        <w:t>20</w:t>
      </w:r>
      <w:r>
        <w:rPr>
          <w:rFonts w:hint="default" w:ascii="Times New Roman" w:hAnsi="Times New Roman" w:eastAsia="宋体" w:cs="Times New Roman"/>
          <w:color w:val="auto"/>
          <w:spacing w:val="0"/>
          <w:w w:val="100"/>
          <w:kern w:val="0"/>
          <w:position w:val="0"/>
          <w:sz w:val="24"/>
          <w:szCs w:val="24"/>
          <w:lang w:val="en-US" w:eastAsia="en-US"/>
        </w:rPr>
        <w:t>年</w:t>
      </w:r>
      <w:r>
        <w:rPr>
          <w:rFonts w:hint="default" w:ascii="Times New Roman" w:hAnsi="Times New Roman" w:eastAsia="宋体" w:cs="Times New Roman"/>
          <w:color w:val="auto"/>
          <w:spacing w:val="0"/>
          <w:w w:val="100"/>
          <w:kern w:val="0"/>
          <w:position w:val="0"/>
          <w:sz w:val="24"/>
          <w:szCs w:val="24"/>
          <w:lang w:val="en-US" w:eastAsia="zh-CN"/>
        </w:rPr>
        <w:t>10</w:t>
      </w:r>
      <w:r>
        <w:rPr>
          <w:rFonts w:hint="default" w:ascii="Times New Roman" w:hAnsi="Times New Roman" w:eastAsia="宋体" w:cs="Times New Roman"/>
          <w:color w:val="auto"/>
          <w:spacing w:val="0"/>
          <w:w w:val="100"/>
          <w:kern w:val="0"/>
          <w:position w:val="0"/>
          <w:sz w:val="24"/>
          <w:szCs w:val="24"/>
          <w:lang w:val="en-US" w:eastAsia="en-US"/>
        </w:rPr>
        <w:t>月</w:t>
      </w:r>
      <w:r>
        <w:rPr>
          <w:rFonts w:hint="default" w:ascii="Times New Roman" w:hAnsi="Times New Roman" w:eastAsia="宋体" w:cs="Times New Roman"/>
          <w:color w:val="auto"/>
          <w:spacing w:val="0"/>
          <w:w w:val="100"/>
          <w:kern w:val="0"/>
          <w:position w:val="0"/>
          <w:sz w:val="24"/>
          <w:szCs w:val="24"/>
          <w:lang w:val="en-US" w:eastAsia="zh-CN"/>
        </w:rPr>
        <w:t>23</w:t>
      </w:r>
      <w:r>
        <w:rPr>
          <w:rFonts w:hint="default" w:ascii="Times New Roman" w:hAnsi="Times New Roman" w:eastAsia="宋体" w:cs="Times New Roman"/>
          <w:color w:val="auto"/>
          <w:spacing w:val="0"/>
          <w:w w:val="100"/>
          <w:kern w:val="0"/>
          <w:position w:val="0"/>
          <w:sz w:val="24"/>
          <w:szCs w:val="24"/>
          <w:lang w:val="en-US" w:eastAsia="en-US"/>
        </w:rPr>
        <w:t>日</w:t>
      </w:r>
      <w:r>
        <w:rPr>
          <w:rFonts w:hint="eastAsia" w:cs="Times New Roman"/>
          <w:color w:val="auto"/>
          <w:spacing w:val="0"/>
          <w:w w:val="100"/>
          <w:kern w:val="0"/>
          <w:position w:val="0"/>
          <w:sz w:val="24"/>
          <w:szCs w:val="24"/>
          <w:lang w:val="en-US" w:eastAsia="zh-CN"/>
        </w:rPr>
        <w:t>，取得</w:t>
      </w:r>
      <w:r>
        <w:rPr>
          <w:rFonts w:hint="default" w:ascii="Times New Roman" w:hAnsi="Times New Roman" w:eastAsia="宋体" w:cs="Times New Roman"/>
          <w:color w:val="auto"/>
          <w:spacing w:val="0"/>
          <w:w w:val="100"/>
          <w:kern w:val="0"/>
          <w:position w:val="0"/>
          <w:sz w:val="24"/>
          <w:szCs w:val="24"/>
          <w:lang w:val="en-US" w:eastAsia="en-US"/>
        </w:rPr>
        <w:t>了</w:t>
      </w:r>
      <w:r>
        <w:rPr>
          <w:rFonts w:hint="default" w:ascii="Times New Roman" w:hAnsi="Times New Roman" w:eastAsia="宋体" w:cs="Times New Roman"/>
          <w:color w:val="auto"/>
          <w:spacing w:val="0"/>
          <w:w w:val="100"/>
          <w:kern w:val="0"/>
          <w:position w:val="0"/>
          <w:sz w:val="24"/>
          <w:szCs w:val="24"/>
          <w:lang w:val="en-US" w:eastAsia="zh-CN"/>
        </w:rPr>
        <w:t>重庆市人民政府</w:t>
      </w:r>
      <w:r>
        <w:rPr>
          <w:rFonts w:hint="default" w:ascii="Times New Roman" w:hAnsi="Times New Roman" w:eastAsia="宋体" w:cs="Times New Roman"/>
          <w:color w:val="auto"/>
          <w:spacing w:val="0"/>
          <w:w w:val="100"/>
          <w:kern w:val="0"/>
          <w:position w:val="0"/>
          <w:sz w:val="24"/>
          <w:szCs w:val="24"/>
          <w:lang w:val="en-US" w:eastAsia="en-US"/>
        </w:rPr>
        <w:t>《关于合川区建设渝广高速支线重庆段农用地转用和土地征收的批复》（渝府地</w:t>
      </w:r>
      <w:r>
        <w:rPr>
          <w:rFonts w:hint="eastAsia" w:cs="Times New Roman"/>
          <w:color w:val="auto"/>
          <w:spacing w:val="0"/>
          <w:w w:val="100"/>
          <w:kern w:val="0"/>
          <w:position w:val="0"/>
          <w:sz w:val="24"/>
          <w:szCs w:val="24"/>
          <w:lang w:val="en-US" w:eastAsia="zh-CN"/>
        </w:rPr>
        <w:t>〔2020〕1091号</w:t>
      </w:r>
      <w:r>
        <w:rPr>
          <w:rFonts w:hint="default" w:ascii="Times New Roman" w:hAnsi="Times New Roman" w:eastAsia="宋体" w:cs="Times New Roman"/>
          <w:color w:val="auto"/>
          <w:spacing w:val="0"/>
          <w:w w:val="100"/>
          <w:kern w:val="0"/>
          <w:position w:val="0"/>
          <w:sz w:val="24"/>
          <w:szCs w:val="24"/>
          <w:lang w:val="en-US" w:eastAsia="en-US"/>
        </w:rPr>
        <w:t>）</w:t>
      </w:r>
      <w:r>
        <w:rPr>
          <w:rFonts w:hint="default" w:ascii="Times New Roman" w:hAnsi="Times New Roman" w:eastAsia="宋体" w:cs="Times New Roman"/>
          <w:color w:val="auto"/>
          <w:spacing w:val="0"/>
          <w:w w:val="100"/>
          <w:kern w:val="0"/>
          <w:position w:val="0"/>
          <w:sz w:val="24"/>
          <w:szCs w:val="24"/>
          <w:lang w:val="en-US" w:eastAsia="zh-CN"/>
        </w:rPr>
        <w:t>，取得了线路变更后的</w:t>
      </w:r>
      <w:r>
        <w:rPr>
          <w:rFonts w:hint="eastAsia" w:cs="Times New Roman"/>
          <w:color w:val="auto"/>
          <w:spacing w:val="0"/>
          <w:w w:val="100"/>
          <w:kern w:val="0"/>
          <w:position w:val="0"/>
          <w:sz w:val="24"/>
          <w:szCs w:val="24"/>
          <w:lang w:val="en-US" w:eastAsia="zh-CN"/>
        </w:rPr>
        <w:t>用地</w:t>
      </w:r>
      <w:r>
        <w:rPr>
          <w:rFonts w:hint="default" w:ascii="Times New Roman" w:hAnsi="Times New Roman" w:eastAsia="宋体" w:cs="Times New Roman"/>
          <w:color w:val="auto"/>
          <w:spacing w:val="0"/>
          <w:w w:val="100"/>
          <w:kern w:val="0"/>
          <w:position w:val="0"/>
          <w:sz w:val="24"/>
          <w:szCs w:val="24"/>
          <w:lang w:val="en-US" w:eastAsia="zh-CN"/>
        </w:rPr>
        <w:t>手续。</w:t>
      </w:r>
    </w:p>
    <w:p w14:paraId="02E7AD5D">
      <w:pPr>
        <w:bidi w:val="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（10）</w:t>
      </w:r>
      <w:r>
        <w:rPr>
          <w:rFonts w:hint="default" w:ascii="Times New Roman" w:hAnsi="Times New Roman" w:eastAsia="宋体" w:cs="Times New Roman"/>
          <w:color w:val="auto"/>
          <w:spacing w:val="0"/>
          <w:w w:val="100"/>
          <w:kern w:val="0"/>
          <w:position w:val="0"/>
          <w:sz w:val="24"/>
          <w:szCs w:val="24"/>
          <w:lang w:val="en-US" w:eastAsia="en-US"/>
        </w:rPr>
        <w:t>20</w:t>
      </w:r>
      <w:r>
        <w:rPr>
          <w:rFonts w:hint="default" w:ascii="Times New Roman" w:hAnsi="Times New Roman" w:eastAsia="宋体" w:cs="Times New Roman"/>
          <w:color w:val="auto"/>
          <w:spacing w:val="0"/>
          <w:w w:val="100"/>
          <w:kern w:val="0"/>
          <w:position w:val="0"/>
          <w:sz w:val="24"/>
          <w:szCs w:val="24"/>
          <w:lang w:val="en-US" w:eastAsia="zh-CN"/>
        </w:rPr>
        <w:t>20</w:t>
      </w:r>
      <w:r>
        <w:rPr>
          <w:rFonts w:hint="default" w:ascii="Times New Roman" w:hAnsi="Times New Roman" w:eastAsia="宋体" w:cs="Times New Roman"/>
          <w:color w:val="auto"/>
          <w:spacing w:val="0"/>
          <w:w w:val="100"/>
          <w:kern w:val="0"/>
          <w:position w:val="0"/>
          <w:sz w:val="24"/>
          <w:szCs w:val="24"/>
          <w:lang w:val="en-US" w:eastAsia="en-US"/>
        </w:rPr>
        <w:t>年</w:t>
      </w:r>
      <w:r>
        <w:rPr>
          <w:rFonts w:hint="default" w:ascii="Times New Roman" w:hAnsi="Times New Roman" w:eastAsia="宋体" w:cs="Times New Roman"/>
          <w:color w:val="auto"/>
          <w:spacing w:val="0"/>
          <w:w w:val="100"/>
          <w:kern w:val="0"/>
          <w:position w:val="0"/>
          <w:sz w:val="24"/>
          <w:szCs w:val="24"/>
          <w:lang w:val="en-US" w:eastAsia="zh-CN"/>
        </w:rPr>
        <w:t>12</w:t>
      </w:r>
      <w:r>
        <w:rPr>
          <w:rFonts w:hint="default" w:ascii="Times New Roman" w:hAnsi="Times New Roman" w:eastAsia="宋体" w:cs="Times New Roman"/>
          <w:color w:val="auto"/>
          <w:spacing w:val="0"/>
          <w:w w:val="100"/>
          <w:kern w:val="0"/>
          <w:position w:val="0"/>
          <w:sz w:val="24"/>
          <w:szCs w:val="24"/>
          <w:lang w:val="en-US" w:eastAsia="en-US"/>
        </w:rPr>
        <w:t>月</w:t>
      </w:r>
      <w:r>
        <w:rPr>
          <w:rFonts w:hint="default" w:ascii="Times New Roman" w:hAnsi="Times New Roman" w:eastAsia="宋体" w:cs="Times New Roman"/>
          <w:color w:val="auto"/>
          <w:spacing w:val="0"/>
          <w:w w:val="100"/>
          <w:kern w:val="0"/>
          <w:position w:val="0"/>
          <w:sz w:val="24"/>
          <w:szCs w:val="24"/>
          <w:lang w:val="en-US" w:eastAsia="zh-CN"/>
        </w:rPr>
        <w:t>25</w:t>
      </w:r>
      <w:r>
        <w:rPr>
          <w:rFonts w:hint="default" w:ascii="Times New Roman" w:hAnsi="Times New Roman" w:eastAsia="宋体" w:cs="Times New Roman"/>
          <w:color w:val="auto"/>
          <w:spacing w:val="0"/>
          <w:w w:val="100"/>
          <w:kern w:val="0"/>
          <w:position w:val="0"/>
          <w:sz w:val="24"/>
          <w:szCs w:val="24"/>
          <w:lang w:val="en-US" w:eastAsia="en-US"/>
        </w:rPr>
        <w:t>日</w:t>
      </w:r>
      <w:r>
        <w:rPr>
          <w:rFonts w:hint="eastAsia" w:cs="Times New Roman"/>
          <w:color w:val="auto"/>
          <w:spacing w:val="0"/>
          <w:w w:val="100"/>
          <w:kern w:val="0"/>
          <w:position w:val="0"/>
          <w:sz w:val="24"/>
          <w:szCs w:val="24"/>
          <w:lang w:val="en-US" w:eastAsia="zh-CN"/>
        </w:rPr>
        <w:t>，取得</w:t>
      </w:r>
      <w:r>
        <w:rPr>
          <w:rFonts w:hint="default" w:ascii="Times New Roman" w:hAnsi="Times New Roman" w:eastAsia="宋体" w:cs="Times New Roman"/>
          <w:color w:val="auto"/>
          <w:spacing w:val="0"/>
          <w:w w:val="100"/>
          <w:kern w:val="0"/>
          <w:position w:val="0"/>
          <w:sz w:val="24"/>
          <w:szCs w:val="24"/>
          <w:lang w:val="en-US" w:eastAsia="en-US"/>
        </w:rPr>
        <w:t>了重庆市交通运输综合行政执法总队工程质量监督支队《关于渝广支线（重庆段）高速公路工程交工质量核验意见的报告》（渝交执质文〔2020〕31号）</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lang w:val="en-US" w:eastAsia="zh-CN"/>
        </w:rPr>
        <w:t>实际建设内容取消了省界收费站和服务区</w:t>
      </w:r>
      <w:r>
        <w:rPr>
          <w:rFonts w:hint="default" w:ascii="Times New Roman" w:hAnsi="Times New Roman" w:eastAsia="宋体" w:cs="Times New Roman"/>
          <w:color w:val="auto"/>
          <w:spacing w:val="0"/>
          <w:w w:val="100"/>
          <w:kern w:val="0"/>
          <w:position w:val="0"/>
          <w:sz w:val="24"/>
          <w:szCs w:val="24"/>
          <w:lang w:val="en-US" w:eastAsia="zh-CN"/>
        </w:rPr>
        <w:t>。</w:t>
      </w:r>
    </w:p>
    <w:p w14:paraId="718B0F12">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（11）项目于</w:t>
      </w:r>
      <w:r>
        <w:rPr>
          <w:rFonts w:hint="default" w:ascii="Times New Roman" w:hAnsi="Times New Roman" w:eastAsia="宋体" w:cs="Times New Roman"/>
          <w:color w:val="auto"/>
          <w:lang w:val="en-US" w:eastAsia="zh-CN"/>
        </w:rPr>
        <w:t>2018年9月开工，2020年12月主体、辅助工程完工开始通车</w:t>
      </w:r>
      <w:r>
        <w:rPr>
          <w:rFonts w:hint="eastAsia" w:cs="Times New Roman"/>
          <w:color w:val="auto"/>
          <w:lang w:val="en-US" w:eastAsia="zh-CN"/>
        </w:rPr>
        <w:t>。</w:t>
      </w:r>
      <w:r>
        <w:rPr>
          <w:rFonts w:hint="default" w:ascii="Times New Roman" w:hAnsi="Times New Roman" w:eastAsia="宋体" w:cs="Times New Roman"/>
          <w:color w:val="auto"/>
          <w:lang w:val="en-US" w:eastAsia="zh-CN"/>
        </w:rPr>
        <w:t>根据现场调查，项目主要临时工程已采取的生态恢复措施</w:t>
      </w:r>
      <w:r>
        <w:rPr>
          <w:rFonts w:hint="eastAsia" w:cs="Times New Roman"/>
          <w:color w:val="auto"/>
          <w:lang w:val="en-US" w:eastAsia="zh-CN"/>
        </w:rPr>
        <w:t>效果</w:t>
      </w:r>
      <w:r>
        <w:rPr>
          <w:rFonts w:hint="default" w:ascii="Times New Roman" w:hAnsi="Times New Roman" w:eastAsia="宋体" w:cs="Times New Roman"/>
          <w:color w:val="auto"/>
          <w:lang w:val="en-US" w:eastAsia="zh-CN"/>
        </w:rPr>
        <w:t>较好，并完成了水保验收工作。</w:t>
      </w:r>
    </w:p>
    <w:p w14:paraId="5F527F5D">
      <w:pPr>
        <w:bidi w:val="0"/>
        <w:rPr>
          <w:rFonts w:hint="default" w:ascii="Times New Roman" w:hAnsi="Times New Roman" w:cs="Times New Roman"/>
          <w:color w:val="auto"/>
          <w:lang w:val="en-US" w:eastAsia="zh-CN"/>
        </w:rPr>
      </w:pPr>
      <w:r>
        <w:rPr>
          <w:rFonts w:hint="eastAsia" w:cs="Times New Roman"/>
          <w:color w:val="auto"/>
          <w:lang w:val="en-US" w:eastAsia="zh-CN"/>
        </w:rPr>
        <w:t>（12）</w:t>
      </w:r>
      <w:r>
        <w:rPr>
          <w:rFonts w:hint="default" w:ascii="Times New Roman" w:hAnsi="Times New Roman" w:cs="Times New Roman"/>
          <w:color w:val="auto"/>
          <w:lang w:val="en-US" w:eastAsia="zh-CN"/>
        </w:rPr>
        <w:t>项目于2018年9月开工建设，2020年12月主体及辅助工程完工并通车运行。重庆市合川区生态环境局在2025年9月3日现场检查中发现该项目属于“未验先投”，下达了行政处罚决定书，建设单位接受了行政处罚，并启动了项目竣工验收调查和监测工作。在验收调查过程中发现该项目存在重大变动，建设单位重新报批了环评，取得了《重庆市建设项目环境影响评价文件批准书》（渝（合）环准〔2026〕12号）。</w:t>
      </w:r>
    </w:p>
    <w:p w14:paraId="59267FDD">
      <w:pPr>
        <w:pStyle w:val="19"/>
        <w:keepNext w:val="0"/>
        <w:keepLines w:val="0"/>
        <w:widowControl/>
        <w:suppressLineNumbers w:val="0"/>
        <w:spacing w:before="0" w:beforeAutospacing="0" w:after="0" w:afterAutospacing="0"/>
        <w:ind w:left="0" w:right="0" w:firstLine="0"/>
        <w:rPr>
          <w:rFonts w:hint="eastAsia" w:cs="Times New Roman"/>
          <w:color w:val="auto"/>
          <w:sz w:val="24"/>
          <w:szCs w:val="24"/>
          <w:lang w:eastAsia="zh-CN"/>
        </w:rPr>
      </w:pPr>
      <w:r>
        <w:rPr>
          <w:rFonts w:hint="eastAsia" w:cs="Times New Roman"/>
          <w:color w:val="auto"/>
          <w:lang w:val="en-US" w:eastAsia="zh-CN"/>
        </w:rPr>
        <w:t>综上，本次竣工环保验收调查</w:t>
      </w:r>
      <w:r>
        <w:rPr>
          <w:rFonts w:hint="eastAsia" w:cs="Times New Roman"/>
          <w:color w:val="auto"/>
          <w:sz w:val="24"/>
          <w:szCs w:val="24"/>
          <w:lang w:eastAsia="zh-CN"/>
        </w:rPr>
        <w:t>在</w:t>
      </w:r>
      <w:r>
        <w:rPr>
          <w:rFonts w:hint="eastAsia" w:cs="Times New Roman"/>
          <w:color w:val="auto"/>
          <w:sz w:val="24"/>
          <w:szCs w:val="24"/>
          <w:lang w:val="en-US" w:eastAsia="zh-CN"/>
        </w:rPr>
        <w:t>本次重新报批的</w:t>
      </w:r>
      <w:r>
        <w:rPr>
          <w:rFonts w:hint="eastAsia" w:cs="Times New Roman"/>
          <w:color w:val="auto"/>
          <w:sz w:val="24"/>
          <w:szCs w:val="24"/>
          <w:lang w:eastAsia="zh-CN"/>
        </w:rPr>
        <w:t>基础上，编制完成了《广安市过境高速公路东环线及渝广高速支线</w:t>
      </w:r>
      <w:r>
        <w:rPr>
          <w:color w:val="auto"/>
        </w:rPr>
        <w:t>（重庆境</w:t>
      </w:r>
      <w:r>
        <w:rPr>
          <w:rFonts w:hint="eastAsia"/>
          <w:color w:val="auto"/>
          <w:lang w:val="en-US" w:eastAsia="zh-CN"/>
        </w:rPr>
        <w:t>合川</w:t>
      </w:r>
      <w:r>
        <w:rPr>
          <w:color w:val="auto"/>
        </w:rPr>
        <w:t>）</w:t>
      </w:r>
      <w:r>
        <w:rPr>
          <w:rFonts w:hint="eastAsia"/>
          <w:color w:val="auto"/>
          <w:lang w:eastAsia="zh-CN"/>
        </w:rPr>
        <w:t>（</w:t>
      </w:r>
      <w:r>
        <w:rPr>
          <w:rFonts w:hint="eastAsia"/>
          <w:color w:val="auto"/>
          <w:lang w:val="en-US" w:eastAsia="zh-CN"/>
        </w:rPr>
        <w:t>重新报批</w:t>
      </w:r>
      <w:r>
        <w:rPr>
          <w:rFonts w:hint="eastAsia"/>
          <w:color w:val="auto"/>
          <w:lang w:eastAsia="zh-CN"/>
        </w:rPr>
        <w:t>）</w:t>
      </w:r>
      <w:r>
        <w:rPr>
          <w:rFonts w:hint="eastAsia" w:cs="Times New Roman"/>
          <w:color w:val="auto"/>
          <w:sz w:val="24"/>
          <w:szCs w:val="24"/>
          <w:lang w:eastAsia="zh-CN"/>
        </w:rPr>
        <w:t>竣工环保验收调查报告》。</w:t>
      </w:r>
    </w:p>
    <w:p w14:paraId="642A3C07">
      <w:pPr>
        <w:pStyle w:val="24"/>
        <w:ind w:firstLine="480"/>
        <w:rPr>
          <w:rFonts w:hint="default" w:ascii="Times New Roman" w:hAnsi="Times New Roman" w:cs="Times New Roman"/>
          <w:color w:val="auto"/>
          <w:szCs w:val="24"/>
          <w:lang w:val="en-US"/>
        </w:rPr>
      </w:pPr>
    </w:p>
    <w:p w14:paraId="058CEC12">
      <w:pPr>
        <w:pStyle w:val="24"/>
        <w:ind w:firstLine="480"/>
        <w:rPr>
          <w:rFonts w:hint="default" w:ascii="Times New Roman" w:hAnsi="Times New Roman" w:cs="Times New Roman"/>
          <w:color w:val="auto"/>
          <w:szCs w:val="24"/>
          <w:lang w:eastAsia="zh-CN"/>
        </w:rPr>
      </w:pPr>
    </w:p>
    <w:p w14:paraId="2A496144">
      <w:pPr>
        <w:pStyle w:val="24"/>
        <w:ind w:firstLine="480"/>
        <w:rPr>
          <w:rFonts w:hint="default" w:ascii="Times New Roman" w:hAnsi="Times New Roman" w:cs="Times New Roman"/>
          <w:color w:val="auto"/>
          <w:szCs w:val="24"/>
        </w:rPr>
        <w:sectPr>
          <w:footerReference r:id="rId14" w:type="default"/>
          <w:pgSz w:w="11906" w:h="16838"/>
          <w:pgMar w:top="1440" w:right="1800" w:bottom="1440" w:left="1800" w:header="680" w:footer="992" w:gutter="0"/>
          <w:pgBorders>
            <w:top w:val="none" w:sz="0" w:space="0"/>
            <w:left w:val="none" w:sz="0" w:space="0"/>
            <w:bottom w:val="none" w:sz="0" w:space="0"/>
            <w:right w:val="none" w:sz="0" w:space="0"/>
          </w:pgBorders>
          <w:pgNumType w:fmt="lowerRoman" w:start="1"/>
          <w:cols w:space="720" w:num="1"/>
          <w:docGrid w:type="linesAndChars" w:linePitch="326" w:charSpace="0"/>
        </w:sectPr>
      </w:pPr>
    </w:p>
    <w:p w14:paraId="0E8A36C3">
      <w:pPr>
        <w:pStyle w:val="2"/>
        <w:pageBreakBefore w:val="0"/>
        <w:widowControl w:val="0"/>
        <w:kinsoku/>
        <w:wordWrap/>
        <w:overflowPunct/>
        <w:topLinePunct w:val="0"/>
        <w:autoSpaceDE/>
        <w:autoSpaceDN/>
        <w:bidi w:val="0"/>
        <w:adjustRightInd w:val="0"/>
        <w:snapToGrid w:val="0"/>
        <w:spacing w:before="0" w:beforeLines="0" w:after="0" w:afterLines="0"/>
        <w:ind w:left="0"/>
        <w:textAlignment w:val="auto"/>
        <w:rPr>
          <w:rFonts w:hint="default" w:ascii="Times New Roman" w:hAnsi="Times New Roman" w:cs="Times New Roman"/>
          <w:color w:val="auto"/>
          <w:sz w:val="36"/>
          <w:szCs w:val="36"/>
        </w:rPr>
      </w:pPr>
      <w:bookmarkStart w:id="0" w:name="_Toc4710"/>
      <w:bookmarkStart w:id="1" w:name="_Toc27822"/>
      <w:r>
        <w:rPr>
          <w:rFonts w:hint="eastAsia" w:cs="Times New Roman"/>
          <w:color w:val="auto"/>
          <w:sz w:val="36"/>
          <w:szCs w:val="36"/>
          <w:lang w:val="en-US" w:eastAsia="zh-CN"/>
        </w:rPr>
        <w:t>1.</w:t>
      </w:r>
      <w:r>
        <w:rPr>
          <w:rFonts w:hint="default" w:ascii="Times New Roman" w:hAnsi="Times New Roman" w:cs="Times New Roman"/>
          <w:color w:val="auto"/>
          <w:sz w:val="36"/>
          <w:szCs w:val="36"/>
        </w:rPr>
        <w:t>总则</w:t>
      </w:r>
      <w:bookmarkEnd w:id="0"/>
      <w:bookmarkEnd w:id="1"/>
    </w:p>
    <w:p w14:paraId="1E06E34F">
      <w:pPr>
        <w:pStyle w:val="3"/>
        <w:pageBreakBefore w:val="0"/>
        <w:widowControl w:val="0"/>
        <w:numPr>
          <w:ilvl w:val="1"/>
          <w:numId w:val="0"/>
        </w:numPr>
        <w:kinsoku/>
        <w:wordWrap/>
        <w:overflowPunct/>
        <w:topLinePunct w:val="0"/>
        <w:autoSpaceDE/>
        <w:autoSpaceDN/>
        <w:bidi w:val="0"/>
        <w:adjustRightInd w:val="0"/>
        <w:snapToGrid w:val="0"/>
        <w:textAlignment w:val="auto"/>
        <w:rPr>
          <w:rFonts w:hint="default" w:ascii="Times New Roman" w:hAnsi="Times New Roman" w:cs="Times New Roman"/>
          <w:color w:val="auto"/>
        </w:rPr>
      </w:pPr>
      <w:bookmarkStart w:id="2" w:name="_Toc6718"/>
      <w:bookmarkStart w:id="3" w:name="_Toc10509"/>
      <w:r>
        <w:rPr>
          <w:rFonts w:hint="eastAsia" w:ascii="Times New Roman" w:hAnsi="Times New Roman" w:eastAsia="宋体" w:cs="Times New Roman"/>
          <w:b/>
          <w:bCs/>
          <w:color w:val="auto"/>
          <w:kern w:val="2"/>
          <w:sz w:val="32"/>
          <w:szCs w:val="32"/>
          <w:lang w:val="en-US" w:eastAsia="zh-CN" w:bidi="ar-SA"/>
        </w:rPr>
        <w:t>1.1</w:t>
      </w:r>
      <w:r>
        <w:rPr>
          <w:rFonts w:hint="default" w:ascii="Times New Roman" w:hAnsi="Times New Roman" w:cs="Times New Roman"/>
          <w:color w:val="auto"/>
        </w:rPr>
        <w:t>编制依据</w:t>
      </w:r>
      <w:bookmarkEnd w:id="2"/>
      <w:bookmarkEnd w:id="3"/>
    </w:p>
    <w:p w14:paraId="2E64B3C8">
      <w:pPr>
        <w:pStyle w:val="4"/>
        <w:numPr>
          <w:ilvl w:val="2"/>
          <w:numId w:val="0"/>
        </w:numPr>
        <w:ind w:left="720" w:leftChars="0" w:hanging="720" w:firstLineChars="0"/>
        <w:rPr>
          <w:rFonts w:hint="default" w:ascii="Times New Roman" w:hAnsi="Times New Roman" w:eastAsia="宋体" w:cs="Times New Roman"/>
          <w:color w:val="auto"/>
        </w:rPr>
      </w:pPr>
      <w:bookmarkStart w:id="4" w:name="_Toc11366"/>
      <w:r>
        <w:rPr>
          <w:rFonts w:hint="default" w:ascii="Times New Roman" w:hAnsi="Times New Roman" w:eastAsia="宋体" w:cs="Times New Roman"/>
          <w:color w:val="auto"/>
        </w:rPr>
        <w:t>1.1.1 国家相关法律、法规</w:t>
      </w:r>
    </w:p>
    <w:p w14:paraId="3ABC76AB">
      <w:pPr>
        <w:pStyle w:val="24"/>
        <w:pageBreakBefore w:val="0"/>
        <w:widowControl w:val="0"/>
        <w:kinsoku/>
        <w:wordWrap/>
        <w:overflowPunct/>
        <w:topLinePunct w:val="0"/>
        <w:autoSpaceDE/>
        <w:autoSpaceDN/>
        <w:bidi w:val="0"/>
        <w:adjustRightInd w:val="0"/>
        <w:snapToGrid w:val="0"/>
        <w:ind w:left="0" w:firstLine="48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（1）《中华人民共和国环境保护法》（2015年1月1日起施行）；</w:t>
      </w:r>
    </w:p>
    <w:p w14:paraId="4D306935">
      <w:pPr>
        <w:pStyle w:val="24"/>
        <w:pageBreakBefore w:val="0"/>
        <w:widowControl w:val="0"/>
        <w:kinsoku/>
        <w:wordWrap/>
        <w:overflowPunct/>
        <w:topLinePunct w:val="0"/>
        <w:autoSpaceDE/>
        <w:autoSpaceDN/>
        <w:bidi w:val="0"/>
        <w:adjustRightInd w:val="0"/>
        <w:snapToGrid w:val="0"/>
        <w:ind w:left="0" w:firstLine="48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（2）《中华人民共和国环境影响评价法》（2018年12月29日修正）；</w:t>
      </w:r>
    </w:p>
    <w:p w14:paraId="5C2F449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（3）《中华人民共和国噪声污染防治法》（2022年6月5日起施行）；</w:t>
      </w:r>
    </w:p>
    <w:p w14:paraId="2FA92A1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（4）《中华人民共和国水污染防治法》（2018年1月1日起施行）；</w:t>
      </w:r>
    </w:p>
    <w:p w14:paraId="18695FBA">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（5）《中华人民共和国固体废物污染环境防治法》（2020年9月1日起施行）；</w:t>
      </w:r>
    </w:p>
    <w:p w14:paraId="64D61E7F">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（6）《中华人民共和国大气污染防治法》（2018年10月26日起施行）；</w:t>
      </w:r>
    </w:p>
    <w:p w14:paraId="66F26C16">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（7）《建设项目环境保护管理条例》（国务院令第682号，2017年10月1日起施行）；</w:t>
      </w:r>
    </w:p>
    <w:p w14:paraId="6A0B7A68">
      <w:pPr>
        <w:pStyle w:val="24"/>
        <w:ind w:firstLine="480"/>
        <w:rPr>
          <w:color w:val="auto"/>
        </w:rPr>
      </w:pPr>
      <w:r>
        <w:rPr>
          <w:rFonts w:hint="default" w:ascii="Times New Roman" w:hAnsi="Times New Roman" w:eastAsia="宋体" w:cs="Times New Roman"/>
          <w:color w:val="auto"/>
          <w:szCs w:val="24"/>
        </w:rPr>
        <w:t>（8）《建设项目竣工环境保护验收暂行办法》（国环规环</w:t>
      </w:r>
      <w:r>
        <w:rPr>
          <w:color w:val="auto"/>
        </w:rPr>
        <w:t>评〔2017〕4号）。</w:t>
      </w:r>
    </w:p>
    <w:p w14:paraId="61ABDCFA">
      <w:pPr>
        <w:pStyle w:val="4"/>
        <w:numPr>
          <w:ilvl w:val="2"/>
          <w:numId w:val="0"/>
        </w:numPr>
        <w:ind w:left="720" w:leftChars="0" w:hanging="72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1.1.2 </w:t>
      </w:r>
      <w:r>
        <w:rPr>
          <w:rFonts w:hint="eastAsia" w:cs="Times New Roman"/>
          <w:color w:val="auto"/>
          <w:lang w:eastAsia="zh-CN"/>
        </w:rPr>
        <w:t>地方性法规</w:t>
      </w:r>
      <w:r>
        <w:rPr>
          <w:rFonts w:hint="default" w:ascii="Times New Roman" w:hAnsi="Times New Roman" w:eastAsia="宋体" w:cs="Times New Roman"/>
          <w:color w:val="auto"/>
        </w:rPr>
        <w:t>与规章</w:t>
      </w:r>
    </w:p>
    <w:p w14:paraId="5B16DCA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（1）《重庆市环境保护条例》（2018年7月26日修正）；</w:t>
      </w:r>
    </w:p>
    <w:p w14:paraId="7CAAFA0C">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（2）《重庆市噪声污染防治办法》（2024年2月1日起施行）；</w:t>
      </w:r>
    </w:p>
    <w:p w14:paraId="1E718BC5">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（3）《重庆市大气污染防治条例》（2021年5月27日修正）。</w:t>
      </w:r>
    </w:p>
    <w:p w14:paraId="264F12F3">
      <w:pPr>
        <w:pStyle w:val="4"/>
        <w:numPr>
          <w:ilvl w:val="2"/>
          <w:numId w:val="0"/>
        </w:numPr>
        <w:ind w:left="720" w:leftChars="0" w:hanging="72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1.1.3 技术规范</w:t>
      </w:r>
    </w:p>
    <w:p w14:paraId="04400EF2">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（1）《建设项目竣工环境保护验收技术规范 生态影响类》（HJ/T 394-2007）；</w:t>
      </w:r>
    </w:p>
    <w:p w14:paraId="775FB30E">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（2）《建设项目竣工环境保护验收技术规范 公路》（HJ 552-2010）；</w:t>
      </w:r>
    </w:p>
    <w:p w14:paraId="0084E174">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（3）《建设项目环境影响评价技术导则 总纲》（HJ 2.1-2016）。</w:t>
      </w:r>
    </w:p>
    <w:p w14:paraId="632E43FC">
      <w:pPr>
        <w:pStyle w:val="4"/>
        <w:numPr>
          <w:ilvl w:val="2"/>
          <w:numId w:val="0"/>
        </w:numPr>
        <w:ind w:left="720" w:leftChars="0" w:hanging="72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1.1.4 本项目相关文件</w:t>
      </w:r>
    </w:p>
    <w:p w14:paraId="27687BA0">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（1）《广安市过境高速公路东环线及渝广高速支线项目（重庆合川境）（重新报批）环境影响报告书》（报批稿）及其批复文件（渝（合）环准〔2026〕</w:t>
      </w:r>
      <w:r>
        <w:rPr>
          <w:rFonts w:hint="eastAsia" w:ascii="Times New Roman" w:hAnsi="Times New Roman" w:eastAsia="宋体" w:cs="Times New Roman"/>
          <w:color w:val="auto"/>
          <w:szCs w:val="24"/>
          <w:lang w:val="en-US" w:eastAsia="zh-CN"/>
        </w:rPr>
        <w:t>12</w:t>
      </w:r>
      <w:r>
        <w:rPr>
          <w:rFonts w:hint="default" w:ascii="Times New Roman" w:hAnsi="Times New Roman" w:eastAsia="宋体" w:cs="Times New Roman"/>
          <w:color w:val="auto"/>
          <w:szCs w:val="24"/>
        </w:rPr>
        <w:t>号）；</w:t>
      </w:r>
    </w:p>
    <w:p w14:paraId="51C556A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（2）施工图设计文件及变更记录（含取消省界收费站和服务区的批复）。</w:t>
      </w:r>
    </w:p>
    <w:p w14:paraId="6596574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（3）项目可行性研究报告、初步设计；</w:t>
      </w:r>
    </w:p>
    <w:p w14:paraId="6449206F">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（4）项目水土保持方案及验收资料；</w:t>
      </w:r>
    </w:p>
    <w:p w14:paraId="4511EDFB">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（5）其他施工期环境监理、监测资料。</w:t>
      </w:r>
    </w:p>
    <w:p w14:paraId="67F58EF8">
      <w:pPr>
        <w:pStyle w:val="3"/>
        <w:pageBreakBefore w:val="0"/>
        <w:widowControl w:val="0"/>
        <w:numPr>
          <w:ilvl w:val="1"/>
          <w:numId w:val="0"/>
        </w:numPr>
        <w:kinsoku/>
        <w:wordWrap/>
        <w:overflowPunct/>
        <w:topLinePunct w:val="0"/>
        <w:autoSpaceDE/>
        <w:autoSpaceDN/>
        <w:bidi w:val="0"/>
        <w:adjustRightInd w:val="0"/>
        <w:snapToGrid w:val="0"/>
        <w:textAlignment w:val="auto"/>
        <w:rPr>
          <w:rFonts w:hint="default" w:ascii="Times New Roman" w:hAnsi="Times New Roman" w:eastAsia="宋体" w:cs="Times New Roman"/>
          <w:color w:val="auto"/>
        </w:rPr>
      </w:pPr>
      <w:bookmarkStart w:id="5" w:name="_Toc6172"/>
      <w:r>
        <w:rPr>
          <w:rFonts w:hint="default" w:ascii="Times New Roman" w:hAnsi="Times New Roman" w:eastAsia="宋体" w:cs="Times New Roman"/>
          <w:color w:val="auto"/>
        </w:rPr>
        <w:t>1.2调查目的与原则</w:t>
      </w:r>
      <w:bookmarkEnd w:id="5"/>
    </w:p>
    <w:p w14:paraId="24B4571B">
      <w:pPr>
        <w:pStyle w:val="4"/>
        <w:numPr>
          <w:ilvl w:val="2"/>
          <w:numId w:val="0"/>
        </w:numPr>
        <w:ind w:left="720" w:leftChars="0" w:hanging="72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1.2.1 调查目的</w:t>
      </w:r>
    </w:p>
    <w:p w14:paraId="333199E3">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（1）调查工程在建设过程中，对《广安市过境高速公路东环线及渝广高速支线项目（重庆合川境）（重新报批）环境影响报告书》及其批复文件中所提出的各项环境保护措施、要求的落实情况。</w:t>
      </w:r>
    </w:p>
    <w:p w14:paraId="31C6A771">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（2）通过现场调查与监测，核查工程已采取的生态保护与恢复、污染治理、环境风险防范措施的实施情况及运行效果，评估其有效性。</w:t>
      </w:r>
    </w:p>
    <w:p w14:paraId="29626AE2">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（3）分析工程实际建设内容（特别是线路变动部分）产生的环境影响，针对已存在的环境问题或潜在影响，提出切实可行的补救或改进措施。</w:t>
      </w:r>
    </w:p>
    <w:p w14:paraId="5596738C">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（4）结合公众意见调查，了解工程建设及试运行期间的环境影响和社会反馈。</w:t>
      </w:r>
    </w:p>
    <w:p w14:paraId="2B848315">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（5）根据调查结果，从技术上综合论证本工程是否符合建设项目竣工环境保护验收条件。</w:t>
      </w:r>
    </w:p>
    <w:p w14:paraId="41C529A0">
      <w:pPr>
        <w:pStyle w:val="4"/>
        <w:numPr>
          <w:ilvl w:val="2"/>
          <w:numId w:val="0"/>
        </w:numPr>
        <w:ind w:left="720" w:leftChars="0" w:hanging="72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1.2.2 调查原则</w:t>
      </w:r>
    </w:p>
    <w:p w14:paraId="3504FE9D">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（1）坚持污染防治与生态保护并重。</w:t>
      </w:r>
    </w:p>
    <w:p w14:paraId="1B62654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（2）坚持客观、公正、科学、实用的原则。</w:t>
      </w:r>
    </w:p>
    <w:p w14:paraId="4DB202A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（3）充分利用已有资料与现场踏勘、现状监测相结合。</w:t>
      </w:r>
    </w:p>
    <w:p w14:paraId="44E4F7EE">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（4）借鉴四川段竣工环保验收的调查方法与重点，结合重庆段工程实际变动情况及环境特点，突出调查重点。</w:t>
      </w:r>
    </w:p>
    <w:bookmarkEnd w:id="4"/>
    <w:p w14:paraId="2733C056">
      <w:pPr>
        <w:pStyle w:val="3"/>
        <w:numPr>
          <w:ilvl w:val="1"/>
          <w:numId w:val="0"/>
        </w:numPr>
        <w:ind w:left="578" w:leftChars="0" w:hanging="578" w:firstLineChars="0"/>
        <w:rPr>
          <w:rFonts w:hint="default" w:ascii="Times New Roman" w:hAnsi="Times New Roman" w:cs="Times New Roman"/>
          <w:color w:val="auto"/>
        </w:rPr>
      </w:pPr>
      <w:bookmarkStart w:id="6" w:name="_Toc4509"/>
      <w:bookmarkStart w:id="7" w:name="_Toc21127"/>
      <w:r>
        <w:rPr>
          <w:rFonts w:hint="eastAsia" w:ascii="Times New Roman" w:hAnsi="Times New Roman" w:eastAsia="宋体" w:cs="Times New Roman"/>
          <w:b/>
          <w:bCs/>
          <w:color w:val="auto"/>
          <w:kern w:val="2"/>
          <w:sz w:val="32"/>
          <w:szCs w:val="32"/>
          <w:lang w:val="en-US" w:eastAsia="zh-CN" w:bidi="ar-SA"/>
        </w:rPr>
        <w:t>1.3</w:t>
      </w:r>
      <w:r>
        <w:rPr>
          <w:rFonts w:hint="default" w:ascii="Times New Roman" w:hAnsi="Times New Roman" w:cs="Times New Roman"/>
          <w:color w:val="auto"/>
        </w:rPr>
        <w:t>调查方法</w:t>
      </w:r>
      <w:bookmarkEnd w:id="6"/>
      <w:bookmarkEnd w:id="7"/>
    </w:p>
    <w:p w14:paraId="2A285345">
      <w:pPr>
        <w:pStyle w:val="24"/>
        <w:ind w:firstLine="480"/>
        <w:rPr>
          <w:rFonts w:hint="default" w:ascii="Times New Roman" w:hAnsi="Times New Roman" w:eastAsia="宋体" w:cs="Times New Roman"/>
          <w:color w:val="auto"/>
          <w:szCs w:val="24"/>
        </w:rPr>
      </w:pPr>
      <w:bookmarkStart w:id="8" w:name="_Toc27663"/>
      <w:bookmarkStart w:id="9" w:name="_Toc1188"/>
      <w:r>
        <w:rPr>
          <w:rFonts w:hint="default" w:ascii="Times New Roman" w:hAnsi="Times New Roman" w:eastAsia="宋体" w:cs="Times New Roman"/>
          <w:color w:val="auto"/>
          <w:szCs w:val="24"/>
        </w:rPr>
        <w:t>（1）文件资料核查：收集并研阅工程设计、环评、批复、监理、监测等文件，核实环保措施落实情况。</w:t>
      </w:r>
    </w:p>
    <w:p w14:paraId="2465A890">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（2）现场踏勘调查：对公路全线，特别是线路变动路段、临时占地、声环境敏感目标、水环境敏感路段、边坡及绿化等进行实地勘查。</w:t>
      </w:r>
    </w:p>
    <w:p w14:paraId="4D28BA1C">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（3）环境现状监测：委托有资质的监测单位对沿线声环境敏感点、收费站污水等进行现状监测。</w:t>
      </w:r>
    </w:p>
    <w:p w14:paraId="417A0AFB">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（4）公众意见调查：采用问卷与走访相结合的方式，征求沿线受影响的单位及居民意见。</w:t>
      </w:r>
    </w:p>
    <w:p w14:paraId="7113A566">
      <w:pPr>
        <w:pStyle w:val="3"/>
        <w:numPr>
          <w:ilvl w:val="1"/>
          <w:numId w:val="0"/>
        </w:numPr>
        <w:ind w:left="578" w:leftChars="0" w:hanging="578" w:firstLineChars="0"/>
        <w:rPr>
          <w:rFonts w:hint="default" w:ascii="Times New Roman" w:hAnsi="Times New Roman" w:cs="Times New Roman"/>
          <w:color w:val="auto"/>
        </w:rPr>
      </w:pPr>
      <w:bookmarkStart w:id="10" w:name="_Toc28708"/>
      <w:r>
        <w:rPr>
          <w:rFonts w:hint="eastAsia" w:ascii="Times New Roman" w:hAnsi="Times New Roman" w:eastAsia="宋体" w:cs="Times New Roman"/>
          <w:b/>
          <w:bCs/>
          <w:color w:val="auto"/>
          <w:kern w:val="2"/>
          <w:sz w:val="32"/>
          <w:szCs w:val="32"/>
          <w:lang w:val="en-US" w:eastAsia="zh-CN" w:bidi="ar-SA"/>
        </w:rPr>
        <w:t>1.4</w:t>
      </w:r>
      <w:r>
        <w:rPr>
          <w:rFonts w:hint="default" w:ascii="Times New Roman" w:hAnsi="Times New Roman" w:cs="Times New Roman"/>
          <w:color w:val="auto"/>
        </w:rPr>
        <w:t>调查因子、调查范围和验收标准</w:t>
      </w:r>
      <w:bookmarkEnd w:id="8"/>
      <w:bookmarkEnd w:id="9"/>
      <w:bookmarkEnd w:id="10"/>
    </w:p>
    <w:p w14:paraId="766209B6">
      <w:pPr>
        <w:pStyle w:val="4"/>
        <w:numPr>
          <w:ilvl w:val="2"/>
          <w:numId w:val="0"/>
        </w:numPr>
        <w:ind w:left="720" w:leftChars="0" w:hanging="720" w:firstLineChars="0"/>
        <w:rPr>
          <w:rFonts w:hint="default" w:ascii="Times New Roman" w:hAnsi="Times New Roman" w:cs="Times New Roman"/>
          <w:color w:val="auto"/>
        </w:rPr>
      </w:pPr>
      <w:bookmarkStart w:id="11" w:name="_Toc23857"/>
      <w:bookmarkStart w:id="12" w:name="_Toc419186346"/>
      <w:r>
        <w:rPr>
          <w:rFonts w:hint="default" w:ascii="Times New Roman" w:hAnsi="Times New Roman" w:eastAsia="宋体" w:cs="Times New Roman"/>
          <w:b/>
          <w:bCs/>
          <w:color w:val="auto"/>
          <w:kern w:val="2"/>
          <w:sz w:val="30"/>
          <w:szCs w:val="32"/>
          <w:lang w:val="en-US" w:eastAsia="zh-CN" w:bidi="ar-SA"/>
        </w:rPr>
        <w:t>1.4.1</w:t>
      </w:r>
      <w:r>
        <w:rPr>
          <w:rFonts w:hint="default" w:ascii="Times New Roman" w:hAnsi="Times New Roman" w:cs="Times New Roman"/>
          <w:color w:val="auto"/>
        </w:rPr>
        <w:t>调查因子和调查</w:t>
      </w:r>
      <w:bookmarkEnd w:id="11"/>
      <w:bookmarkEnd w:id="12"/>
      <w:r>
        <w:rPr>
          <w:rFonts w:hint="default" w:ascii="Times New Roman" w:hAnsi="Times New Roman" w:cs="Times New Roman"/>
          <w:color w:val="auto"/>
        </w:rPr>
        <w:t>范围</w:t>
      </w:r>
    </w:p>
    <w:p w14:paraId="0C3CA702">
      <w:pPr>
        <w:pStyle w:val="24"/>
        <w:ind w:firstLine="480"/>
        <w:rPr>
          <w:rFonts w:hint="default" w:ascii="Times New Roman" w:hAnsi="Times New Roman" w:cs="Times New Roman"/>
          <w:color w:val="auto"/>
          <w:szCs w:val="24"/>
        </w:rPr>
        <w:sectPr>
          <w:footerReference r:id="rId15" w:type="default"/>
          <w:pgSz w:w="11906" w:h="16838"/>
          <w:pgMar w:top="1440" w:right="1800" w:bottom="1440" w:left="1800" w:header="680" w:footer="992" w:gutter="0"/>
          <w:pgBorders>
            <w:top w:val="none" w:sz="0" w:space="0"/>
            <w:left w:val="none" w:sz="0" w:space="0"/>
            <w:bottom w:val="none" w:sz="0" w:space="0"/>
            <w:right w:val="none" w:sz="0" w:space="0"/>
          </w:pgBorders>
          <w:pgNumType w:fmt="decimal" w:start="1"/>
          <w:cols w:space="720" w:num="1"/>
          <w:docGrid w:type="linesAndChars" w:linePitch="326" w:charSpace="0"/>
        </w:sectPr>
      </w:pPr>
      <w:r>
        <w:rPr>
          <w:rFonts w:hint="default" w:ascii="Times New Roman" w:hAnsi="Times New Roman" w:cs="Times New Roman"/>
          <w:color w:val="auto"/>
          <w:szCs w:val="24"/>
        </w:rPr>
        <w:t>根据工程环境影响评价范围、公路实际建设情况以及环境影响调查的一般要求，确定各项目的调查范围和调查内容见</w:t>
      </w:r>
      <w:r>
        <w:rPr>
          <w:rFonts w:hint="default" w:ascii="Times New Roman" w:hAnsi="Times New Roman" w:cs="Times New Roman"/>
          <w:color w:val="auto"/>
          <w:szCs w:val="24"/>
          <w:lang w:eastAsia="zh-CN"/>
        </w:rPr>
        <w:t>下表</w:t>
      </w:r>
      <w:r>
        <w:rPr>
          <w:rFonts w:hint="default" w:ascii="Times New Roman" w:hAnsi="Times New Roman" w:cs="Times New Roman"/>
          <w:color w:val="auto"/>
          <w:szCs w:val="24"/>
        </w:rPr>
        <w:t>。本次验收调查范围原则上与重新报批的环评文件评价范围相一致，具体见下表。</w:t>
      </w:r>
    </w:p>
    <w:p w14:paraId="7869B5BA">
      <w:pPr>
        <w:pStyle w:val="9"/>
        <w:rPr>
          <w:rFonts w:hint="default" w:ascii="Times New Roman" w:hAnsi="Times New Roman" w:cs="Times New Roman"/>
          <w:color w:val="auto"/>
        </w:rPr>
      </w:pPr>
      <w:r>
        <w:rPr>
          <w:rFonts w:hint="default" w:ascii="Times New Roman" w:hAnsi="Times New Roman" w:cs="Times New Roman"/>
          <w:color w:val="auto"/>
        </w:rPr>
        <w:t>表</w:t>
      </w:r>
      <w:r>
        <w:rPr>
          <w:rStyle w:val="26"/>
          <w:rFonts w:hint="default" w:ascii="Times New Roman" w:hAnsi="Times New Roman" w:cs="Times New Roman"/>
          <w:b/>
          <w:color w:val="auto"/>
        </w:rPr>
        <w:fldChar w:fldCharType="begin"/>
      </w:r>
      <w:r>
        <w:rPr>
          <w:rStyle w:val="26"/>
          <w:rFonts w:hint="default" w:ascii="Times New Roman" w:hAnsi="Times New Roman" w:cs="Times New Roman"/>
          <w:b/>
          <w:color w:val="auto"/>
        </w:rPr>
        <w:instrText xml:space="preserve"> STYLEREF 2 \s </w:instrText>
      </w:r>
      <w:r>
        <w:rPr>
          <w:rStyle w:val="26"/>
          <w:rFonts w:hint="default" w:ascii="Times New Roman" w:hAnsi="Times New Roman" w:cs="Times New Roman"/>
          <w:b/>
          <w:color w:val="auto"/>
        </w:rPr>
        <w:fldChar w:fldCharType="separate"/>
      </w:r>
      <w:r>
        <w:rPr>
          <w:rStyle w:val="26"/>
          <w:rFonts w:hint="default" w:ascii="Times New Roman" w:hAnsi="Times New Roman" w:cs="Times New Roman"/>
          <w:b/>
          <w:color w:val="auto"/>
        </w:rPr>
        <w:t>1.4</w:t>
      </w:r>
      <w:r>
        <w:rPr>
          <w:rStyle w:val="26"/>
          <w:rFonts w:hint="default" w:ascii="Times New Roman" w:hAnsi="Times New Roman" w:cs="Times New Roman"/>
          <w:b/>
          <w:color w:val="auto"/>
        </w:rPr>
        <w:fldChar w:fldCharType="end"/>
      </w:r>
      <w:r>
        <w:rPr>
          <w:rFonts w:hint="default" w:ascii="Times New Roman" w:hAnsi="Times New Roman" w:cs="Times New Roman"/>
          <w:color w:val="auto"/>
        </w:rPr>
        <w:noBreakHyphen/>
      </w:r>
      <w:r>
        <w:rPr>
          <w:rStyle w:val="26"/>
          <w:rFonts w:hint="default" w:ascii="Times New Roman" w:hAnsi="Times New Roman" w:cs="Times New Roman"/>
          <w:b/>
          <w:color w:val="auto"/>
        </w:rPr>
        <w:fldChar w:fldCharType="begin"/>
      </w:r>
      <w:r>
        <w:rPr>
          <w:rStyle w:val="26"/>
          <w:rFonts w:hint="default" w:ascii="Times New Roman" w:hAnsi="Times New Roman" w:cs="Times New Roman"/>
          <w:b/>
          <w:color w:val="auto"/>
        </w:rPr>
        <w:instrText xml:space="preserve"> SEQ 表 \* ARABIC \s 2 </w:instrText>
      </w:r>
      <w:r>
        <w:rPr>
          <w:rStyle w:val="26"/>
          <w:rFonts w:hint="default" w:ascii="Times New Roman" w:hAnsi="Times New Roman" w:cs="Times New Roman"/>
          <w:b/>
          <w:color w:val="auto"/>
        </w:rPr>
        <w:fldChar w:fldCharType="separate"/>
      </w:r>
      <w:r>
        <w:rPr>
          <w:rStyle w:val="26"/>
          <w:rFonts w:hint="default" w:ascii="Times New Roman" w:hAnsi="Times New Roman" w:cs="Times New Roman"/>
          <w:b/>
          <w:color w:val="auto"/>
        </w:rPr>
        <w:t>1</w:t>
      </w:r>
      <w:r>
        <w:rPr>
          <w:rStyle w:val="26"/>
          <w:rFonts w:hint="default" w:ascii="Times New Roman" w:hAnsi="Times New Roman" w:cs="Times New Roman"/>
          <w:b/>
          <w:color w:val="auto"/>
        </w:rPr>
        <w:fldChar w:fldCharType="end"/>
      </w:r>
      <w:r>
        <w:rPr>
          <w:rFonts w:hint="default" w:ascii="Times New Roman" w:hAnsi="Times New Roman" w:cs="Times New Roman"/>
          <w:color w:val="auto"/>
        </w:rPr>
        <w:t>竣工环保验收调查范围和因子</w:t>
      </w:r>
    </w:p>
    <w:tbl>
      <w:tblPr>
        <w:tblStyle w:val="20"/>
        <w:tblW w:w="4998" w:type="pct"/>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108" w:type="dxa"/>
          <w:bottom w:w="0" w:type="dxa"/>
          <w:right w:w="108" w:type="dxa"/>
        </w:tblCellMar>
      </w:tblPr>
      <w:tblGrid>
        <w:gridCol w:w="812"/>
        <w:gridCol w:w="711"/>
        <w:gridCol w:w="4109"/>
        <w:gridCol w:w="4112"/>
        <w:gridCol w:w="1842"/>
        <w:gridCol w:w="1848"/>
        <w:gridCol w:w="734"/>
      </w:tblGrid>
      <w:tr w14:paraId="414DDAA9">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noWrap w:val="0"/>
            <w:vAlign w:val="center"/>
          </w:tcPr>
          <w:p w14:paraId="1A8CC580">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调查项目</w:t>
            </w:r>
          </w:p>
        </w:tc>
        <w:tc>
          <w:tcPr>
            <w:tcW w:w="1701" w:type="pct"/>
            <w:gridSpan w:val="2"/>
            <w:noWrap w:val="0"/>
            <w:vAlign w:val="center"/>
          </w:tcPr>
          <w:p w14:paraId="0DADC7AD">
            <w:pPr>
              <w:pStyle w:val="27"/>
              <w:rPr>
                <w:rFonts w:hint="default" w:ascii="Times New Roman" w:hAnsi="Times New Roman" w:eastAsia="宋体" w:cs="Times New Roman"/>
                <w:color w:val="auto"/>
              </w:rPr>
            </w:pPr>
            <w:r>
              <w:rPr>
                <w:rFonts w:hint="eastAsia" w:eastAsia="宋体" w:cs="Times New Roman"/>
                <w:color w:val="auto"/>
                <w:lang w:eastAsia="zh-CN"/>
              </w:rPr>
              <w:t>重新报批环评阶段</w:t>
            </w:r>
            <w:r>
              <w:rPr>
                <w:rFonts w:hint="default" w:ascii="Times New Roman" w:hAnsi="Times New Roman" w:eastAsia="宋体" w:cs="Times New Roman"/>
                <w:color w:val="auto"/>
              </w:rPr>
              <w:t>评价范围</w:t>
            </w:r>
          </w:p>
        </w:tc>
        <w:tc>
          <w:tcPr>
            <w:tcW w:w="1451" w:type="pct"/>
            <w:noWrap w:val="0"/>
            <w:vAlign w:val="center"/>
          </w:tcPr>
          <w:p w14:paraId="0F3D34BE">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验收阶段调查范围</w:t>
            </w:r>
          </w:p>
        </w:tc>
        <w:tc>
          <w:tcPr>
            <w:tcW w:w="650" w:type="pct"/>
            <w:noWrap w:val="0"/>
            <w:vAlign w:val="center"/>
          </w:tcPr>
          <w:p w14:paraId="6E86EFBE">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评价因子</w:t>
            </w:r>
          </w:p>
        </w:tc>
        <w:tc>
          <w:tcPr>
            <w:tcW w:w="652" w:type="pct"/>
            <w:noWrap w:val="0"/>
            <w:vAlign w:val="center"/>
          </w:tcPr>
          <w:p w14:paraId="7C83BF44">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调查因子</w:t>
            </w:r>
          </w:p>
        </w:tc>
        <w:tc>
          <w:tcPr>
            <w:tcW w:w="259" w:type="pct"/>
            <w:noWrap w:val="0"/>
            <w:vAlign w:val="center"/>
          </w:tcPr>
          <w:p w14:paraId="17B84236">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变动情况</w:t>
            </w:r>
          </w:p>
        </w:tc>
      </w:tr>
      <w:tr w14:paraId="3C2184E6">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vMerge w:val="restart"/>
            <w:noWrap w:val="0"/>
            <w:vAlign w:val="center"/>
          </w:tcPr>
          <w:p w14:paraId="59F75251">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生态环境</w:t>
            </w:r>
          </w:p>
        </w:tc>
        <w:tc>
          <w:tcPr>
            <w:tcW w:w="251" w:type="pct"/>
            <w:noWrap w:val="0"/>
            <w:vAlign w:val="center"/>
          </w:tcPr>
          <w:p w14:paraId="7EBE3EBC">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陆生生态</w:t>
            </w:r>
          </w:p>
        </w:tc>
        <w:tc>
          <w:tcPr>
            <w:tcW w:w="1450" w:type="pct"/>
            <w:noWrap w:val="0"/>
            <w:vAlign w:val="center"/>
          </w:tcPr>
          <w:p w14:paraId="46036225">
            <w:pPr>
              <w:pStyle w:val="27"/>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公路中心线两侧各300m以内的范围。</w:t>
            </w:r>
            <w:r>
              <w:rPr>
                <w:rFonts w:hint="default" w:ascii="Times New Roman" w:hAnsi="Times New Roman" w:cs="Times New Roman"/>
                <w:color w:val="auto"/>
                <w:szCs w:val="24"/>
              </w:rPr>
              <w:t>未涉及自然保护区、风景名胜区、公益林、重要植物物种、重要保护野生动物、生态保护红线</w:t>
            </w:r>
          </w:p>
        </w:tc>
        <w:tc>
          <w:tcPr>
            <w:tcW w:w="4112" w:type="dxa"/>
            <w:noWrap w:val="0"/>
            <w:vAlign w:val="center"/>
          </w:tcPr>
          <w:p w14:paraId="50DB516A">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公路中心线两侧各300m以内的范围。</w:t>
            </w:r>
            <w:r>
              <w:rPr>
                <w:rFonts w:hint="default" w:ascii="Times New Roman" w:hAnsi="Times New Roman" w:cs="Times New Roman"/>
                <w:color w:val="auto"/>
                <w:szCs w:val="24"/>
              </w:rPr>
              <w:t>未涉及自然保护区、风景名胜区、公益林、重要植物物种、重要保护野生动物、生态保护红线</w:t>
            </w:r>
          </w:p>
        </w:tc>
        <w:tc>
          <w:tcPr>
            <w:tcW w:w="650" w:type="pct"/>
            <w:vMerge w:val="restart"/>
            <w:noWrap w:val="0"/>
            <w:vAlign w:val="center"/>
          </w:tcPr>
          <w:p w14:paraId="55ADDCB6">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占地、施工行为产生的破坏、生物量损失、生态阻隔等</w:t>
            </w:r>
          </w:p>
        </w:tc>
        <w:tc>
          <w:tcPr>
            <w:tcW w:w="652" w:type="pct"/>
            <w:vMerge w:val="restart"/>
            <w:noWrap w:val="0"/>
            <w:vAlign w:val="center"/>
          </w:tcPr>
          <w:p w14:paraId="4B843DAC">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占地、施工行为产生的破坏、生物量损失、生态阻隔等</w:t>
            </w:r>
          </w:p>
        </w:tc>
        <w:tc>
          <w:tcPr>
            <w:tcW w:w="259" w:type="pct"/>
            <w:vMerge w:val="restart"/>
            <w:noWrap w:val="0"/>
            <w:vAlign w:val="center"/>
          </w:tcPr>
          <w:p w14:paraId="264C1D80">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无变化</w:t>
            </w:r>
          </w:p>
        </w:tc>
      </w:tr>
      <w:tr w14:paraId="1DD6F2D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vMerge w:val="continue"/>
            <w:noWrap w:val="0"/>
            <w:vAlign w:val="center"/>
          </w:tcPr>
          <w:p w14:paraId="723F2B26">
            <w:pPr>
              <w:pStyle w:val="27"/>
              <w:rPr>
                <w:rFonts w:hint="default" w:ascii="Times New Roman" w:hAnsi="Times New Roman" w:eastAsia="宋体" w:cs="Times New Roman"/>
                <w:color w:val="auto"/>
              </w:rPr>
            </w:pPr>
          </w:p>
        </w:tc>
        <w:tc>
          <w:tcPr>
            <w:tcW w:w="251" w:type="pct"/>
            <w:noWrap w:val="0"/>
            <w:vAlign w:val="center"/>
          </w:tcPr>
          <w:p w14:paraId="5C3D5601">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水生生态</w:t>
            </w:r>
          </w:p>
        </w:tc>
        <w:tc>
          <w:tcPr>
            <w:tcW w:w="1450" w:type="pct"/>
            <w:noWrap w:val="0"/>
            <w:vAlign w:val="center"/>
          </w:tcPr>
          <w:p w14:paraId="6A6F24E9">
            <w:pPr>
              <w:pStyle w:val="27"/>
              <w:jc w:val="both"/>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项目施工占地不占用水域，项目跨越河流区域均不涉及自然保护区、风景名胜区、水生生态重要生境、生态红线，不需进行水生生态评价</w:t>
            </w:r>
            <w:r>
              <w:rPr>
                <w:rFonts w:hint="eastAsia" w:eastAsia="宋体" w:cs="Times New Roman"/>
                <w:color w:val="auto"/>
                <w:lang w:val="en-US" w:eastAsia="zh-CN"/>
              </w:rPr>
              <w:t>。</w:t>
            </w:r>
          </w:p>
        </w:tc>
        <w:tc>
          <w:tcPr>
            <w:tcW w:w="4112" w:type="dxa"/>
            <w:noWrap w:val="0"/>
            <w:vAlign w:val="center"/>
          </w:tcPr>
          <w:p w14:paraId="7B1B1152">
            <w:pPr>
              <w:pStyle w:val="27"/>
              <w:ind w:firstLine="0" w:firstLineChars="0"/>
              <w:jc w:val="both"/>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项目施工占地不占用水域，项目跨越河流区域均不涉及自然保护区、风景名胜区、水生生态重要生境、生态红线，不需进行水生生态评价</w:t>
            </w:r>
            <w:r>
              <w:rPr>
                <w:rFonts w:hint="eastAsia" w:eastAsia="宋体" w:cs="Times New Roman"/>
                <w:color w:val="auto"/>
                <w:lang w:val="en-US" w:eastAsia="zh-CN"/>
              </w:rPr>
              <w:t>。</w:t>
            </w:r>
          </w:p>
        </w:tc>
        <w:tc>
          <w:tcPr>
            <w:tcW w:w="650" w:type="pct"/>
            <w:vMerge w:val="continue"/>
            <w:noWrap w:val="0"/>
            <w:vAlign w:val="center"/>
          </w:tcPr>
          <w:p w14:paraId="608CD2DE">
            <w:pPr>
              <w:pStyle w:val="27"/>
              <w:jc w:val="both"/>
              <w:rPr>
                <w:rFonts w:hint="default" w:ascii="Times New Roman" w:hAnsi="Times New Roman" w:eastAsia="宋体" w:cs="Times New Roman"/>
                <w:color w:val="auto"/>
              </w:rPr>
            </w:pPr>
          </w:p>
        </w:tc>
        <w:tc>
          <w:tcPr>
            <w:tcW w:w="652" w:type="pct"/>
            <w:vMerge w:val="continue"/>
            <w:noWrap w:val="0"/>
            <w:vAlign w:val="center"/>
          </w:tcPr>
          <w:p w14:paraId="24796349">
            <w:pPr>
              <w:pStyle w:val="27"/>
              <w:jc w:val="both"/>
              <w:rPr>
                <w:rFonts w:hint="default" w:ascii="Times New Roman" w:hAnsi="Times New Roman" w:eastAsia="宋体" w:cs="Times New Roman"/>
                <w:color w:val="auto"/>
              </w:rPr>
            </w:pPr>
          </w:p>
        </w:tc>
        <w:tc>
          <w:tcPr>
            <w:tcW w:w="259" w:type="pct"/>
            <w:vMerge w:val="continue"/>
            <w:noWrap w:val="0"/>
            <w:vAlign w:val="center"/>
          </w:tcPr>
          <w:p w14:paraId="1E5DA3F4">
            <w:pPr>
              <w:pStyle w:val="27"/>
              <w:rPr>
                <w:rFonts w:hint="default" w:ascii="Times New Roman" w:hAnsi="Times New Roman" w:eastAsia="宋体" w:cs="Times New Roman"/>
                <w:color w:val="auto"/>
              </w:rPr>
            </w:pPr>
          </w:p>
        </w:tc>
      </w:tr>
      <w:tr w14:paraId="7735F87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noWrap w:val="0"/>
            <w:vAlign w:val="center"/>
          </w:tcPr>
          <w:p w14:paraId="45EC8F53">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1701" w:type="pct"/>
            <w:gridSpan w:val="2"/>
            <w:noWrap w:val="0"/>
            <w:vAlign w:val="center"/>
          </w:tcPr>
          <w:p w14:paraId="49751ABD">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公路两侧</w:t>
            </w:r>
            <w:r>
              <w:rPr>
                <w:rFonts w:hint="eastAsia" w:eastAsia="宋体" w:cs="Times New Roman"/>
                <w:color w:val="auto"/>
                <w:lang w:eastAsia="zh-CN"/>
              </w:rPr>
              <w:t>距离</w:t>
            </w:r>
            <w:r>
              <w:rPr>
                <w:rFonts w:hint="default" w:ascii="Times New Roman" w:hAnsi="Times New Roman" w:eastAsia="宋体" w:cs="Times New Roman"/>
                <w:color w:val="auto"/>
              </w:rPr>
              <w:t>中心线200m范围</w:t>
            </w:r>
            <w:r>
              <w:rPr>
                <w:rFonts w:hint="eastAsia" w:eastAsia="宋体" w:cs="Times New Roman"/>
                <w:color w:val="auto"/>
                <w:lang w:eastAsia="zh-CN"/>
              </w:rPr>
              <w:t>。</w:t>
            </w:r>
          </w:p>
        </w:tc>
        <w:tc>
          <w:tcPr>
            <w:tcW w:w="1451" w:type="pct"/>
            <w:noWrap w:val="0"/>
            <w:vAlign w:val="center"/>
          </w:tcPr>
          <w:p w14:paraId="2019A5F2">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公路两侧</w:t>
            </w:r>
            <w:r>
              <w:rPr>
                <w:rFonts w:hint="eastAsia" w:eastAsia="宋体" w:cs="Times New Roman"/>
                <w:color w:val="auto"/>
                <w:lang w:eastAsia="zh-CN"/>
              </w:rPr>
              <w:t>距离</w:t>
            </w:r>
            <w:r>
              <w:rPr>
                <w:rFonts w:hint="default" w:ascii="Times New Roman" w:hAnsi="Times New Roman" w:eastAsia="宋体" w:cs="Times New Roman"/>
                <w:color w:val="auto"/>
              </w:rPr>
              <w:t>中心线200m范围</w:t>
            </w:r>
            <w:r>
              <w:rPr>
                <w:rFonts w:hint="eastAsia" w:ascii="Times New Roman" w:hAnsi="Times New Roman" w:eastAsia="宋体" w:cs="Times New Roman"/>
                <w:color w:val="auto"/>
                <w:lang w:eastAsia="zh-CN"/>
              </w:rPr>
              <w:t>。</w:t>
            </w:r>
          </w:p>
        </w:tc>
        <w:tc>
          <w:tcPr>
            <w:tcW w:w="650" w:type="pct"/>
            <w:noWrap w:val="0"/>
            <w:vAlign w:val="center"/>
          </w:tcPr>
          <w:p w14:paraId="7AB7B84A">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等效连续A声级Leq</w:t>
            </w:r>
            <w:r>
              <w:rPr>
                <w:rFonts w:hint="eastAsia" w:eastAsia="宋体" w:cs="Times New Roman"/>
                <w:color w:val="auto"/>
                <w:lang w:eastAsia="zh-CN"/>
              </w:rPr>
              <w:t>（</w:t>
            </w:r>
            <w:r>
              <w:rPr>
                <w:rFonts w:hint="default" w:ascii="Times New Roman" w:hAnsi="Times New Roman" w:eastAsia="宋体" w:cs="Times New Roman"/>
                <w:color w:val="auto"/>
              </w:rPr>
              <w:t>A</w:t>
            </w:r>
            <w:r>
              <w:rPr>
                <w:rFonts w:hint="eastAsia" w:eastAsia="宋体" w:cs="Times New Roman"/>
                <w:color w:val="auto"/>
                <w:lang w:eastAsia="zh-CN"/>
              </w:rPr>
              <w:t>）</w:t>
            </w:r>
          </w:p>
        </w:tc>
        <w:tc>
          <w:tcPr>
            <w:tcW w:w="652" w:type="pct"/>
            <w:noWrap w:val="0"/>
            <w:vAlign w:val="center"/>
          </w:tcPr>
          <w:p w14:paraId="69FD5203">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等效连续A声级Leq</w:t>
            </w:r>
            <w:r>
              <w:rPr>
                <w:rFonts w:hint="eastAsia" w:eastAsia="宋体" w:cs="Times New Roman"/>
                <w:color w:val="auto"/>
                <w:lang w:eastAsia="zh-CN"/>
              </w:rPr>
              <w:t>（</w:t>
            </w:r>
            <w:r>
              <w:rPr>
                <w:rFonts w:hint="default" w:ascii="Times New Roman" w:hAnsi="Times New Roman" w:eastAsia="宋体" w:cs="Times New Roman"/>
                <w:color w:val="auto"/>
              </w:rPr>
              <w:t>A</w:t>
            </w:r>
            <w:r>
              <w:rPr>
                <w:rFonts w:hint="eastAsia" w:eastAsia="宋体" w:cs="Times New Roman"/>
                <w:color w:val="auto"/>
                <w:lang w:eastAsia="zh-CN"/>
              </w:rPr>
              <w:t>）</w:t>
            </w:r>
          </w:p>
        </w:tc>
        <w:tc>
          <w:tcPr>
            <w:tcW w:w="259" w:type="pct"/>
            <w:noWrap w:val="0"/>
            <w:vAlign w:val="center"/>
          </w:tcPr>
          <w:p w14:paraId="3B5A2E65">
            <w:pPr>
              <w:pStyle w:val="27"/>
              <w:rPr>
                <w:rFonts w:hint="default" w:ascii="Times New Roman" w:hAnsi="Times New Roman" w:eastAsia="宋体" w:cs="Times New Roman"/>
                <w:bCs/>
                <w:color w:val="auto"/>
                <w:kern w:val="28"/>
              </w:rPr>
            </w:pPr>
            <w:r>
              <w:rPr>
                <w:rFonts w:hint="default" w:ascii="Times New Roman" w:hAnsi="Times New Roman" w:eastAsia="宋体" w:cs="Times New Roman"/>
                <w:color w:val="auto"/>
              </w:rPr>
              <w:t>无变化</w:t>
            </w:r>
          </w:p>
        </w:tc>
      </w:tr>
      <w:tr w14:paraId="71D9BAFA">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vMerge w:val="restart"/>
            <w:noWrap w:val="0"/>
            <w:vAlign w:val="center"/>
          </w:tcPr>
          <w:p w14:paraId="12242D20">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水环境</w:t>
            </w:r>
          </w:p>
        </w:tc>
        <w:tc>
          <w:tcPr>
            <w:tcW w:w="1701" w:type="pct"/>
            <w:gridSpan w:val="2"/>
            <w:noWrap w:val="0"/>
            <w:vAlign w:val="center"/>
          </w:tcPr>
          <w:p w14:paraId="72540461">
            <w:pPr>
              <w:pStyle w:val="27"/>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项目未跨越河流段评价范围为公路中心线两侧各200m范围；</w:t>
            </w:r>
          </w:p>
          <w:p w14:paraId="1D53391E">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项目新桂大桥上跨代峨溪，跨河位置评价范围为跨河位置上游200m，下游1000m。</w:t>
            </w:r>
          </w:p>
        </w:tc>
        <w:tc>
          <w:tcPr>
            <w:tcW w:w="1451" w:type="pct"/>
            <w:noWrap w:val="0"/>
            <w:vAlign w:val="center"/>
          </w:tcPr>
          <w:p w14:paraId="21480BD1">
            <w:pPr>
              <w:pStyle w:val="27"/>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项目未跨越河流段评价范围为公路中心线两侧各200m范围；</w:t>
            </w:r>
          </w:p>
          <w:p w14:paraId="5F8CC944">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项目新桂大桥上跨代峨溪，跨河位置评价范围为跨河位置上游200m，下游1000m。</w:t>
            </w:r>
          </w:p>
        </w:tc>
        <w:tc>
          <w:tcPr>
            <w:tcW w:w="650" w:type="pct"/>
            <w:noWrap w:val="0"/>
            <w:vAlign w:val="center"/>
          </w:tcPr>
          <w:p w14:paraId="000E24BD">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施工期的影响及采取的措施；桥面排水方式及收集装置；危险品运输、应急措施</w:t>
            </w:r>
          </w:p>
        </w:tc>
        <w:tc>
          <w:tcPr>
            <w:tcW w:w="652" w:type="pct"/>
            <w:noWrap w:val="0"/>
            <w:vAlign w:val="center"/>
          </w:tcPr>
          <w:p w14:paraId="4BA2FBE2">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施工期的影响及采取的措施；桥面排水方式及收集装置；危险品运输、应急措施</w:t>
            </w:r>
          </w:p>
        </w:tc>
        <w:tc>
          <w:tcPr>
            <w:tcW w:w="259" w:type="pct"/>
            <w:noWrap w:val="0"/>
            <w:vAlign w:val="center"/>
          </w:tcPr>
          <w:p w14:paraId="2C5B333C">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无变化</w:t>
            </w:r>
          </w:p>
        </w:tc>
      </w:tr>
      <w:tr w14:paraId="14783F7D">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vMerge w:val="continue"/>
            <w:noWrap w:val="0"/>
            <w:vAlign w:val="center"/>
          </w:tcPr>
          <w:p w14:paraId="32030E56">
            <w:pPr>
              <w:pStyle w:val="27"/>
              <w:rPr>
                <w:rFonts w:hint="default" w:ascii="Times New Roman" w:hAnsi="Times New Roman" w:eastAsia="宋体" w:cs="Times New Roman"/>
                <w:color w:val="auto"/>
              </w:rPr>
            </w:pPr>
          </w:p>
        </w:tc>
        <w:tc>
          <w:tcPr>
            <w:tcW w:w="1701" w:type="pct"/>
            <w:gridSpan w:val="2"/>
            <w:noWrap w:val="0"/>
            <w:vAlign w:val="center"/>
          </w:tcPr>
          <w:p w14:paraId="1F48A678">
            <w:pPr>
              <w:pStyle w:val="27"/>
              <w:jc w:val="both"/>
              <w:rPr>
                <w:rFonts w:hint="default" w:ascii="Times New Roman" w:hAnsi="Times New Roman" w:eastAsia="宋体" w:cs="Times New Roman"/>
                <w:color w:val="auto"/>
                <w:kern w:val="0"/>
                <w:lang w:bidi="ar"/>
              </w:rPr>
            </w:pPr>
            <w:r>
              <w:rPr>
                <w:rFonts w:hint="eastAsia"/>
                <w:color w:val="auto"/>
                <w:sz w:val="21"/>
                <w:szCs w:val="21"/>
                <w:vertAlign w:val="baseline"/>
                <w:lang w:val="en-US" w:eastAsia="zh-CN"/>
              </w:rPr>
              <w:t>收费站、路段管理处</w:t>
            </w:r>
            <w:r>
              <w:rPr>
                <w:rFonts w:hint="default" w:ascii="Times New Roman" w:hAnsi="Times New Roman" w:eastAsia="宋体" w:cs="Times New Roman"/>
                <w:color w:val="auto"/>
                <w:kern w:val="0"/>
                <w:lang w:bidi="ar"/>
              </w:rPr>
              <w:t>生活污水处理设施运行效果及排放情况</w:t>
            </w:r>
          </w:p>
        </w:tc>
        <w:tc>
          <w:tcPr>
            <w:tcW w:w="1451" w:type="pct"/>
            <w:noWrap w:val="0"/>
            <w:vAlign w:val="center"/>
          </w:tcPr>
          <w:p w14:paraId="1ED1648A">
            <w:pPr>
              <w:pStyle w:val="27"/>
              <w:jc w:val="both"/>
              <w:rPr>
                <w:rFonts w:hint="default" w:ascii="Times New Roman" w:hAnsi="Times New Roman" w:eastAsia="宋体" w:cs="Times New Roman"/>
                <w:color w:val="auto"/>
                <w:kern w:val="0"/>
                <w:lang w:bidi="ar"/>
              </w:rPr>
            </w:pPr>
            <w:r>
              <w:rPr>
                <w:rFonts w:hint="eastAsia"/>
                <w:color w:val="auto"/>
                <w:sz w:val="21"/>
                <w:szCs w:val="21"/>
                <w:vertAlign w:val="baseline"/>
                <w:lang w:val="en-US" w:eastAsia="zh-CN"/>
              </w:rPr>
              <w:t>收费站、路段管理处</w:t>
            </w:r>
            <w:r>
              <w:rPr>
                <w:rFonts w:hint="default" w:ascii="Times New Roman" w:hAnsi="Times New Roman" w:eastAsia="宋体" w:cs="Times New Roman"/>
                <w:color w:val="auto"/>
                <w:kern w:val="0"/>
                <w:lang w:bidi="ar"/>
              </w:rPr>
              <w:t>生活污水处理设施运行效果及排放情况</w:t>
            </w:r>
          </w:p>
        </w:tc>
        <w:tc>
          <w:tcPr>
            <w:tcW w:w="650" w:type="pct"/>
            <w:noWrap w:val="0"/>
            <w:vAlign w:val="center"/>
          </w:tcPr>
          <w:p w14:paraId="199AED47">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pH、COD、SS、BOD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r>
              <w:rPr>
                <w:rFonts w:hint="eastAsia" w:eastAsia="宋体" w:cs="Times New Roman"/>
                <w:color w:val="auto"/>
                <w:lang w:val="en-US" w:eastAsia="zh-CN"/>
              </w:rPr>
              <w:t>TP</w:t>
            </w:r>
            <w:r>
              <w:rPr>
                <w:rFonts w:hint="default" w:ascii="Times New Roman" w:hAnsi="Times New Roman" w:eastAsia="宋体" w:cs="Times New Roman"/>
                <w:color w:val="auto"/>
              </w:rPr>
              <w:t>；污水产生量、达标排放及排放去向</w:t>
            </w:r>
          </w:p>
        </w:tc>
        <w:tc>
          <w:tcPr>
            <w:tcW w:w="652" w:type="pct"/>
            <w:noWrap w:val="0"/>
            <w:vAlign w:val="center"/>
          </w:tcPr>
          <w:p w14:paraId="3A6507CC">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pH、COD、SS、BOD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r>
              <w:rPr>
                <w:rFonts w:hint="eastAsia" w:eastAsia="宋体" w:cs="Times New Roman"/>
                <w:color w:val="auto"/>
                <w:lang w:val="en-US" w:eastAsia="zh-CN"/>
              </w:rPr>
              <w:t>TP</w:t>
            </w:r>
            <w:r>
              <w:rPr>
                <w:rFonts w:hint="default" w:ascii="Times New Roman" w:hAnsi="Times New Roman" w:eastAsia="宋体" w:cs="Times New Roman"/>
                <w:color w:val="auto"/>
              </w:rPr>
              <w:t>；污水产生量、达标排放及排放去向</w:t>
            </w:r>
          </w:p>
        </w:tc>
        <w:tc>
          <w:tcPr>
            <w:tcW w:w="259" w:type="pct"/>
            <w:noWrap w:val="0"/>
            <w:vAlign w:val="center"/>
          </w:tcPr>
          <w:p w14:paraId="7429FA3D">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无变化</w:t>
            </w:r>
          </w:p>
        </w:tc>
      </w:tr>
      <w:tr w14:paraId="15FBEDB4">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noWrap w:val="0"/>
            <w:vAlign w:val="center"/>
          </w:tcPr>
          <w:p w14:paraId="705630A1">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环境空气</w:t>
            </w:r>
          </w:p>
        </w:tc>
        <w:tc>
          <w:tcPr>
            <w:tcW w:w="1701" w:type="pct"/>
            <w:gridSpan w:val="2"/>
            <w:noWrap w:val="0"/>
            <w:vAlign w:val="center"/>
          </w:tcPr>
          <w:p w14:paraId="1BFC87BD">
            <w:pPr>
              <w:pStyle w:val="27"/>
              <w:jc w:val="both"/>
              <w:rPr>
                <w:rFonts w:hint="default" w:ascii="Times New Roman" w:hAnsi="Times New Roman" w:eastAsia="宋体" w:cs="Times New Roman"/>
                <w:color w:val="auto"/>
              </w:rPr>
            </w:pPr>
            <w:r>
              <w:rPr>
                <w:rFonts w:hint="default" w:ascii="Times New Roman" w:hAnsi="Times New Roman" w:cs="Times New Roman"/>
                <w:color w:val="auto"/>
                <w:lang w:val="en-US" w:eastAsia="zh-CN"/>
              </w:rPr>
              <w:t>不设评价范围。</w:t>
            </w:r>
          </w:p>
        </w:tc>
        <w:tc>
          <w:tcPr>
            <w:tcW w:w="1451" w:type="pct"/>
            <w:noWrap w:val="0"/>
            <w:vAlign w:val="center"/>
          </w:tcPr>
          <w:p w14:paraId="404E5475">
            <w:pPr>
              <w:pStyle w:val="27"/>
              <w:jc w:val="both"/>
              <w:rPr>
                <w:rFonts w:hint="default" w:ascii="Times New Roman" w:hAnsi="Times New Roman" w:eastAsia="宋体" w:cs="Times New Roman"/>
                <w:color w:val="auto"/>
              </w:rPr>
            </w:pPr>
            <w:r>
              <w:rPr>
                <w:rFonts w:hint="default" w:ascii="Times New Roman" w:hAnsi="Times New Roman" w:cs="Times New Roman"/>
                <w:color w:val="auto"/>
                <w:lang w:val="en-US" w:eastAsia="zh-CN"/>
              </w:rPr>
              <w:t>不设评价范围。</w:t>
            </w:r>
          </w:p>
        </w:tc>
        <w:tc>
          <w:tcPr>
            <w:tcW w:w="650" w:type="pct"/>
            <w:noWrap w:val="0"/>
            <w:vAlign w:val="center"/>
          </w:tcPr>
          <w:p w14:paraId="5126F50A">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施工期TSP、沥青烟气，运营期NO</w:t>
            </w:r>
            <w:r>
              <w:rPr>
                <w:rFonts w:hint="default" w:ascii="Times New Roman" w:hAnsi="Times New Roman" w:eastAsia="宋体" w:cs="Times New Roman"/>
                <w:color w:val="auto"/>
                <w:vertAlign w:val="subscript"/>
              </w:rPr>
              <w:t>2</w:t>
            </w:r>
          </w:p>
        </w:tc>
        <w:tc>
          <w:tcPr>
            <w:tcW w:w="652" w:type="pct"/>
            <w:noWrap w:val="0"/>
            <w:vAlign w:val="center"/>
          </w:tcPr>
          <w:p w14:paraId="476B4E77">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施工期TSP、沥青烟气</w:t>
            </w:r>
            <w:r>
              <w:rPr>
                <w:rFonts w:hint="eastAsia" w:eastAsia="宋体" w:cs="Times New Roman"/>
                <w:color w:val="auto"/>
                <w:lang w:eastAsia="zh-CN"/>
              </w:rPr>
              <w:t>、</w:t>
            </w:r>
            <w:r>
              <w:rPr>
                <w:rFonts w:hint="default" w:ascii="Times New Roman" w:hAnsi="Times New Roman" w:eastAsia="宋体" w:cs="Times New Roman"/>
                <w:color w:val="auto"/>
              </w:rPr>
              <w:t>运营期NO</w:t>
            </w:r>
            <w:r>
              <w:rPr>
                <w:rFonts w:hint="default" w:ascii="Times New Roman" w:hAnsi="Times New Roman" w:eastAsia="宋体" w:cs="Times New Roman"/>
                <w:color w:val="auto"/>
                <w:vertAlign w:val="subscript"/>
              </w:rPr>
              <w:t>2</w:t>
            </w:r>
          </w:p>
        </w:tc>
        <w:tc>
          <w:tcPr>
            <w:tcW w:w="259" w:type="pct"/>
            <w:noWrap w:val="0"/>
            <w:vAlign w:val="center"/>
          </w:tcPr>
          <w:p w14:paraId="4B452CC6">
            <w:pPr>
              <w:pStyle w:val="27"/>
              <w:rPr>
                <w:rFonts w:hint="default" w:ascii="Times New Roman" w:hAnsi="Times New Roman" w:eastAsia="宋体" w:cs="Times New Roman"/>
                <w:color w:val="auto"/>
                <w:lang w:val="en-US" w:eastAsia="zh-CN"/>
              </w:rPr>
            </w:pPr>
            <w:r>
              <w:rPr>
                <w:rFonts w:hint="eastAsia" w:eastAsia="宋体" w:cs="Times New Roman"/>
                <w:color w:val="auto"/>
                <w:lang w:val="en-US" w:eastAsia="zh-CN"/>
              </w:rPr>
              <w:t>有</w:t>
            </w:r>
            <w:r>
              <w:rPr>
                <w:rFonts w:hint="default" w:ascii="Times New Roman" w:hAnsi="Times New Roman" w:eastAsia="宋体" w:cs="Times New Roman"/>
                <w:color w:val="auto"/>
              </w:rPr>
              <w:t>变化</w:t>
            </w:r>
            <w:r>
              <w:rPr>
                <w:rFonts w:hint="eastAsia" w:eastAsia="宋体" w:cs="Times New Roman"/>
                <w:color w:val="auto"/>
                <w:lang w:eastAsia="zh-CN"/>
              </w:rPr>
              <w:t>，</w:t>
            </w:r>
            <w:r>
              <w:rPr>
                <w:rFonts w:hint="eastAsia" w:eastAsia="宋体" w:cs="Times New Roman"/>
                <w:color w:val="auto"/>
                <w:lang w:val="en-US" w:eastAsia="zh-CN"/>
              </w:rPr>
              <w:t>营运期无相关监测要求</w:t>
            </w:r>
          </w:p>
        </w:tc>
      </w:tr>
      <w:tr w14:paraId="027D6AB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noWrap w:val="0"/>
            <w:vAlign w:val="center"/>
          </w:tcPr>
          <w:p w14:paraId="56E09B89">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固体废物</w:t>
            </w:r>
          </w:p>
        </w:tc>
        <w:tc>
          <w:tcPr>
            <w:tcW w:w="1701" w:type="pct"/>
            <w:gridSpan w:val="2"/>
            <w:noWrap w:val="0"/>
            <w:vAlign w:val="center"/>
          </w:tcPr>
          <w:p w14:paraId="6EEB1AD1">
            <w:pPr>
              <w:pStyle w:val="27"/>
              <w:jc w:val="both"/>
              <w:rPr>
                <w:rFonts w:hint="default" w:ascii="Times New Roman" w:hAnsi="Times New Roman" w:eastAsia="宋体" w:cs="Times New Roman"/>
                <w:color w:val="auto"/>
              </w:rPr>
            </w:pPr>
            <w:r>
              <w:rPr>
                <w:rFonts w:hint="eastAsia"/>
                <w:color w:val="auto"/>
                <w:sz w:val="21"/>
                <w:szCs w:val="21"/>
                <w:vertAlign w:val="baseline"/>
                <w:lang w:val="en-US" w:eastAsia="zh-CN"/>
              </w:rPr>
              <w:t>收费站、路段管理处</w:t>
            </w:r>
            <w:r>
              <w:rPr>
                <w:rFonts w:hint="default" w:ascii="Times New Roman" w:hAnsi="Times New Roman" w:eastAsia="宋体" w:cs="Times New Roman"/>
                <w:color w:val="auto"/>
              </w:rPr>
              <w:t>产生的</w:t>
            </w:r>
            <w:r>
              <w:rPr>
                <w:rFonts w:hint="eastAsia" w:eastAsia="宋体" w:cs="Times New Roman"/>
                <w:color w:val="auto"/>
                <w:lang w:val="en-US" w:eastAsia="zh-CN"/>
              </w:rPr>
              <w:t>生活</w:t>
            </w:r>
            <w:r>
              <w:rPr>
                <w:rFonts w:hint="default" w:ascii="Times New Roman" w:hAnsi="Times New Roman" w:eastAsia="宋体" w:cs="Times New Roman"/>
                <w:color w:val="auto"/>
              </w:rPr>
              <w:t>垃圾</w:t>
            </w:r>
          </w:p>
        </w:tc>
        <w:tc>
          <w:tcPr>
            <w:tcW w:w="1451" w:type="pct"/>
            <w:noWrap w:val="0"/>
            <w:vAlign w:val="center"/>
          </w:tcPr>
          <w:p w14:paraId="7A399DCF">
            <w:pPr>
              <w:pStyle w:val="27"/>
              <w:jc w:val="both"/>
              <w:rPr>
                <w:rFonts w:hint="default" w:ascii="Times New Roman" w:hAnsi="Times New Roman" w:eastAsia="宋体" w:cs="Times New Roman"/>
                <w:color w:val="auto"/>
              </w:rPr>
            </w:pPr>
            <w:r>
              <w:rPr>
                <w:rFonts w:hint="eastAsia"/>
                <w:color w:val="auto"/>
                <w:sz w:val="21"/>
                <w:szCs w:val="21"/>
                <w:vertAlign w:val="baseline"/>
                <w:lang w:val="en-US" w:eastAsia="zh-CN"/>
              </w:rPr>
              <w:t>收费站、路段管理处</w:t>
            </w:r>
            <w:r>
              <w:rPr>
                <w:rFonts w:hint="default" w:ascii="Times New Roman" w:hAnsi="Times New Roman" w:eastAsia="宋体" w:cs="Times New Roman"/>
                <w:color w:val="auto"/>
              </w:rPr>
              <w:t>产生的</w:t>
            </w:r>
            <w:r>
              <w:rPr>
                <w:rFonts w:hint="eastAsia" w:eastAsia="宋体" w:cs="Times New Roman"/>
                <w:color w:val="auto"/>
                <w:lang w:val="en-US" w:eastAsia="zh-CN"/>
              </w:rPr>
              <w:t>生活</w:t>
            </w:r>
            <w:r>
              <w:rPr>
                <w:rFonts w:hint="default" w:ascii="Times New Roman" w:hAnsi="Times New Roman" w:eastAsia="宋体" w:cs="Times New Roman"/>
                <w:color w:val="auto"/>
              </w:rPr>
              <w:t>垃圾</w:t>
            </w:r>
          </w:p>
        </w:tc>
        <w:tc>
          <w:tcPr>
            <w:tcW w:w="650" w:type="pct"/>
            <w:noWrap w:val="0"/>
            <w:vAlign w:val="center"/>
          </w:tcPr>
          <w:p w14:paraId="41C8AB33">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固体废物的产生、收集和处置情况</w:t>
            </w:r>
          </w:p>
        </w:tc>
        <w:tc>
          <w:tcPr>
            <w:tcW w:w="652" w:type="pct"/>
            <w:noWrap w:val="0"/>
            <w:vAlign w:val="center"/>
          </w:tcPr>
          <w:p w14:paraId="613CEE3D">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固体废物的产生、收集和处置情况</w:t>
            </w:r>
          </w:p>
        </w:tc>
        <w:tc>
          <w:tcPr>
            <w:tcW w:w="259" w:type="pct"/>
            <w:noWrap w:val="0"/>
            <w:vAlign w:val="center"/>
          </w:tcPr>
          <w:p w14:paraId="73E1DCD2">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无变化</w:t>
            </w:r>
          </w:p>
        </w:tc>
      </w:tr>
      <w:tr w14:paraId="67A706A0">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287" w:type="pct"/>
            <w:noWrap w:val="0"/>
            <w:vAlign w:val="center"/>
          </w:tcPr>
          <w:p w14:paraId="0EA64183">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社会环境</w:t>
            </w:r>
          </w:p>
        </w:tc>
        <w:tc>
          <w:tcPr>
            <w:tcW w:w="1701" w:type="pct"/>
            <w:gridSpan w:val="2"/>
            <w:noWrap w:val="0"/>
            <w:vAlign w:val="center"/>
          </w:tcPr>
          <w:p w14:paraId="512F0B1F">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本项目直接影响区</w:t>
            </w:r>
            <w:r>
              <w:rPr>
                <w:rFonts w:hint="eastAsia" w:eastAsia="宋体" w:cs="Times New Roman"/>
                <w:color w:val="auto"/>
                <w:lang w:eastAsia="zh-CN"/>
              </w:rPr>
              <w:t>（</w:t>
            </w:r>
            <w:r>
              <w:rPr>
                <w:rFonts w:hint="eastAsia" w:eastAsia="宋体" w:cs="Times New Roman"/>
                <w:color w:val="auto"/>
                <w:lang w:val="en-US" w:eastAsia="zh-CN"/>
              </w:rPr>
              <w:t>合川区</w:t>
            </w:r>
            <w:r>
              <w:rPr>
                <w:rFonts w:hint="eastAsia" w:eastAsia="宋体" w:cs="Times New Roman"/>
                <w:color w:val="auto"/>
                <w:lang w:eastAsia="zh-CN"/>
              </w:rPr>
              <w:t>）</w:t>
            </w:r>
          </w:p>
        </w:tc>
        <w:tc>
          <w:tcPr>
            <w:tcW w:w="1451" w:type="pct"/>
            <w:noWrap w:val="0"/>
            <w:vAlign w:val="center"/>
          </w:tcPr>
          <w:p w14:paraId="686C9474">
            <w:pPr>
              <w:pStyle w:val="27"/>
              <w:jc w:val="both"/>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本项目直接影响区</w:t>
            </w:r>
            <w:r>
              <w:rPr>
                <w:rFonts w:hint="eastAsia" w:eastAsia="宋体" w:cs="Times New Roman"/>
                <w:color w:val="auto"/>
                <w:lang w:eastAsia="zh-CN"/>
              </w:rPr>
              <w:t>（</w:t>
            </w:r>
            <w:r>
              <w:rPr>
                <w:rFonts w:hint="eastAsia" w:eastAsia="宋体" w:cs="Times New Roman"/>
                <w:color w:val="auto"/>
                <w:lang w:val="en-US" w:eastAsia="zh-CN"/>
              </w:rPr>
              <w:t>合川区</w:t>
            </w:r>
            <w:r>
              <w:rPr>
                <w:rFonts w:hint="eastAsia" w:eastAsia="宋体" w:cs="Times New Roman"/>
                <w:color w:val="auto"/>
                <w:lang w:eastAsia="zh-CN"/>
              </w:rPr>
              <w:t>）</w:t>
            </w:r>
          </w:p>
        </w:tc>
        <w:tc>
          <w:tcPr>
            <w:tcW w:w="650" w:type="pct"/>
            <w:noWrap w:val="0"/>
            <w:vAlign w:val="center"/>
          </w:tcPr>
          <w:p w14:paraId="5C95E113">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征占地、交通出行、经济等</w:t>
            </w:r>
          </w:p>
        </w:tc>
        <w:tc>
          <w:tcPr>
            <w:tcW w:w="652" w:type="pct"/>
            <w:noWrap w:val="0"/>
            <w:vAlign w:val="center"/>
          </w:tcPr>
          <w:p w14:paraId="13429D67">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征占地、交通出行、经济等</w:t>
            </w:r>
          </w:p>
        </w:tc>
        <w:tc>
          <w:tcPr>
            <w:tcW w:w="259" w:type="pct"/>
            <w:noWrap w:val="0"/>
            <w:vAlign w:val="center"/>
          </w:tcPr>
          <w:p w14:paraId="5760A365">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无变化</w:t>
            </w:r>
          </w:p>
        </w:tc>
      </w:tr>
    </w:tbl>
    <w:p w14:paraId="6954E10E">
      <w:pPr>
        <w:pStyle w:val="9"/>
        <w:rPr>
          <w:rFonts w:hint="default" w:ascii="Times New Roman" w:hAnsi="Times New Roman" w:cs="Times New Roman"/>
          <w:color w:val="auto"/>
          <w:sz w:val="24"/>
          <w:szCs w:val="24"/>
        </w:rPr>
        <w:sectPr>
          <w:pgSz w:w="16838" w:h="11906" w:orient="landscape"/>
          <w:pgMar w:top="1800" w:right="1440" w:bottom="1800" w:left="1440" w:header="680" w:footer="992" w:gutter="0"/>
          <w:pgBorders>
            <w:top w:val="none" w:sz="0" w:space="0"/>
            <w:left w:val="none" w:sz="0" w:space="0"/>
            <w:bottom w:val="none" w:sz="0" w:space="0"/>
            <w:right w:val="none" w:sz="0" w:space="0"/>
          </w:pgBorders>
          <w:pgNumType w:fmt="decimal"/>
          <w:cols w:space="720" w:num="1"/>
          <w:docGrid w:type="linesAndChars" w:linePitch="326" w:charSpace="0"/>
        </w:sectPr>
      </w:pPr>
    </w:p>
    <w:p w14:paraId="3DEF1EAA">
      <w:pPr>
        <w:pStyle w:val="4"/>
        <w:numPr>
          <w:ilvl w:val="2"/>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1.4.2</w:t>
      </w:r>
      <w:r>
        <w:rPr>
          <w:rFonts w:hint="default" w:ascii="Times New Roman" w:hAnsi="Times New Roman" w:cs="Times New Roman"/>
          <w:color w:val="auto"/>
          <w:lang w:eastAsia="zh-CN"/>
        </w:rPr>
        <w:t>验收</w:t>
      </w:r>
      <w:r>
        <w:rPr>
          <w:rFonts w:hint="default" w:ascii="Times New Roman" w:hAnsi="Times New Roman" w:cs="Times New Roman"/>
          <w:color w:val="auto"/>
        </w:rPr>
        <w:t>标准</w:t>
      </w:r>
    </w:p>
    <w:p w14:paraId="3AB4E915">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本次环境保护验收调查执行的环境标准及指标原则上与《</w:t>
      </w:r>
      <w:r>
        <w:rPr>
          <w:rFonts w:hint="default" w:ascii="Times New Roman" w:hAnsi="Times New Roman" w:cs="Times New Roman"/>
          <w:color w:val="auto"/>
          <w:szCs w:val="24"/>
          <w:lang w:eastAsia="zh-CN"/>
        </w:rPr>
        <w:t>四川广安绕城高速公路有限责任公司广安市过境高速公路东环线及渝广高速支线项目（重庆合川境）（重新报批）</w:t>
      </w:r>
      <w:r>
        <w:rPr>
          <w:rFonts w:hint="default" w:ascii="Times New Roman" w:hAnsi="Times New Roman" w:cs="Times New Roman"/>
          <w:color w:val="auto"/>
          <w:szCs w:val="24"/>
        </w:rPr>
        <w:t>》中所采取的评价标准一致</w:t>
      </w:r>
      <w:r>
        <w:rPr>
          <w:rFonts w:hint="eastAsia" w:cs="Times New Roman"/>
          <w:color w:val="auto"/>
          <w:szCs w:val="24"/>
          <w:lang w:eastAsia="zh-CN"/>
        </w:rPr>
        <w:t>，</w:t>
      </w:r>
      <w:r>
        <w:rPr>
          <w:rFonts w:hint="eastAsia" w:cs="Times New Roman"/>
          <w:color w:val="auto"/>
          <w:szCs w:val="24"/>
          <w:lang w:val="en-US" w:eastAsia="zh-CN"/>
        </w:rPr>
        <w:t>环评时期</w:t>
      </w:r>
      <w:r>
        <w:rPr>
          <w:rFonts w:hint="default" w:ascii="Times New Roman" w:hAnsi="Times New Roman" w:eastAsia="宋体" w:cs="Times New Roman"/>
          <w:color w:val="auto"/>
          <w:szCs w:val="24"/>
        </w:rPr>
        <w:t>《环境空气质量标准》</w:t>
      </w:r>
      <w:r>
        <w:rPr>
          <w:rFonts w:hint="eastAsia" w:eastAsia="宋体" w:cs="Times New Roman"/>
          <w:color w:val="auto"/>
          <w:szCs w:val="24"/>
          <w:lang w:eastAsia="zh-CN"/>
        </w:rPr>
        <w:t>（GB 3095-20</w:t>
      </w:r>
      <w:r>
        <w:rPr>
          <w:rFonts w:hint="eastAsia" w:eastAsia="宋体" w:cs="Times New Roman"/>
          <w:color w:val="auto"/>
          <w:szCs w:val="24"/>
          <w:lang w:val="en-US" w:eastAsia="zh-CN"/>
        </w:rPr>
        <w:t>12</w:t>
      </w:r>
      <w:r>
        <w:rPr>
          <w:rFonts w:hint="eastAsia" w:eastAsia="宋体" w:cs="Times New Roman"/>
          <w:color w:val="auto"/>
          <w:szCs w:val="24"/>
          <w:lang w:eastAsia="zh-CN"/>
        </w:rPr>
        <w:t>）</w:t>
      </w:r>
      <w:r>
        <w:rPr>
          <w:rFonts w:hint="eastAsia" w:eastAsia="宋体" w:cs="Times New Roman"/>
          <w:color w:val="auto"/>
          <w:szCs w:val="24"/>
          <w:lang w:val="en-US" w:eastAsia="zh-CN"/>
        </w:rPr>
        <w:t>已更新为</w:t>
      </w:r>
      <w:r>
        <w:rPr>
          <w:rFonts w:hint="default" w:ascii="Times New Roman" w:hAnsi="Times New Roman" w:eastAsia="宋体" w:cs="Times New Roman"/>
          <w:color w:val="auto"/>
          <w:szCs w:val="24"/>
        </w:rPr>
        <w:t>《环境空气质量标准》</w:t>
      </w:r>
      <w:r>
        <w:rPr>
          <w:rFonts w:hint="eastAsia" w:eastAsia="宋体" w:cs="Times New Roman"/>
          <w:color w:val="auto"/>
          <w:szCs w:val="24"/>
          <w:lang w:eastAsia="zh-CN"/>
        </w:rPr>
        <w:t>（GB 3095-2026）</w:t>
      </w:r>
      <w:r>
        <w:rPr>
          <w:rFonts w:hint="default" w:ascii="Times New Roman" w:hAnsi="Times New Roman" w:cs="Times New Roman"/>
          <w:color w:val="auto"/>
          <w:szCs w:val="24"/>
        </w:rPr>
        <w:t>。</w:t>
      </w:r>
    </w:p>
    <w:p w14:paraId="7D43387D">
      <w:pPr>
        <w:pStyle w:val="9"/>
        <w:rPr>
          <w:rFonts w:hint="default" w:ascii="Times New Roman" w:hAnsi="Times New Roman" w:cs="Times New Roman"/>
          <w:color w:val="auto"/>
          <w:sz w:val="24"/>
          <w:szCs w:val="24"/>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rPr>
        <w:t>“环评报告书”及本次验收调查中采用的相关标</w:t>
      </w:r>
      <w:r>
        <w:rPr>
          <w:rFonts w:hint="default" w:ascii="Times New Roman" w:hAnsi="Times New Roman" w:cs="Times New Roman"/>
          <w:color w:val="auto"/>
          <w:sz w:val="24"/>
          <w:szCs w:val="24"/>
        </w:rPr>
        <w:t>准</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168"/>
        <w:gridCol w:w="5886"/>
        <w:gridCol w:w="1468"/>
      </w:tblGrid>
      <w:tr w14:paraId="0B86FD6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noWrap w:val="0"/>
            <w:vAlign w:val="center"/>
          </w:tcPr>
          <w:p w14:paraId="2138F66C">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环境要素</w:t>
            </w:r>
          </w:p>
        </w:tc>
        <w:tc>
          <w:tcPr>
            <w:tcW w:w="5886" w:type="dxa"/>
            <w:noWrap w:val="0"/>
            <w:vAlign w:val="center"/>
          </w:tcPr>
          <w:p w14:paraId="2222833F">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“环评报告书”采用的评价标准及排放标准</w:t>
            </w:r>
          </w:p>
        </w:tc>
        <w:tc>
          <w:tcPr>
            <w:tcW w:w="1468" w:type="dxa"/>
            <w:noWrap w:val="0"/>
            <w:vAlign w:val="center"/>
          </w:tcPr>
          <w:p w14:paraId="22EFB140">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验收调查采用的标准</w:t>
            </w:r>
          </w:p>
        </w:tc>
      </w:tr>
      <w:tr w14:paraId="6C2E0D2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vMerge w:val="restart"/>
            <w:noWrap w:val="0"/>
            <w:vAlign w:val="center"/>
          </w:tcPr>
          <w:p w14:paraId="784A32D1">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地表水环境</w:t>
            </w:r>
          </w:p>
        </w:tc>
        <w:tc>
          <w:tcPr>
            <w:tcW w:w="5886" w:type="dxa"/>
            <w:noWrap w:val="0"/>
            <w:vAlign w:val="center"/>
          </w:tcPr>
          <w:p w14:paraId="6DA60B8F">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《地表水环境质量标准》</w:t>
            </w:r>
            <w:r>
              <w:rPr>
                <w:rFonts w:hint="eastAsia" w:eastAsia="宋体" w:cs="Times New Roman"/>
                <w:color w:val="auto"/>
                <w:szCs w:val="24"/>
                <w:lang w:eastAsia="zh-CN"/>
              </w:rPr>
              <w:t>（</w:t>
            </w:r>
            <w:r>
              <w:rPr>
                <w:rFonts w:hint="default" w:ascii="Times New Roman" w:hAnsi="Times New Roman" w:eastAsia="宋体" w:cs="Times New Roman"/>
                <w:color w:val="auto"/>
                <w:szCs w:val="24"/>
              </w:rPr>
              <w:t>GB3838-2002</w:t>
            </w:r>
            <w:r>
              <w:rPr>
                <w:rFonts w:hint="eastAsia" w:eastAsia="宋体" w:cs="Times New Roman"/>
                <w:color w:val="auto"/>
                <w:szCs w:val="24"/>
                <w:lang w:eastAsia="zh-CN"/>
              </w:rPr>
              <w:t>）</w:t>
            </w:r>
            <w:r>
              <w:rPr>
                <w:rFonts w:hint="default" w:ascii="Times New Roman" w:hAnsi="Times New Roman" w:eastAsia="宋体" w:cs="Times New Roman"/>
                <w:color w:val="auto"/>
                <w:szCs w:val="24"/>
              </w:rPr>
              <w:t>中</w:t>
            </w:r>
            <w:r>
              <w:rPr>
                <w:rFonts w:hint="eastAsia" w:eastAsia="宋体" w:cs="Times New Roman"/>
                <w:color w:val="auto"/>
                <w:szCs w:val="24"/>
                <w:lang w:eastAsia="zh-CN"/>
              </w:rPr>
              <w:t>Ⅲ类</w:t>
            </w:r>
            <w:r>
              <w:rPr>
                <w:rFonts w:hint="default" w:ascii="Times New Roman" w:hAnsi="Times New Roman" w:eastAsia="宋体" w:cs="Times New Roman"/>
                <w:color w:val="auto"/>
                <w:szCs w:val="24"/>
              </w:rPr>
              <w:t>水质标准</w:t>
            </w:r>
          </w:p>
        </w:tc>
        <w:tc>
          <w:tcPr>
            <w:tcW w:w="1468" w:type="dxa"/>
            <w:noWrap w:val="0"/>
            <w:vAlign w:val="center"/>
          </w:tcPr>
          <w:p w14:paraId="11BC1CB4">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同环评标准</w:t>
            </w:r>
          </w:p>
        </w:tc>
      </w:tr>
      <w:tr w14:paraId="18E8482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vMerge w:val="continue"/>
            <w:noWrap w:val="0"/>
            <w:vAlign w:val="center"/>
          </w:tcPr>
          <w:p w14:paraId="661BCE4A">
            <w:pPr>
              <w:pStyle w:val="27"/>
              <w:rPr>
                <w:rFonts w:hint="default" w:ascii="Times New Roman" w:hAnsi="Times New Roman" w:eastAsia="宋体" w:cs="Times New Roman"/>
                <w:color w:val="auto"/>
                <w:szCs w:val="24"/>
              </w:rPr>
            </w:pPr>
          </w:p>
        </w:tc>
        <w:tc>
          <w:tcPr>
            <w:tcW w:w="5886" w:type="dxa"/>
            <w:noWrap w:val="0"/>
            <w:vAlign w:val="center"/>
          </w:tcPr>
          <w:p w14:paraId="4F341AD1">
            <w:pPr>
              <w:pStyle w:val="27"/>
              <w:rPr>
                <w:rFonts w:hint="default" w:ascii="Times New Roman" w:hAnsi="Times New Roman" w:eastAsia="宋体" w:cs="Times New Roman"/>
                <w:color w:val="auto"/>
                <w:szCs w:val="24"/>
              </w:rPr>
            </w:pPr>
            <w:r>
              <w:rPr>
                <w:rStyle w:val="25"/>
                <w:rFonts w:hint="default" w:ascii="Times New Roman" w:hAnsi="Times New Roman" w:eastAsia="宋体" w:cs="Times New Roman"/>
                <w:color w:val="auto"/>
                <w:sz w:val="21"/>
                <w:szCs w:val="24"/>
              </w:rPr>
              <w:t>服务区</w:t>
            </w:r>
            <w:r>
              <w:rPr>
                <w:rStyle w:val="25"/>
                <w:rFonts w:hint="eastAsia" w:eastAsia="宋体" w:cs="Times New Roman"/>
                <w:color w:val="auto"/>
                <w:sz w:val="21"/>
                <w:szCs w:val="24"/>
                <w:lang w:eastAsia="zh-CN"/>
              </w:rPr>
              <w:t>、</w:t>
            </w:r>
            <w:r>
              <w:rPr>
                <w:rStyle w:val="25"/>
                <w:rFonts w:hint="eastAsia" w:eastAsia="宋体" w:cs="Times New Roman"/>
                <w:color w:val="auto"/>
                <w:sz w:val="21"/>
                <w:szCs w:val="24"/>
                <w:lang w:val="en-US" w:eastAsia="zh-CN"/>
              </w:rPr>
              <w:t>收费站等污水</w:t>
            </w:r>
            <w:r>
              <w:rPr>
                <w:rStyle w:val="25"/>
                <w:rFonts w:hint="default" w:ascii="Times New Roman" w:hAnsi="Times New Roman" w:eastAsia="宋体" w:cs="Times New Roman"/>
                <w:color w:val="auto"/>
                <w:sz w:val="21"/>
                <w:szCs w:val="24"/>
              </w:rPr>
              <w:t>执行</w:t>
            </w:r>
            <w:r>
              <w:rPr>
                <w:rStyle w:val="25"/>
                <w:rFonts w:hint="eastAsia" w:eastAsia="宋体" w:cs="Times New Roman"/>
                <w:color w:val="auto"/>
                <w:sz w:val="21"/>
                <w:szCs w:val="24"/>
                <w:lang w:val="en-US" w:eastAsia="zh-CN"/>
              </w:rPr>
              <w:t>《城市污水再生利用 城市杂用水水质》</w:t>
            </w:r>
            <w:r>
              <w:rPr>
                <w:rStyle w:val="25"/>
                <w:rFonts w:hint="default" w:ascii="Times New Roman" w:hAnsi="Times New Roman" w:eastAsia="宋体" w:cs="Times New Roman"/>
                <w:color w:val="auto"/>
                <w:sz w:val="21"/>
                <w:szCs w:val="24"/>
              </w:rPr>
              <w:t>中相关标准</w:t>
            </w:r>
          </w:p>
        </w:tc>
        <w:tc>
          <w:tcPr>
            <w:tcW w:w="1468" w:type="dxa"/>
            <w:noWrap w:val="0"/>
            <w:vAlign w:val="center"/>
          </w:tcPr>
          <w:p w14:paraId="4D6CC1F0">
            <w:pPr>
              <w:pStyle w:val="27"/>
              <w:rPr>
                <w:rFonts w:hint="default" w:ascii="Times New Roman" w:hAnsi="Times New Roman" w:eastAsia="宋体" w:cs="Times New Roman"/>
                <w:color w:val="auto"/>
                <w:szCs w:val="24"/>
                <w:lang w:val="en-US" w:eastAsia="zh-CN"/>
              </w:rPr>
            </w:pPr>
            <w:r>
              <w:rPr>
                <w:rFonts w:hint="eastAsia" w:eastAsia="宋体" w:cs="Times New Roman"/>
                <w:color w:val="auto"/>
                <w:szCs w:val="24"/>
                <w:lang w:val="en-US" w:eastAsia="zh-CN"/>
              </w:rPr>
              <w:t>根据污水最终去向调整</w:t>
            </w:r>
          </w:p>
        </w:tc>
      </w:tr>
      <w:tr w14:paraId="78C057C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vMerge w:val="restart"/>
            <w:noWrap w:val="0"/>
            <w:vAlign w:val="center"/>
          </w:tcPr>
          <w:p w14:paraId="7D67F123">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环境空气</w:t>
            </w:r>
          </w:p>
        </w:tc>
        <w:tc>
          <w:tcPr>
            <w:tcW w:w="5886" w:type="dxa"/>
            <w:noWrap w:val="0"/>
            <w:vAlign w:val="center"/>
          </w:tcPr>
          <w:p w14:paraId="48A56006">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《环境空气质量标准》</w:t>
            </w:r>
            <w:r>
              <w:rPr>
                <w:rFonts w:hint="eastAsia" w:eastAsia="宋体" w:cs="Times New Roman"/>
                <w:color w:val="auto"/>
                <w:szCs w:val="24"/>
                <w:lang w:eastAsia="zh-CN"/>
              </w:rPr>
              <w:t>（GB 3095-2026）</w:t>
            </w:r>
            <w:r>
              <w:rPr>
                <w:rFonts w:hint="default" w:ascii="Times New Roman" w:hAnsi="Times New Roman" w:eastAsia="宋体" w:cs="Times New Roman"/>
                <w:color w:val="auto"/>
                <w:szCs w:val="24"/>
              </w:rPr>
              <w:t>中的二级标准</w:t>
            </w:r>
          </w:p>
        </w:tc>
        <w:tc>
          <w:tcPr>
            <w:tcW w:w="1468" w:type="dxa"/>
            <w:noWrap w:val="0"/>
            <w:vAlign w:val="center"/>
          </w:tcPr>
          <w:p w14:paraId="60DC64A0">
            <w:pPr>
              <w:pStyle w:val="27"/>
              <w:rPr>
                <w:rFonts w:hint="default" w:ascii="Times New Roman" w:hAnsi="Times New Roman" w:eastAsia="宋体" w:cs="Times New Roman"/>
                <w:color w:val="auto"/>
                <w:szCs w:val="24"/>
                <w:lang w:val="en-US" w:eastAsia="zh-CN"/>
              </w:rPr>
            </w:pPr>
            <w:r>
              <w:rPr>
                <w:rFonts w:hint="eastAsia" w:eastAsia="宋体" w:cs="Times New Roman"/>
                <w:color w:val="auto"/>
                <w:szCs w:val="24"/>
                <w:lang w:val="en-US" w:eastAsia="zh-CN"/>
              </w:rPr>
              <w:t>已更新标准</w:t>
            </w:r>
          </w:p>
        </w:tc>
      </w:tr>
      <w:tr w14:paraId="7258D3B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vMerge w:val="continue"/>
            <w:noWrap w:val="0"/>
            <w:vAlign w:val="center"/>
          </w:tcPr>
          <w:p w14:paraId="6B755166">
            <w:pPr>
              <w:pStyle w:val="27"/>
              <w:rPr>
                <w:rFonts w:hint="default" w:ascii="Times New Roman" w:hAnsi="Times New Roman" w:eastAsia="宋体" w:cs="Times New Roman"/>
                <w:color w:val="auto"/>
                <w:szCs w:val="24"/>
              </w:rPr>
            </w:pPr>
          </w:p>
        </w:tc>
        <w:tc>
          <w:tcPr>
            <w:tcW w:w="5886" w:type="dxa"/>
            <w:noWrap w:val="0"/>
            <w:vAlign w:val="center"/>
          </w:tcPr>
          <w:p w14:paraId="1EF56805">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pacing w:val="-3"/>
                <w:szCs w:val="24"/>
              </w:rPr>
              <w:t>《重庆市大气污染物综合排放标准》（DB 50/418-2016）</w:t>
            </w:r>
            <w:r>
              <w:rPr>
                <w:rStyle w:val="25"/>
                <w:rFonts w:hint="default" w:ascii="Times New Roman" w:hAnsi="Times New Roman" w:eastAsia="宋体" w:cs="Times New Roman"/>
                <w:color w:val="auto"/>
                <w:sz w:val="21"/>
                <w:szCs w:val="24"/>
              </w:rPr>
              <w:t>中相关标准</w:t>
            </w:r>
          </w:p>
        </w:tc>
        <w:tc>
          <w:tcPr>
            <w:tcW w:w="1468" w:type="dxa"/>
            <w:noWrap w:val="0"/>
            <w:vAlign w:val="center"/>
          </w:tcPr>
          <w:p w14:paraId="42BCF01A">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同环评标准</w:t>
            </w:r>
          </w:p>
        </w:tc>
      </w:tr>
      <w:tr w14:paraId="125FF29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noWrap w:val="0"/>
            <w:vAlign w:val="center"/>
          </w:tcPr>
          <w:p w14:paraId="73CD4AFE">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声环境</w:t>
            </w:r>
          </w:p>
        </w:tc>
        <w:tc>
          <w:tcPr>
            <w:tcW w:w="5886" w:type="dxa"/>
            <w:noWrap w:val="0"/>
            <w:vAlign w:val="center"/>
          </w:tcPr>
          <w:p w14:paraId="314A8528">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公路两侧红线外35m以内区域执行《声环境质量标准》</w:t>
            </w:r>
            <w:r>
              <w:rPr>
                <w:rFonts w:hint="eastAsia" w:eastAsia="宋体" w:cs="Times New Roman"/>
                <w:color w:val="auto"/>
                <w:szCs w:val="24"/>
                <w:lang w:eastAsia="zh-CN"/>
              </w:rPr>
              <w:t>（</w:t>
            </w:r>
            <w:r>
              <w:rPr>
                <w:rFonts w:hint="default" w:ascii="Times New Roman" w:hAnsi="Times New Roman" w:eastAsia="宋体" w:cs="Times New Roman"/>
                <w:color w:val="auto"/>
                <w:szCs w:val="24"/>
              </w:rPr>
              <w:t>GB3096-2008</w:t>
            </w:r>
            <w:r>
              <w:rPr>
                <w:rFonts w:hint="eastAsia" w:eastAsia="宋体" w:cs="Times New Roman"/>
                <w:color w:val="auto"/>
                <w:szCs w:val="24"/>
                <w:lang w:eastAsia="zh-CN"/>
              </w:rPr>
              <w:t>）</w:t>
            </w:r>
            <w:r>
              <w:rPr>
                <w:rFonts w:hint="default" w:ascii="Times New Roman" w:hAnsi="Times New Roman" w:eastAsia="宋体" w:cs="Times New Roman"/>
                <w:color w:val="auto"/>
                <w:szCs w:val="24"/>
              </w:rPr>
              <w:t>4a类标准；公路两侧红线外35m以外的评价范围和沿线特殊敏感建筑，如学校、医院等，执行《声环境质量标准》</w:t>
            </w:r>
            <w:r>
              <w:rPr>
                <w:rFonts w:hint="eastAsia" w:eastAsia="宋体" w:cs="Times New Roman"/>
                <w:color w:val="auto"/>
                <w:szCs w:val="24"/>
                <w:lang w:eastAsia="zh-CN"/>
              </w:rPr>
              <w:t>（</w:t>
            </w:r>
            <w:r>
              <w:rPr>
                <w:rFonts w:hint="default" w:ascii="Times New Roman" w:hAnsi="Times New Roman" w:eastAsia="宋体" w:cs="Times New Roman"/>
                <w:color w:val="auto"/>
                <w:szCs w:val="24"/>
              </w:rPr>
              <w:t>GB3096-2008</w:t>
            </w:r>
            <w:r>
              <w:rPr>
                <w:rFonts w:hint="eastAsia" w:eastAsia="宋体" w:cs="Times New Roman"/>
                <w:color w:val="auto"/>
                <w:szCs w:val="24"/>
                <w:lang w:eastAsia="zh-CN"/>
              </w:rPr>
              <w:t>）</w:t>
            </w:r>
            <w:r>
              <w:rPr>
                <w:rFonts w:hint="default" w:ascii="Times New Roman" w:hAnsi="Times New Roman" w:eastAsia="宋体" w:cs="Times New Roman"/>
                <w:color w:val="auto"/>
                <w:szCs w:val="24"/>
              </w:rPr>
              <w:t>2类标准</w:t>
            </w:r>
          </w:p>
        </w:tc>
        <w:tc>
          <w:tcPr>
            <w:tcW w:w="1468" w:type="dxa"/>
            <w:noWrap w:val="0"/>
            <w:vAlign w:val="center"/>
          </w:tcPr>
          <w:p w14:paraId="4B12216F">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同环评标准</w:t>
            </w:r>
          </w:p>
        </w:tc>
      </w:tr>
      <w:tr w14:paraId="1F89811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1168" w:type="dxa"/>
            <w:noWrap w:val="0"/>
            <w:vAlign w:val="center"/>
          </w:tcPr>
          <w:p w14:paraId="21446E7B">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生态环境</w:t>
            </w:r>
          </w:p>
        </w:tc>
        <w:tc>
          <w:tcPr>
            <w:tcW w:w="5886" w:type="dxa"/>
            <w:noWrap w:val="0"/>
            <w:vAlign w:val="center"/>
          </w:tcPr>
          <w:p w14:paraId="6316CFB0">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lang w:val="en-US" w:eastAsia="zh-CN"/>
              </w:rPr>
              <w:t>以不减少区域内濒危珍稀动植物和不破坏生态系统完整性为标准；水土流失以不加剧现有土壤侵蚀强度为标准。</w:t>
            </w:r>
          </w:p>
        </w:tc>
        <w:tc>
          <w:tcPr>
            <w:tcW w:w="1468" w:type="dxa"/>
            <w:noWrap w:val="0"/>
            <w:vAlign w:val="center"/>
          </w:tcPr>
          <w:p w14:paraId="2A4A6D3C">
            <w:pPr>
              <w:pStyle w:val="27"/>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同环评标准</w:t>
            </w:r>
          </w:p>
        </w:tc>
      </w:tr>
    </w:tbl>
    <w:p w14:paraId="5B02B643">
      <w:pPr>
        <w:pStyle w:val="28"/>
        <w:numPr>
          <w:ilvl w:val="3"/>
          <w:numId w:val="0"/>
        </w:numPr>
        <w:ind w:left="0" w:leftChars="0" w:firstLine="0" w:firstLineChars="0"/>
        <w:rPr>
          <w:rFonts w:hint="default" w:ascii="Times New Roman" w:hAnsi="Times New Roman" w:cs="Times New Roman"/>
          <w:color w:val="auto"/>
        </w:rPr>
      </w:pPr>
      <w:r>
        <w:rPr>
          <w:rFonts w:hint="default" w:ascii="Times New Roman" w:hAnsi="Times New Roman" w:eastAsia="宋体" w:cs="Times New Roman"/>
          <w:b/>
          <w:snapToGrid w:val="0"/>
          <w:color w:val="auto"/>
          <w:spacing w:val="0"/>
          <w:kern w:val="0"/>
          <w:sz w:val="28"/>
          <w:szCs w:val="28"/>
          <w:lang w:val="en-US" w:eastAsia="zh-CN" w:bidi="ar-SA"/>
        </w:rPr>
        <w:t>1.4.2.1</w:t>
      </w:r>
      <w:r>
        <w:rPr>
          <w:rFonts w:hint="default" w:ascii="Times New Roman" w:hAnsi="Times New Roman" w:cs="Times New Roman"/>
          <w:color w:val="auto"/>
        </w:rPr>
        <w:t>环境质量标准</w:t>
      </w:r>
    </w:p>
    <w:p w14:paraId="3FE2C03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1、环境空气</w:t>
      </w:r>
    </w:p>
    <w:p w14:paraId="59BC8F20">
      <w:pPr>
        <w:pStyle w:val="24"/>
        <w:ind w:firstLine="480"/>
        <w:rPr>
          <w:rFonts w:hint="default" w:ascii="Times New Roman" w:hAnsi="Times New Roman" w:cs="Times New Roman"/>
          <w:color w:val="auto"/>
          <w:spacing w:val="-3"/>
          <w:szCs w:val="24"/>
        </w:rPr>
      </w:pPr>
      <w:r>
        <w:rPr>
          <w:rFonts w:hint="default" w:ascii="Times New Roman" w:hAnsi="Times New Roman" w:cs="Times New Roman"/>
          <w:color w:val="auto"/>
          <w:kern w:val="0"/>
          <w:szCs w:val="24"/>
        </w:rPr>
        <w:t>SO</w:t>
      </w:r>
      <w:r>
        <w:rPr>
          <w:rFonts w:hint="default" w:ascii="Times New Roman" w:hAnsi="Times New Roman" w:cs="Times New Roman"/>
          <w:color w:val="auto"/>
          <w:kern w:val="0"/>
          <w:szCs w:val="24"/>
          <w:vertAlign w:val="subscript"/>
        </w:rPr>
        <w:t>2</w:t>
      </w:r>
      <w:r>
        <w:rPr>
          <w:rFonts w:hint="default" w:ascii="Times New Roman" w:hAnsi="Times New Roman" w:cs="Times New Roman"/>
          <w:color w:val="auto"/>
          <w:kern w:val="0"/>
          <w:szCs w:val="24"/>
        </w:rPr>
        <w:t>、NO</w:t>
      </w:r>
      <w:r>
        <w:rPr>
          <w:rFonts w:hint="default" w:ascii="Times New Roman" w:hAnsi="Times New Roman" w:cs="Times New Roman"/>
          <w:color w:val="auto"/>
          <w:kern w:val="0"/>
          <w:szCs w:val="24"/>
          <w:vertAlign w:val="subscript"/>
        </w:rPr>
        <w:t>2</w:t>
      </w:r>
      <w:r>
        <w:rPr>
          <w:rFonts w:hint="default" w:ascii="Times New Roman" w:hAnsi="Times New Roman" w:cs="Times New Roman"/>
          <w:color w:val="auto"/>
          <w:kern w:val="0"/>
          <w:szCs w:val="24"/>
        </w:rPr>
        <w:t>、PM</w:t>
      </w:r>
      <w:r>
        <w:rPr>
          <w:rFonts w:hint="default" w:ascii="Times New Roman" w:hAnsi="Times New Roman" w:cs="Times New Roman"/>
          <w:color w:val="auto"/>
          <w:kern w:val="0"/>
          <w:szCs w:val="24"/>
          <w:vertAlign w:val="subscript"/>
        </w:rPr>
        <w:t>10</w:t>
      </w:r>
      <w:r>
        <w:rPr>
          <w:rFonts w:hint="default" w:ascii="Times New Roman" w:hAnsi="Times New Roman" w:cs="Times New Roman"/>
          <w:color w:val="auto"/>
          <w:kern w:val="0"/>
          <w:szCs w:val="24"/>
        </w:rPr>
        <w:t>、PM</w:t>
      </w:r>
      <w:r>
        <w:rPr>
          <w:rFonts w:hint="default" w:ascii="Times New Roman" w:hAnsi="Times New Roman" w:cs="Times New Roman"/>
          <w:color w:val="auto"/>
          <w:kern w:val="0"/>
          <w:szCs w:val="24"/>
          <w:vertAlign w:val="subscript"/>
        </w:rPr>
        <w:t>2.5</w:t>
      </w:r>
      <w:r>
        <w:rPr>
          <w:rFonts w:hint="default" w:ascii="Times New Roman" w:hAnsi="Times New Roman" w:cs="Times New Roman"/>
          <w:color w:val="auto"/>
          <w:kern w:val="0"/>
          <w:szCs w:val="24"/>
          <w:lang w:eastAsia="zh-CN"/>
        </w:rPr>
        <w:t>、CO、O</w:t>
      </w:r>
      <w:r>
        <w:rPr>
          <w:rFonts w:hint="default" w:ascii="Times New Roman" w:hAnsi="Times New Roman" w:cs="Times New Roman"/>
          <w:color w:val="auto"/>
          <w:kern w:val="0"/>
          <w:szCs w:val="24"/>
          <w:vertAlign w:val="subscript"/>
          <w:lang w:eastAsia="zh-CN"/>
        </w:rPr>
        <w:t>3</w:t>
      </w:r>
      <w:r>
        <w:rPr>
          <w:rFonts w:hint="default" w:ascii="Times New Roman" w:hAnsi="Times New Roman" w:cs="Times New Roman"/>
          <w:color w:val="auto"/>
          <w:kern w:val="0"/>
          <w:szCs w:val="24"/>
          <w:lang w:eastAsia="zh-CN"/>
        </w:rPr>
        <w:t>、TSP</w:t>
      </w:r>
      <w:r>
        <w:rPr>
          <w:rFonts w:hint="default" w:ascii="Times New Roman" w:hAnsi="Times New Roman" w:cs="Times New Roman"/>
          <w:color w:val="auto"/>
          <w:kern w:val="0"/>
          <w:szCs w:val="24"/>
        </w:rPr>
        <w:t>执行《环境空气质量标准》（</w:t>
      </w:r>
      <w:r>
        <w:rPr>
          <w:rFonts w:hint="eastAsia" w:cs="Times New Roman"/>
          <w:color w:val="auto"/>
          <w:kern w:val="0"/>
          <w:szCs w:val="24"/>
          <w:lang w:eastAsia="zh-CN"/>
        </w:rPr>
        <w:t>GB 3095-2026</w:t>
      </w:r>
      <w:r>
        <w:rPr>
          <w:rFonts w:hint="default" w:ascii="Times New Roman" w:hAnsi="Times New Roman" w:cs="Times New Roman"/>
          <w:color w:val="auto"/>
          <w:kern w:val="0"/>
          <w:szCs w:val="24"/>
        </w:rPr>
        <w:t>）中二级标准</w:t>
      </w:r>
      <w:r>
        <w:rPr>
          <w:rFonts w:hint="default" w:ascii="Times New Roman" w:hAnsi="Times New Roman" w:cs="Times New Roman"/>
          <w:color w:val="auto"/>
          <w:spacing w:val="-3"/>
          <w:szCs w:val="24"/>
        </w:rPr>
        <w:t>，详见下表。</w:t>
      </w:r>
    </w:p>
    <w:p w14:paraId="5B23BCF4">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rPr>
        <w:t>环境空气评价标准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1311"/>
        <w:gridCol w:w="1275"/>
        <w:gridCol w:w="1137"/>
        <w:gridCol w:w="3876"/>
      </w:tblGrid>
      <w:tr w14:paraId="7274D5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vMerge w:val="restart"/>
            <w:noWrap w:val="0"/>
            <w:vAlign w:val="center"/>
          </w:tcPr>
          <w:p w14:paraId="012813C3">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污染物</w:t>
            </w:r>
          </w:p>
        </w:tc>
        <w:tc>
          <w:tcPr>
            <w:tcW w:w="2184" w:type="pct"/>
            <w:gridSpan w:val="3"/>
            <w:noWrap w:val="0"/>
            <w:vAlign w:val="center"/>
          </w:tcPr>
          <w:p w14:paraId="62ADE057">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各项污染物的浓度限值（μg/m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p>
        </w:tc>
        <w:tc>
          <w:tcPr>
            <w:tcW w:w="2274" w:type="pct"/>
            <w:vMerge w:val="restart"/>
            <w:noWrap w:val="0"/>
            <w:vAlign w:val="center"/>
          </w:tcPr>
          <w:p w14:paraId="3368DE00">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执行标准</w:t>
            </w:r>
          </w:p>
        </w:tc>
      </w:tr>
      <w:tr w14:paraId="20DE3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vMerge w:val="continue"/>
            <w:noWrap w:val="0"/>
            <w:vAlign w:val="center"/>
          </w:tcPr>
          <w:p w14:paraId="34ECB81E">
            <w:pPr>
              <w:pStyle w:val="29"/>
              <w:rPr>
                <w:rFonts w:hint="default" w:ascii="Times New Roman" w:hAnsi="Times New Roman" w:cs="Times New Roman"/>
                <w:color w:val="auto"/>
                <w:lang w:val="en-US" w:eastAsia="zh-CN"/>
              </w:rPr>
            </w:pPr>
          </w:p>
        </w:tc>
        <w:tc>
          <w:tcPr>
            <w:tcW w:w="769" w:type="pct"/>
            <w:noWrap w:val="0"/>
            <w:vAlign w:val="center"/>
          </w:tcPr>
          <w:p w14:paraId="5C4F740B">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1h平均</w:t>
            </w:r>
          </w:p>
        </w:tc>
        <w:tc>
          <w:tcPr>
            <w:tcW w:w="748" w:type="pct"/>
            <w:noWrap w:val="0"/>
            <w:vAlign w:val="center"/>
          </w:tcPr>
          <w:p w14:paraId="1B15F8DE">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24h平均</w:t>
            </w:r>
          </w:p>
        </w:tc>
        <w:tc>
          <w:tcPr>
            <w:tcW w:w="667" w:type="pct"/>
            <w:noWrap w:val="0"/>
            <w:vAlign w:val="center"/>
          </w:tcPr>
          <w:p w14:paraId="5F55B213">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年平均</w:t>
            </w:r>
          </w:p>
        </w:tc>
        <w:tc>
          <w:tcPr>
            <w:tcW w:w="2274" w:type="pct"/>
            <w:vMerge w:val="continue"/>
            <w:noWrap w:val="0"/>
            <w:vAlign w:val="center"/>
          </w:tcPr>
          <w:p w14:paraId="14156665">
            <w:pPr>
              <w:pStyle w:val="29"/>
              <w:rPr>
                <w:rFonts w:hint="default" w:ascii="Times New Roman" w:hAnsi="Times New Roman" w:cs="Times New Roman"/>
                <w:color w:val="auto"/>
                <w:lang w:val="en-US" w:eastAsia="zh-CN"/>
              </w:rPr>
            </w:pPr>
          </w:p>
        </w:tc>
      </w:tr>
      <w:tr w14:paraId="42E1D6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1F8B193B">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2</w:t>
            </w:r>
          </w:p>
        </w:tc>
        <w:tc>
          <w:tcPr>
            <w:tcW w:w="769" w:type="pct"/>
            <w:noWrap w:val="0"/>
            <w:vAlign w:val="center"/>
          </w:tcPr>
          <w:p w14:paraId="668454B0">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48" w:type="pct"/>
            <w:noWrap w:val="0"/>
            <w:vAlign w:val="center"/>
          </w:tcPr>
          <w:p w14:paraId="22AD2F69">
            <w:pPr>
              <w:pStyle w:val="29"/>
              <w:rPr>
                <w:rFonts w:hint="default" w:ascii="Times New Roman" w:hAnsi="Times New Roman" w:cs="Times New Roman"/>
                <w:color w:val="auto"/>
                <w:lang w:val="en-US" w:eastAsia="zh-CN"/>
              </w:rPr>
            </w:pPr>
            <w:r>
              <w:rPr>
                <w:rFonts w:hint="eastAsia" w:cs="Times New Roman"/>
                <w:color w:val="auto"/>
                <w:lang w:val="en-US" w:eastAsia="zh-CN"/>
              </w:rPr>
              <w:t>50</w:t>
            </w:r>
          </w:p>
        </w:tc>
        <w:tc>
          <w:tcPr>
            <w:tcW w:w="667" w:type="pct"/>
            <w:noWrap w:val="0"/>
            <w:vAlign w:val="center"/>
          </w:tcPr>
          <w:p w14:paraId="7AD6CC7F">
            <w:pPr>
              <w:pStyle w:val="29"/>
              <w:rPr>
                <w:rFonts w:hint="default" w:ascii="Times New Roman" w:hAnsi="Times New Roman" w:cs="Times New Roman"/>
                <w:color w:val="auto"/>
                <w:lang w:val="en-US" w:eastAsia="zh-CN"/>
              </w:rPr>
            </w:pPr>
            <w:r>
              <w:rPr>
                <w:rFonts w:hint="eastAsia" w:cs="Times New Roman"/>
                <w:color w:val="auto"/>
                <w:lang w:val="en-US" w:eastAsia="zh-CN"/>
              </w:rPr>
              <w:t>20</w:t>
            </w:r>
          </w:p>
        </w:tc>
        <w:tc>
          <w:tcPr>
            <w:tcW w:w="2274" w:type="pct"/>
            <w:vMerge w:val="restart"/>
            <w:noWrap w:val="0"/>
            <w:vAlign w:val="center"/>
          </w:tcPr>
          <w:p w14:paraId="29FAB1D9">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《环境空气质量标准》（</w:t>
            </w:r>
            <w:r>
              <w:rPr>
                <w:rFonts w:hint="eastAsia" w:cs="Times New Roman"/>
                <w:color w:val="auto"/>
                <w:lang w:val="en-US" w:eastAsia="zh-CN"/>
              </w:rPr>
              <w:t>GB 3095-2026</w:t>
            </w:r>
            <w:r>
              <w:rPr>
                <w:rFonts w:hint="default" w:ascii="Times New Roman" w:hAnsi="Times New Roman" w:cs="Times New Roman"/>
                <w:color w:val="auto"/>
                <w:lang w:val="en-US" w:eastAsia="zh-CN"/>
              </w:rPr>
              <w:t>）</w:t>
            </w:r>
            <w:r>
              <w:rPr>
                <w:rFonts w:hint="default" w:ascii="Times New Roman" w:hAnsi="Times New Roman" w:cs="Times New Roman"/>
                <w:color w:val="auto"/>
                <w:kern w:val="0"/>
              </w:rPr>
              <w:t>二级标准</w:t>
            </w:r>
          </w:p>
        </w:tc>
      </w:tr>
      <w:tr w14:paraId="337357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0702CBE8">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NO</w:t>
            </w:r>
            <w:r>
              <w:rPr>
                <w:rFonts w:hint="default" w:ascii="Times New Roman" w:hAnsi="Times New Roman" w:cs="Times New Roman"/>
                <w:color w:val="auto"/>
                <w:vertAlign w:val="subscript"/>
                <w:lang w:val="en-US" w:eastAsia="zh-CN"/>
              </w:rPr>
              <w:t>2</w:t>
            </w:r>
          </w:p>
        </w:tc>
        <w:tc>
          <w:tcPr>
            <w:tcW w:w="769" w:type="pct"/>
            <w:noWrap w:val="0"/>
            <w:vAlign w:val="center"/>
          </w:tcPr>
          <w:p w14:paraId="7896050A">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48" w:type="pct"/>
            <w:noWrap w:val="0"/>
            <w:vAlign w:val="center"/>
          </w:tcPr>
          <w:p w14:paraId="6968CF59">
            <w:pPr>
              <w:pStyle w:val="29"/>
              <w:rPr>
                <w:rFonts w:hint="default" w:ascii="Times New Roman" w:hAnsi="Times New Roman" w:cs="Times New Roman"/>
                <w:color w:val="auto"/>
                <w:lang w:val="en-US" w:eastAsia="zh-CN"/>
              </w:rPr>
            </w:pPr>
            <w:r>
              <w:rPr>
                <w:rFonts w:hint="eastAsia" w:cs="Times New Roman"/>
                <w:color w:val="auto"/>
                <w:lang w:val="en-US" w:eastAsia="zh-CN"/>
              </w:rPr>
              <w:t>50</w:t>
            </w:r>
          </w:p>
        </w:tc>
        <w:tc>
          <w:tcPr>
            <w:tcW w:w="667" w:type="pct"/>
            <w:noWrap w:val="0"/>
            <w:vAlign w:val="center"/>
          </w:tcPr>
          <w:p w14:paraId="3492B405">
            <w:pPr>
              <w:pStyle w:val="29"/>
              <w:rPr>
                <w:rFonts w:hint="default" w:ascii="Times New Roman" w:hAnsi="Times New Roman" w:cs="Times New Roman"/>
                <w:color w:val="auto"/>
                <w:lang w:val="en-US" w:eastAsia="zh-CN"/>
              </w:rPr>
            </w:pPr>
            <w:r>
              <w:rPr>
                <w:rFonts w:hint="eastAsia" w:cs="Times New Roman"/>
                <w:color w:val="auto"/>
                <w:lang w:val="en-US" w:eastAsia="zh-CN"/>
              </w:rPr>
              <w:t>30</w:t>
            </w:r>
          </w:p>
        </w:tc>
        <w:tc>
          <w:tcPr>
            <w:tcW w:w="2274" w:type="pct"/>
            <w:vMerge w:val="continue"/>
            <w:noWrap w:val="0"/>
            <w:vAlign w:val="center"/>
          </w:tcPr>
          <w:p w14:paraId="20DA9B00">
            <w:pPr>
              <w:pStyle w:val="29"/>
              <w:rPr>
                <w:rFonts w:hint="default" w:ascii="Times New Roman" w:hAnsi="Times New Roman" w:cs="Times New Roman"/>
                <w:color w:val="auto"/>
                <w:lang w:val="en-US" w:eastAsia="zh-CN"/>
              </w:rPr>
            </w:pPr>
          </w:p>
        </w:tc>
      </w:tr>
      <w:tr w14:paraId="395FAB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3BCB136E">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10</w:t>
            </w:r>
          </w:p>
        </w:tc>
        <w:tc>
          <w:tcPr>
            <w:tcW w:w="769" w:type="pct"/>
            <w:noWrap w:val="0"/>
            <w:vAlign w:val="center"/>
          </w:tcPr>
          <w:p w14:paraId="44CB1DA4">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48" w:type="pct"/>
            <w:noWrap w:val="0"/>
            <w:vAlign w:val="center"/>
          </w:tcPr>
          <w:p w14:paraId="5689F47D">
            <w:pPr>
              <w:pStyle w:val="29"/>
              <w:rPr>
                <w:rFonts w:hint="default" w:ascii="Times New Roman" w:hAnsi="Times New Roman" w:cs="Times New Roman"/>
                <w:color w:val="auto"/>
                <w:lang w:val="en-US" w:eastAsia="zh-CN"/>
              </w:rPr>
            </w:pPr>
            <w:r>
              <w:rPr>
                <w:rFonts w:hint="eastAsia" w:cs="Times New Roman"/>
                <w:color w:val="auto"/>
                <w:lang w:val="en-US" w:eastAsia="zh-CN"/>
              </w:rPr>
              <w:t>50</w:t>
            </w:r>
          </w:p>
        </w:tc>
        <w:tc>
          <w:tcPr>
            <w:tcW w:w="667" w:type="pct"/>
            <w:noWrap w:val="0"/>
            <w:vAlign w:val="center"/>
          </w:tcPr>
          <w:p w14:paraId="48D86954">
            <w:pPr>
              <w:pStyle w:val="29"/>
              <w:rPr>
                <w:rFonts w:hint="default" w:ascii="Times New Roman" w:hAnsi="Times New Roman" w:cs="Times New Roman"/>
                <w:color w:val="auto"/>
                <w:lang w:val="en-US" w:eastAsia="zh-CN"/>
              </w:rPr>
            </w:pPr>
            <w:r>
              <w:rPr>
                <w:rFonts w:hint="eastAsia" w:cs="Times New Roman"/>
                <w:color w:val="auto"/>
                <w:lang w:val="en-US" w:eastAsia="zh-CN"/>
              </w:rPr>
              <w:t>100</w:t>
            </w:r>
          </w:p>
        </w:tc>
        <w:tc>
          <w:tcPr>
            <w:tcW w:w="2274" w:type="pct"/>
            <w:vMerge w:val="continue"/>
            <w:noWrap w:val="0"/>
            <w:vAlign w:val="center"/>
          </w:tcPr>
          <w:p w14:paraId="037D3C68">
            <w:pPr>
              <w:pStyle w:val="29"/>
              <w:rPr>
                <w:rFonts w:hint="default" w:ascii="Times New Roman" w:hAnsi="Times New Roman" w:cs="Times New Roman"/>
                <w:color w:val="auto"/>
                <w:lang w:val="en-US" w:eastAsia="zh-CN"/>
              </w:rPr>
            </w:pPr>
          </w:p>
        </w:tc>
      </w:tr>
      <w:tr w14:paraId="1452FC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77FBA9B7">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2.5</w:t>
            </w:r>
          </w:p>
        </w:tc>
        <w:tc>
          <w:tcPr>
            <w:tcW w:w="769" w:type="pct"/>
            <w:noWrap w:val="0"/>
            <w:vAlign w:val="center"/>
          </w:tcPr>
          <w:p w14:paraId="031F6454">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48" w:type="pct"/>
            <w:noWrap w:val="0"/>
            <w:vAlign w:val="center"/>
          </w:tcPr>
          <w:p w14:paraId="397790EE">
            <w:pPr>
              <w:pStyle w:val="29"/>
              <w:rPr>
                <w:rFonts w:hint="default" w:ascii="Times New Roman" w:hAnsi="Times New Roman" w:cs="Times New Roman"/>
                <w:color w:val="auto"/>
                <w:lang w:val="en-US" w:eastAsia="zh-CN"/>
              </w:rPr>
            </w:pPr>
            <w:r>
              <w:rPr>
                <w:rFonts w:hint="eastAsia" w:cs="Times New Roman"/>
                <w:color w:val="auto"/>
                <w:lang w:val="en-US" w:eastAsia="zh-CN"/>
              </w:rPr>
              <w:t>50</w:t>
            </w:r>
          </w:p>
        </w:tc>
        <w:tc>
          <w:tcPr>
            <w:tcW w:w="667" w:type="pct"/>
            <w:noWrap w:val="0"/>
            <w:vAlign w:val="center"/>
          </w:tcPr>
          <w:p w14:paraId="68962C0E">
            <w:pPr>
              <w:pStyle w:val="29"/>
              <w:rPr>
                <w:rFonts w:hint="default" w:ascii="Times New Roman" w:hAnsi="Times New Roman" w:cs="Times New Roman"/>
                <w:color w:val="auto"/>
                <w:lang w:val="en-US" w:eastAsia="zh-CN"/>
              </w:rPr>
            </w:pPr>
            <w:r>
              <w:rPr>
                <w:rFonts w:hint="eastAsia" w:cs="Times New Roman"/>
                <w:color w:val="auto"/>
                <w:lang w:val="en-US" w:eastAsia="zh-CN"/>
              </w:rPr>
              <w:t>25</w:t>
            </w:r>
          </w:p>
        </w:tc>
        <w:tc>
          <w:tcPr>
            <w:tcW w:w="2274" w:type="pct"/>
            <w:vMerge w:val="continue"/>
            <w:noWrap w:val="0"/>
            <w:vAlign w:val="center"/>
          </w:tcPr>
          <w:p w14:paraId="63DEA69A">
            <w:pPr>
              <w:pStyle w:val="29"/>
              <w:rPr>
                <w:rFonts w:hint="default" w:ascii="Times New Roman" w:hAnsi="Times New Roman" w:cs="Times New Roman"/>
                <w:color w:val="auto"/>
                <w:lang w:val="en-US" w:eastAsia="zh-CN"/>
              </w:rPr>
            </w:pPr>
          </w:p>
        </w:tc>
      </w:tr>
      <w:tr w14:paraId="5D7F56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2E8AB39E">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CO</w:t>
            </w:r>
          </w:p>
        </w:tc>
        <w:tc>
          <w:tcPr>
            <w:tcW w:w="769" w:type="pct"/>
            <w:noWrap w:val="0"/>
            <w:vAlign w:val="center"/>
          </w:tcPr>
          <w:p w14:paraId="3CE0B8A2">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48" w:type="pct"/>
            <w:noWrap w:val="0"/>
            <w:vAlign w:val="center"/>
          </w:tcPr>
          <w:p w14:paraId="6E65A346">
            <w:pPr>
              <w:pStyle w:val="29"/>
              <w:rPr>
                <w:rFonts w:hint="default" w:ascii="Times New Roman" w:hAnsi="Times New Roman" w:cs="Times New Roman"/>
                <w:color w:val="auto"/>
                <w:lang w:val="en-US" w:eastAsia="zh-CN"/>
              </w:rPr>
            </w:pPr>
            <w:r>
              <w:rPr>
                <w:rFonts w:hint="eastAsia" w:cs="Times New Roman"/>
                <w:color w:val="auto"/>
                <w:lang w:val="en-US" w:eastAsia="zh-CN"/>
              </w:rPr>
              <w:t>10000</w:t>
            </w:r>
          </w:p>
        </w:tc>
        <w:tc>
          <w:tcPr>
            <w:tcW w:w="667" w:type="pct"/>
            <w:noWrap w:val="0"/>
            <w:vAlign w:val="center"/>
          </w:tcPr>
          <w:p w14:paraId="00618BDF">
            <w:pPr>
              <w:pStyle w:val="29"/>
              <w:rPr>
                <w:rFonts w:hint="default" w:ascii="Times New Roman" w:hAnsi="Times New Roman" w:cs="Times New Roman"/>
                <w:color w:val="auto"/>
                <w:lang w:val="en-US" w:eastAsia="zh-CN"/>
              </w:rPr>
            </w:pPr>
            <w:r>
              <w:rPr>
                <w:rFonts w:hint="eastAsia" w:cs="Times New Roman"/>
                <w:color w:val="auto"/>
                <w:lang w:val="en-US" w:eastAsia="zh-CN"/>
              </w:rPr>
              <w:t>4000</w:t>
            </w:r>
          </w:p>
        </w:tc>
        <w:tc>
          <w:tcPr>
            <w:tcW w:w="2274" w:type="pct"/>
            <w:vMerge w:val="continue"/>
            <w:noWrap w:val="0"/>
            <w:vAlign w:val="center"/>
          </w:tcPr>
          <w:p w14:paraId="759AC926">
            <w:pPr>
              <w:pStyle w:val="29"/>
              <w:rPr>
                <w:rFonts w:hint="default" w:ascii="Times New Roman" w:hAnsi="Times New Roman" w:cs="Times New Roman"/>
                <w:color w:val="auto"/>
                <w:lang w:val="en-US" w:eastAsia="zh-CN"/>
              </w:rPr>
            </w:pPr>
          </w:p>
        </w:tc>
      </w:tr>
      <w:tr w14:paraId="684333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0462C29C">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O</w:t>
            </w:r>
            <w:r>
              <w:rPr>
                <w:rFonts w:hint="default" w:ascii="Times New Roman" w:hAnsi="Times New Roman" w:cs="Times New Roman"/>
                <w:color w:val="auto"/>
                <w:vertAlign w:val="subscript"/>
                <w:lang w:val="en-US" w:eastAsia="zh-CN"/>
              </w:rPr>
              <w:t>3</w:t>
            </w:r>
          </w:p>
        </w:tc>
        <w:tc>
          <w:tcPr>
            <w:tcW w:w="769" w:type="pct"/>
            <w:noWrap w:val="0"/>
            <w:vAlign w:val="center"/>
          </w:tcPr>
          <w:p w14:paraId="2ADFC49B">
            <w:pPr>
              <w:pStyle w:val="29"/>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160</w:t>
            </w:r>
          </w:p>
        </w:tc>
        <w:tc>
          <w:tcPr>
            <w:tcW w:w="748" w:type="pct"/>
            <w:noWrap w:val="0"/>
            <w:vAlign w:val="center"/>
          </w:tcPr>
          <w:p w14:paraId="0A7D5A0D">
            <w:pPr>
              <w:pStyle w:val="29"/>
              <w:rPr>
                <w:rFonts w:hint="default" w:ascii="Times New Roman" w:hAnsi="Times New Roman" w:cs="Times New Roman"/>
                <w:color w:val="auto"/>
                <w:lang w:val="en-US" w:eastAsia="zh-CN"/>
              </w:rPr>
            </w:pPr>
            <w:r>
              <w:rPr>
                <w:rFonts w:hint="eastAsia" w:cs="Times New Roman"/>
                <w:color w:val="auto"/>
                <w:lang w:val="en-US" w:eastAsia="zh-CN"/>
              </w:rPr>
              <w:t>200</w:t>
            </w:r>
          </w:p>
        </w:tc>
        <w:tc>
          <w:tcPr>
            <w:tcW w:w="667" w:type="pct"/>
            <w:noWrap w:val="0"/>
            <w:vAlign w:val="center"/>
          </w:tcPr>
          <w:p w14:paraId="49A075FF">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2274" w:type="pct"/>
            <w:vMerge w:val="continue"/>
            <w:noWrap w:val="0"/>
            <w:vAlign w:val="center"/>
          </w:tcPr>
          <w:p w14:paraId="1DCA9A3E">
            <w:pPr>
              <w:pStyle w:val="29"/>
              <w:rPr>
                <w:rFonts w:hint="default" w:ascii="Times New Roman" w:hAnsi="Times New Roman" w:cs="Times New Roman"/>
                <w:color w:val="auto"/>
                <w:lang w:val="en-US" w:eastAsia="zh-CN"/>
              </w:rPr>
            </w:pPr>
          </w:p>
        </w:tc>
      </w:tr>
      <w:tr w14:paraId="325CEE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42" w:type="pct"/>
            <w:noWrap w:val="0"/>
            <w:vAlign w:val="center"/>
          </w:tcPr>
          <w:p w14:paraId="658BDCF0">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TSP</w:t>
            </w:r>
          </w:p>
        </w:tc>
        <w:tc>
          <w:tcPr>
            <w:tcW w:w="769" w:type="pct"/>
            <w:noWrap w:val="0"/>
            <w:vAlign w:val="center"/>
          </w:tcPr>
          <w:p w14:paraId="59A26995">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748" w:type="pct"/>
            <w:noWrap w:val="0"/>
            <w:vAlign w:val="center"/>
          </w:tcPr>
          <w:p w14:paraId="5FB5D5CD">
            <w:pPr>
              <w:pStyle w:val="29"/>
              <w:rPr>
                <w:rFonts w:hint="default" w:ascii="Times New Roman" w:hAnsi="Times New Roman" w:cs="Times New Roman"/>
                <w:color w:val="auto"/>
                <w:lang w:val="en-US" w:eastAsia="zh-CN"/>
              </w:rPr>
            </w:pPr>
            <w:r>
              <w:rPr>
                <w:rFonts w:hint="eastAsia" w:cs="Times New Roman"/>
                <w:color w:val="auto"/>
                <w:lang w:val="en-US" w:eastAsia="zh-CN"/>
              </w:rPr>
              <w:t>300</w:t>
            </w:r>
          </w:p>
        </w:tc>
        <w:tc>
          <w:tcPr>
            <w:tcW w:w="667" w:type="pct"/>
            <w:noWrap w:val="0"/>
            <w:vAlign w:val="center"/>
          </w:tcPr>
          <w:p w14:paraId="28518B58">
            <w:pPr>
              <w:pStyle w:val="29"/>
              <w:rPr>
                <w:rFonts w:hint="default" w:ascii="Times New Roman" w:hAnsi="Times New Roman" w:cs="Times New Roman"/>
                <w:color w:val="auto"/>
                <w:lang w:val="en-US" w:eastAsia="zh-CN"/>
              </w:rPr>
            </w:pPr>
            <w:r>
              <w:rPr>
                <w:rFonts w:hint="eastAsia" w:cs="Times New Roman"/>
                <w:color w:val="auto"/>
                <w:lang w:val="en-US" w:eastAsia="zh-CN"/>
              </w:rPr>
              <w:t>200</w:t>
            </w:r>
          </w:p>
        </w:tc>
        <w:tc>
          <w:tcPr>
            <w:tcW w:w="2274" w:type="pct"/>
            <w:vMerge w:val="continue"/>
            <w:noWrap w:val="0"/>
            <w:vAlign w:val="center"/>
          </w:tcPr>
          <w:p w14:paraId="71EE10EB">
            <w:pPr>
              <w:pStyle w:val="29"/>
              <w:rPr>
                <w:rFonts w:hint="default" w:ascii="Times New Roman" w:hAnsi="Times New Roman" w:cs="Times New Roman"/>
                <w:color w:val="auto"/>
                <w:lang w:val="en-US" w:eastAsia="zh-CN"/>
              </w:rPr>
            </w:pPr>
          </w:p>
        </w:tc>
      </w:tr>
    </w:tbl>
    <w:p w14:paraId="51D4163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2、地表水</w:t>
      </w:r>
    </w:p>
    <w:p w14:paraId="4A8047C8">
      <w:pPr>
        <w:ind w:firstLine="480"/>
        <w:textAlignment w:val="baseline"/>
        <w:rPr>
          <w:rFonts w:hint="default" w:ascii="Times New Roman" w:hAnsi="Times New Roman" w:cs="Times New Roman"/>
          <w:color w:val="auto"/>
          <w:kern w:val="0"/>
          <w:szCs w:val="24"/>
        </w:rPr>
      </w:pPr>
      <w:r>
        <w:rPr>
          <w:rFonts w:hint="default" w:ascii="Times New Roman" w:hAnsi="Times New Roman" w:cs="Times New Roman"/>
          <w:color w:val="auto"/>
          <w:kern w:val="0"/>
          <w:szCs w:val="24"/>
        </w:rPr>
        <w:t>区域地表水执行《地表水环境质量标准》（GB3838-2002）中Ⅲ类标准，具体标准限值见下表。</w:t>
      </w:r>
    </w:p>
    <w:p w14:paraId="37D5C7AA">
      <w:pPr>
        <w:pStyle w:val="9"/>
        <w:rPr>
          <w:rFonts w:hint="default" w:ascii="Times New Roman" w:hAnsi="Times New Roman" w:cs="Times New Roman"/>
          <w:color w:val="auto"/>
        </w:rPr>
      </w:pPr>
      <w:bookmarkStart w:id="13" w:name="_Toc518697237"/>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rPr>
        <w:fldChar w:fldCharType="end"/>
      </w:r>
      <w:r>
        <w:rPr>
          <w:rFonts w:hint="default" w:ascii="Times New Roman" w:hAnsi="Times New Roman" w:cs="Times New Roman"/>
          <w:color w:val="auto"/>
        </w:rPr>
        <w:t>《地表水环境质量标准》（GB3838-2002）中Ⅲ类标准</w:t>
      </w:r>
      <w:bookmarkEnd w:id="13"/>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551"/>
        <w:gridCol w:w="2552"/>
        <w:gridCol w:w="2318"/>
      </w:tblGrid>
      <w:tr w14:paraId="1F10EF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55C4D572">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序号</w:t>
            </w:r>
          </w:p>
        </w:tc>
        <w:tc>
          <w:tcPr>
            <w:tcW w:w="2551" w:type="dxa"/>
            <w:noWrap w:val="0"/>
            <w:vAlign w:val="center"/>
          </w:tcPr>
          <w:p w14:paraId="455C9036">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w:t>
            </w:r>
          </w:p>
        </w:tc>
        <w:tc>
          <w:tcPr>
            <w:tcW w:w="2552" w:type="dxa"/>
            <w:noWrap w:val="0"/>
            <w:vAlign w:val="center"/>
          </w:tcPr>
          <w:p w14:paraId="7370AE7F">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标准值（mg/L）</w:t>
            </w:r>
          </w:p>
        </w:tc>
        <w:tc>
          <w:tcPr>
            <w:tcW w:w="2318" w:type="dxa"/>
            <w:noWrap w:val="0"/>
            <w:vAlign w:val="center"/>
          </w:tcPr>
          <w:p w14:paraId="00B4FE17">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标准</w:t>
            </w:r>
          </w:p>
        </w:tc>
      </w:tr>
      <w:tr w14:paraId="6FD5E9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1E649A72">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2551" w:type="dxa"/>
            <w:noWrap w:val="0"/>
            <w:vAlign w:val="center"/>
          </w:tcPr>
          <w:p w14:paraId="172F5073">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pH</w:t>
            </w:r>
          </w:p>
        </w:tc>
        <w:tc>
          <w:tcPr>
            <w:tcW w:w="2552" w:type="dxa"/>
            <w:noWrap w:val="0"/>
            <w:vAlign w:val="center"/>
          </w:tcPr>
          <w:p w14:paraId="239AA965">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6~9（无量纲）</w:t>
            </w:r>
          </w:p>
        </w:tc>
        <w:tc>
          <w:tcPr>
            <w:tcW w:w="2318" w:type="dxa"/>
            <w:vMerge w:val="restart"/>
            <w:noWrap w:val="0"/>
            <w:vAlign w:val="center"/>
          </w:tcPr>
          <w:p w14:paraId="6193C219">
            <w:pPr>
              <w:autoSpaceDE w:val="0"/>
              <w:autoSpaceDN w:val="0"/>
              <w:snapToGrid/>
              <w:spacing w:line="240" w:lineRule="auto"/>
              <w:ind w:firstLine="0" w:firstLineChars="0"/>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《地表水环境质量标准》</w:t>
            </w:r>
            <w:r>
              <w:rPr>
                <w:rFonts w:hint="eastAsia" w:cs="Times New Roman"/>
                <w:color w:val="auto"/>
                <w:kern w:val="0"/>
                <w:sz w:val="21"/>
                <w:szCs w:val="21"/>
                <w:lang w:eastAsia="zh-CN"/>
              </w:rPr>
              <w:t>（</w:t>
            </w:r>
            <w:r>
              <w:rPr>
                <w:rFonts w:hint="default" w:ascii="Times New Roman" w:hAnsi="Times New Roman" w:cs="Times New Roman"/>
                <w:color w:val="auto"/>
                <w:kern w:val="0"/>
                <w:sz w:val="21"/>
                <w:szCs w:val="21"/>
              </w:rPr>
              <w:t>GB3838-2002</w:t>
            </w:r>
            <w:r>
              <w:rPr>
                <w:rFonts w:hint="eastAsia" w:cs="Times New Roman"/>
                <w:color w:val="auto"/>
                <w:kern w:val="0"/>
                <w:sz w:val="21"/>
                <w:szCs w:val="21"/>
                <w:lang w:eastAsia="zh-CN"/>
              </w:rPr>
              <w:t>）</w:t>
            </w:r>
            <w:r>
              <w:rPr>
                <w:rFonts w:hint="default" w:ascii="Times New Roman" w:hAnsi="Times New Roman" w:cs="Times New Roman"/>
                <w:color w:val="auto"/>
                <w:kern w:val="0"/>
                <w:sz w:val="21"/>
                <w:szCs w:val="21"/>
              </w:rPr>
              <w:t>表1中标准限值</w:t>
            </w:r>
          </w:p>
        </w:tc>
      </w:tr>
      <w:tr w14:paraId="72DD3B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2EBF315A">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2551" w:type="dxa"/>
            <w:noWrap w:val="0"/>
            <w:vAlign w:val="center"/>
          </w:tcPr>
          <w:p w14:paraId="1B119353">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溶解氧</w:t>
            </w:r>
          </w:p>
        </w:tc>
        <w:tc>
          <w:tcPr>
            <w:tcW w:w="2552" w:type="dxa"/>
            <w:noWrap w:val="0"/>
            <w:vAlign w:val="center"/>
          </w:tcPr>
          <w:p w14:paraId="3FB4AF5D">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≥5</w:t>
            </w:r>
          </w:p>
        </w:tc>
        <w:tc>
          <w:tcPr>
            <w:tcW w:w="2318" w:type="dxa"/>
            <w:vMerge w:val="continue"/>
            <w:noWrap w:val="0"/>
            <w:vAlign w:val="center"/>
          </w:tcPr>
          <w:p w14:paraId="123C36FE">
            <w:pPr>
              <w:pStyle w:val="29"/>
              <w:rPr>
                <w:rFonts w:hint="default" w:ascii="Times New Roman" w:hAnsi="Times New Roman" w:cs="Times New Roman"/>
                <w:color w:val="auto"/>
                <w:lang w:val="en-US" w:eastAsia="zh-CN"/>
              </w:rPr>
            </w:pPr>
          </w:p>
        </w:tc>
      </w:tr>
      <w:tr w14:paraId="79CCD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41DDD5B6">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2551" w:type="dxa"/>
            <w:noWrap w:val="0"/>
            <w:vAlign w:val="center"/>
          </w:tcPr>
          <w:p w14:paraId="001B1490">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高锰酸盐指数</w:t>
            </w:r>
          </w:p>
        </w:tc>
        <w:tc>
          <w:tcPr>
            <w:tcW w:w="2552" w:type="dxa"/>
            <w:noWrap w:val="0"/>
            <w:vAlign w:val="center"/>
          </w:tcPr>
          <w:p w14:paraId="7547FFDC">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≤6.0</w:t>
            </w:r>
          </w:p>
        </w:tc>
        <w:tc>
          <w:tcPr>
            <w:tcW w:w="2318" w:type="dxa"/>
            <w:vMerge w:val="continue"/>
            <w:noWrap w:val="0"/>
            <w:vAlign w:val="center"/>
          </w:tcPr>
          <w:p w14:paraId="30DC3562">
            <w:pPr>
              <w:pStyle w:val="29"/>
              <w:rPr>
                <w:rFonts w:hint="default" w:ascii="Times New Roman" w:hAnsi="Times New Roman" w:cs="Times New Roman"/>
                <w:color w:val="auto"/>
                <w:lang w:val="en-US" w:eastAsia="zh-CN"/>
              </w:rPr>
            </w:pPr>
          </w:p>
        </w:tc>
      </w:tr>
      <w:tr w14:paraId="5E71A4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23BB74DC">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2551" w:type="dxa"/>
            <w:noWrap w:val="0"/>
            <w:vAlign w:val="center"/>
          </w:tcPr>
          <w:p w14:paraId="202A7F54">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COD</w:t>
            </w:r>
            <w:r>
              <w:rPr>
                <w:rFonts w:hint="default" w:ascii="Times New Roman" w:hAnsi="Times New Roman" w:cs="Times New Roman"/>
                <w:color w:val="auto"/>
                <w:kern w:val="0"/>
                <w:vertAlign w:val="subscript"/>
                <w:lang w:val="en-US" w:eastAsia="zh-CN"/>
              </w:rPr>
              <w:t>Cr</w:t>
            </w:r>
          </w:p>
        </w:tc>
        <w:tc>
          <w:tcPr>
            <w:tcW w:w="2552" w:type="dxa"/>
            <w:noWrap w:val="0"/>
            <w:vAlign w:val="center"/>
          </w:tcPr>
          <w:p w14:paraId="0DEBFB55">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≤20</w:t>
            </w:r>
          </w:p>
        </w:tc>
        <w:tc>
          <w:tcPr>
            <w:tcW w:w="2318" w:type="dxa"/>
            <w:vMerge w:val="continue"/>
            <w:noWrap w:val="0"/>
            <w:vAlign w:val="center"/>
          </w:tcPr>
          <w:p w14:paraId="4B985411">
            <w:pPr>
              <w:pStyle w:val="29"/>
              <w:rPr>
                <w:rFonts w:hint="default" w:ascii="Times New Roman" w:hAnsi="Times New Roman" w:cs="Times New Roman"/>
                <w:color w:val="auto"/>
                <w:lang w:val="en-US" w:eastAsia="zh-CN"/>
              </w:rPr>
            </w:pPr>
          </w:p>
        </w:tc>
      </w:tr>
      <w:tr w14:paraId="796686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3B5107FA">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2551" w:type="dxa"/>
            <w:noWrap w:val="0"/>
            <w:vAlign w:val="center"/>
          </w:tcPr>
          <w:p w14:paraId="451C01D4">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BOD</w:t>
            </w:r>
            <w:r>
              <w:rPr>
                <w:rFonts w:hint="default" w:ascii="Times New Roman" w:hAnsi="Times New Roman" w:cs="Times New Roman"/>
                <w:color w:val="auto"/>
                <w:kern w:val="0"/>
                <w:vertAlign w:val="subscript"/>
                <w:lang w:val="en-US" w:eastAsia="zh-CN"/>
              </w:rPr>
              <w:t>5</w:t>
            </w:r>
          </w:p>
        </w:tc>
        <w:tc>
          <w:tcPr>
            <w:tcW w:w="2552" w:type="dxa"/>
            <w:noWrap w:val="0"/>
            <w:vAlign w:val="center"/>
          </w:tcPr>
          <w:p w14:paraId="37AF7954">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≤4</w:t>
            </w:r>
          </w:p>
        </w:tc>
        <w:tc>
          <w:tcPr>
            <w:tcW w:w="2318" w:type="dxa"/>
            <w:vMerge w:val="continue"/>
            <w:noWrap w:val="0"/>
            <w:vAlign w:val="center"/>
          </w:tcPr>
          <w:p w14:paraId="3236EAB7">
            <w:pPr>
              <w:pStyle w:val="29"/>
              <w:rPr>
                <w:rFonts w:hint="default" w:ascii="Times New Roman" w:hAnsi="Times New Roman" w:cs="Times New Roman"/>
                <w:color w:val="auto"/>
                <w:lang w:val="en-US" w:eastAsia="zh-CN"/>
              </w:rPr>
            </w:pPr>
          </w:p>
        </w:tc>
      </w:tr>
      <w:tr w14:paraId="390D8F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0719B467">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w:t>
            </w:r>
          </w:p>
        </w:tc>
        <w:tc>
          <w:tcPr>
            <w:tcW w:w="2551" w:type="dxa"/>
            <w:noWrap w:val="0"/>
            <w:vAlign w:val="center"/>
          </w:tcPr>
          <w:p w14:paraId="3D6D1D6C">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NH</w:t>
            </w:r>
            <w:r>
              <w:rPr>
                <w:rFonts w:hint="default" w:ascii="Times New Roman" w:hAnsi="Times New Roman" w:cs="Times New Roman"/>
                <w:color w:val="auto"/>
                <w:kern w:val="0"/>
                <w:vertAlign w:val="subscript"/>
                <w:lang w:val="en-US" w:eastAsia="zh-CN"/>
              </w:rPr>
              <w:t>3</w:t>
            </w:r>
            <w:r>
              <w:rPr>
                <w:rFonts w:hint="default" w:ascii="Times New Roman" w:hAnsi="Times New Roman" w:cs="Times New Roman"/>
                <w:color w:val="auto"/>
                <w:kern w:val="0"/>
                <w:lang w:val="en-US" w:eastAsia="zh-CN"/>
              </w:rPr>
              <w:t>-N</w:t>
            </w:r>
          </w:p>
        </w:tc>
        <w:tc>
          <w:tcPr>
            <w:tcW w:w="2552" w:type="dxa"/>
            <w:noWrap w:val="0"/>
            <w:vAlign w:val="center"/>
          </w:tcPr>
          <w:p w14:paraId="49A334D4">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≤1.0</w:t>
            </w:r>
          </w:p>
        </w:tc>
        <w:tc>
          <w:tcPr>
            <w:tcW w:w="2318" w:type="dxa"/>
            <w:vMerge w:val="continue"/>
            <w:noWrap w:val="0"/>
            <w:vAlign w:val="center"/>
          </w:tcPr>
          <w:p w14:paraId="4F71F8BA">
            <w:pPr>
              <w:pStyle w:val="29"/>
              <w:rPr>
                <w:rFonts w:hint="default" w:ascii="Times New Roman" w:hAnsi="Times New Roman" w:cs="Times New Roman"/>
                <w:color w:val="auto"/>
                <w:lang w:val="en-US" w:eastAsia="zh-CN"/>
              </w:rPr>
            </w:pPr>
          </w:p>
        </w:tc>
      </w:tr>
      <w:tr w14:paraId="5D14AD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2EEA4ADA">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w:t>
            </w:r>
          </w:p>
        </w:tc>
        <w:tc>
          <w:tcPr>
            <w:tcW w:w="2551" w:type="dxa"/>
            <w:noWrap w:val="0"/>
            <w:vAlign w:val="center"/>
          </w:tcPr>
          <w:p w14:paraId="53869841">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总磷</w:t>
            </w:r>
          </w:p>
        </w:tc>
        <w:tc>
          <w:tcPr>
            <w:tcW w:w="2552" w:type="dxa"/>
            <w:noWrap w:val="0"/>
            <w:vAlign w:val="center"/>
          </w:tcPr>
          <w:p w14:paraId="450BED42">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≤0.2（湖、库0.05）</w:t>
            </w:r>
          </w:p>
        </w:tc>
        <w:tc>
          <w:tcPr>
            <w:tcW w:w="2318" w:type="dxa"/>
            <w:vMerge w:val="continue"/>
            <w:noWrap w:val="0"/>
            <w:vAlign w:val="center"/>
          </w:tcPr>
          <w:p w14:paraId="6CC342BD">
            <w:pPr>
              <w:pStyle w:val="29"/>
              <w:rPr>
                <w:rFonts w:hint="default" w:ascii="Times New Roman" w:hAnsi="Times New Roman" w:cs="Times New Roman"/>
                <w:color w:val="auto"/>
                <w:lang w:val="en-US" w:eastAsia="zh-CN"/>
              </w:rPr>
            </w:pPr>
          </w:p>
        </w:tc>
      </w:tr>
      <w:tr w14:paraId="30D53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72CA003D">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8</w:t>
            </w:r>
          </w:p>
        </w:tc>
        <w:tc>
          <w:tcPr>
            <w:tcW w:w="2551" w:type="dxa"/>
            <w:noWrap w:val="0"/>
            <w:vAlign w:val="center"/>
          </w:tcPr>
          <w:p w14:paraId="371FADD3">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阴离子表面活性剂</w:t>
            </w:r>
          </w:p>
        </w:tc>
        <w:tc>
          <w:tcPr>
            <w:tcW w:w="2552" w:type="dxa"/>
            <w:noWrap w:val="0"/>
            <w:vAlign w:val="center"/>
          </w:tcPr>
          <w:p w14:paraId="47927A2F">
            <w:pPr>
              <w:pStyle w:val="29"/>
              <w:rPr>
                <w:rFonts w:hint="default" w:ascii="Times New Roman" w:hAnsi="Times New Roman" w:cs="Times New Roman"/>
                <w:color w:val="auto"/>
                <w:lang w:val="en-US" w:eastAsia="zh-CN"/>
              </w:rPr>
            </w:pPr>
            <w:r>
              <w:rPr>
                <w:rFonts w:hint="default" w:ascii="Times New Roman" w:hAnsi="Times New Roman" w:cs="Times New Roman"/>
                <w:color w:val="auto"/>
                <w:kern w:val="0"/>
                <w:lang w:val="en-US" w:eastAsia="zh-CN"/>
              </w:rPr>
              <w:t>≤0.2</w:t>
            </w:r>
          </w:p>
        </w:tc>
        <w:tc>
          <w:tcPr>
            <w:tcW w:w="2318" w:type="dxa"/>
            <w:vMerge w:val="continue"/>
            <w:noWrap w:val="0"/>
            <w:vAlign w:val="center"/>
          </w:tcPr>
          <w:p w14:paraId="3035B6D6">
            <w:pPr>
              <w:pStyle w:val="29"/>
              <w:rPr>
                <w:rFonts w:hint="default" w:ascii="Times New Roman" w:hAnsi="Times New Roman" w:cs="Times New Roman"/>
                <w:color w:val="auto"/>
                <w:lang w:val="en-US" w:eastAsia="zh-CN"/>
              </w:rPr>
            </w:pPr>
          </w:p>
        </w:tc>
      </w:tr>
      <w:tr w14:paraId="5F54F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192BB247">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9</w:t>
            </w:r>
          </w:p>
        </w:tc>
        <w:tc>
          <w:tcPr>
            <w:tcW w:w="2551" w:type="dxa"/>
            <w:noWrap w:val="0"/>
            <w:vAlign w:val="center"/>
          </w:tcPr>
          <w:p w14:paraId="1B0FC966">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石油类</w:t>
            </w:r>
          </w:p>
        </w:tc>
        <w:tc>
          <w:tcPr>
            <w:tcW w:w="2552" w:type="dxa"/>
            <w:noWrap w:val="0"/>
            <w:vAlign w:val="center"/>
          </w:tcPr>
          <w:p w14:paraId="4D813A7D">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≤0.05</w:t>
            </w:r>
          </w:p>
        </w:tc>
        <w:tc>
          <w:tcPr>
            <w:tcW w:w="2318" w:type="dxa"/>
            <w:vMerge w:val="continue"/>
            <w:noWrap w:val="0"/>
            <w:vAlign w:val="center"/>
          </w:tcPr>
          <w:p w14:paraId="62ADFCD6">
            <w:pPr>
              <w:pStyle w:val="29"/>
              <w:rPr>
                <w:rFonts w:hint="default" w:ascii="Times New Roman" w:hAnsi="Times New Roman" w:cs="Times New Roman"/>
                <w:color w:val="auto"/>
                <w:lang w:val="en-US" w:eastAsia="zh-CN"/>
              </w:rPr>
            </w:pPr>
          </w:p>
        </w:tc>
      </w:tr>
      <w:tr w14:paraId="46BEF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01" w:type="dxa"/>
            <w:noWrap w:val="0"/>
            <w:vAlign w:val="center"/>
          </w:tcPr>
          <w:p w14:paraId="41A6D550">
            <w:pPr>
              <w:pStyle w:val="2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10</w:t>
            </w:r>
          </w:p>
        </w:tc>
        <w:tc>
          <w:tcPr>
            <w:tcW w:w="2551" w:type="dxa"/>
            <w:noWrap w:val="0"/>
            <w:vAlign w:val="center"/>
          </w:tcPr>
          <w:p w14:paraId="55B4264D">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粪大肠菌群</w:t>
            </w:r>
          </w:p>
        </w:tc>
        <w:tc>
          <w:tcPr>
            <w:tcW w:w="2552" w:type="dxa"/>
            <w:noWrap w:val="0"/>
            <w:vAlign w:val="center"/>
          </w:tcPr>
          <w:p w14:paraId="1A789E6D">
            <w:pPr>
              <w:pStyle w:val="29"/>
              <w:rPr>
                <w:rFonts w:hint="default" w:ascii="Times New Roman" w:hAnsi="Times New Roman" w:cs="Times New Roman"/>
                <w:color w:val="auto"/>
                <w:kern w:val="0"/>
                <w:lang w:val="en-US" w:eastAsia="zh-CN"/>
              </w:rPr>
            </w:pPr>
            <w:r>
              <w:rPr>
                <w:rFonts w:hint="default" w:ascii="Times New Roman" w:hAnsi="Times New Roman" w:cs="Times New Roman"/>
                <w:color w:val="auto"/>
                <w:kern w:val="0"/>
                <w:lang w:val="en-US" w:eastAsia="zh-CN"/>
              </w:rPr>
              <w:t>≤10000（个/L）</w:t>
            </w:r>
          </w:p>
        </w:tc>
        <w:tc>
          <w:tcPr>
            <w:tcW w:w="2318" w:type="dxa"/>
            <w:vMerge w:val="continue"/>
            <w:noWrap w:val="0"/>
            <w:vAlign w:val="center"/>
          </w:tcPr>
          <w:p w14:paraId="0EA97A3D">
            <w:pPr>
              <w:pStyle w:val="29"/>
              <w:rPr>
                <w:rFonts w:hint="default" w:ascii="Times New Roman" w:hAnsi="Times New Roman" w:cs="Times New Roman"/>
                <w:color w:val="auto"/>
                <w:lang w:val="en-US" w:eastAsia="zh-CN"/>
              </w:rPr>
            </w:pPr>
          </w:p>
        </w:tc>
      </w:tr>
    </w:tbl>
    <w:p w14:paraId="20BB9CF2">
      <w:pPr>
        <w:pStyle w:val="24"/>
        <w:spacing w:before="163" w:beforeLines="50"/>
        <w:ind w:firstLine="480"/>
        <w:rPr>
          <w:rFonts w:hint="default" w:ascii="Times New Roman" w:hAnsi="Times New Roman" w:cs="Times New Roman"/>
          <w:color w:val="auto"/>
          <w:szCs w:val="24"/>
        </w:rPr>
      </w:pP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、声环境</w:t>
      </w:r>
    </w:p>
    <w:p w14:paraId="2243A7C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根据《重庆市合川区人民政府办公室关于印发合川区声环境功能区划分调整方案的通知》（合川府办发〔2023〕56号）</w:t>
      </w:r>
      <w:r>
        <w:rPr>
          <w:rFonts w:hint="default" w:ascii="Times New Roman" w:hAnsi="Times New Roman" w:cs="Times New Roman"/>
          <w:color w:val="auto"/>
          <w:szCs w:val="24"/>
        </w:rPr>
        <w:t>，本项目高速公路两侧红线</w:t>
      </w:r>
      <w:r>
        <w:rPr>
          <w:rFonts w:hint="eastAsia" w:cs="Times New Roman"/>
          <w:color w:val="auto"/>
          <w:szCs w:val="24"/>
          <w:lang w:val="en-US" w:eastAsia="zh-CN"/>
        </w:rPr>
        <w:t>40</w:t>
      </w:r>
      <w:r>
        <w:rPr>
          <w:rFonts w:hint="default" w:ascii="Times New Roman" w:hAnsi="Times New Roman" w:cs="Times New Roman"/>
          <w:color w:val="auto"/>
          <w:szCs w:val="24"/>
        </w:rPr>
        <w:t>m范围内执行4a类，红线</w:t>
      </w:r>
      <w:r>
        <w:rPr>
          <w:rFonts w:hint="eastAsia" w:cs="Times New Roman"/>
          <w:color w:val="auto"/>
          <w:szCs w:val="24"/>
          <w:lang w:val="en-US" w:eastAsia="zh-CN"/>
        </w:rPr>
        <w:t>40</w:t>
      </w:r>
      <w:r>
        <w:rPr>
          <w:rFonts w:hint="default" w:ascii="Times New Roman" w:hAnsi="Times New Roman" w:cs="Times New Roman"/>
          <w:color w:val="auto"/>
          <w:szCs w:val="24"/>
        </w:rPr>
        <w:t>m外区域执行2类。位于4a类、2类的学校、医院（疗养院、敬老院）等特殊敏感建筑，其室外昼间按60分贝、夜间按50分贝执行</w:t>
      </w:r>
      <w:r>
        <w:rPr>
          <w:rFonts w:hint="default" w:ascii="Times New Roman" w:hAnsi="Times New Roman" w:cs="Times New Roman"/>
          <w:color w:val="auto"/>
          <w:spacing w:val="-3"/>
          <w:szCs w:val="24"/>
        </w:rPr>
        <w:t>。</w:t>
      </w:r>
    </w:p>
    <w:p w14:paraId="4091D6D7">
      <w:pPr>
        <w:pStyle w:val="9"/>
        <w:rPr>
          <w:rFonts w:hint="eastAsia" w:ascii="Times New Roman" w:hAnsi="Times New Roman" w:eastAsia="宋体" w:cs="Times New Roman"/>
          <w:color w:val="auto"/>
          <w:lang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color w:val="auto"/>
        </w:rPr>
        <w:t>环境噪声执行标准单位：Leq</w:t>
      </w:r>
      <w:r>
        <w:rPr>
          <w:rFonts w:hint="eastAsia" w:cs="Times New Roman"/>
          <w:color w:val="auto"/>
          <w:lang w:eastAsia="zh-CN"/>
        </w:rPr>
        <w:t>（</w:t>
      </w:r>
      <w:r>
        <w:rPr>
          <w:rFonts w:hint="default" w:ascii="Times New Roman" w:hAnsi="Times New Roman" w:cs="Times New Roman"/>
          <w:color w:val="auto"/>
        </w:rPr>
        <w:t>dB</w:t>
      </w:r>
      <w:r>
        <w:rPr>
          <w:rFonts w:hint="eastAsia" w:cs="Times New Roman"/>
          <w:color w:val="auto"/>
          <w:lang w:eastAsia="zh-CN"/>
        </w:rPr>
        <w:t>（</w:t>
      </w:r>
      <w:r>
        <w:rPr>
          <w:rFonts w:hint="default" w:ascii="Times New Roman" w:hAnsi="Times New Roman" w:cs="Times New Roman"/>
          <w:color w:val="auto"/>
        </w:rPr>
        <w:t>A</w:t>
      </w:r>
      <w:r>
        <w:rPr>
          <w:rFonts w:hint="eastAsia" w:cs="Times New Roman"/>
          <w:color w:val="auto"/>
          <w:lang w:eastAsia="zh-CN"/>
        </w:rPr>
        <w:t>））</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4090"/>
        <w:gridCol w:w="2124"/>
        <w:gridCol w:w="2122"/>
      </w:tblGrid>
      <w:tr w14:paraId="30465B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2453" w:type="pct"/>
            <w:noWrap w:val="0"/>
            <w:vAlign w:val="center"/>
          </w:tcPr>
          <w:p w14:paraId="1C0E4A91">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类别</w:t>
            </w:r>
          </w:p>
        </w:tc>
        <w:tc>
          <w:tcPr>
            <w:tcW w:w="1274" w:type="pct"/>
            <w:noWrap w:val="0"/>
            <w:vAlign w:val="center"/>
          </w:tcPr>
          <w:p w14:paraId="75B619A6">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昼间</w:t>
            </w:r>
          </w:p>
        </w:tc>
        <w:tc>
          <w:tcPr>
            <w:tcW w:w="1273" w:type="pct"/>
            <w:noWrap w:val="0"/>
            <w:vAlign w:val="center"/>
          </w:tcPr>
          <w:p w14:paraId="7D9B69C1">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夜间</w:t>
            </w:r>
          </w:p>
        </w:tc>
      </w:tr>
      <w:tr w14:paraId="557ED3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453" w:type="pct"/>
            <w:noWrap w:val="0"/>
            <w:vAlign w:val="center"/>
          </w:tcPr>
          <w:p w14:paraId="6F1280BD">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2类标准</w:t>
            </w:r>
          </w:p>
        </w:tc>
        <w:tc>
          <w:tcPr>
            <w:tcW w:w="1274" w:type="pct"/>
            <w:noWrap w:val="0"/>
            <w:vAlign w:val="center"/>
          </w:tcPr>
          <w:p w14:paraId="0A0F6832">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60</w:t>
            </w:r>
          </w:p>
        </w:tc>
        <w:tc>
          <w:tcPr>
            <w:tcW w:w="1273" w:type="pct"/>
            <w:noWrap w:val="0"/>
            <w:vAlign w:val="center"/>
          </w:tcPr>
          <w:p w14:paraId="6E026F61">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50</w:t>
            </w:r>
          </w:p>
        </w:tc>
      </w:tr>
      <w:tr w14:paraId="6846E8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453" w:type="pct"/>
            <w:noWrap w:val="0"/>
            <w:vAlign w:val="center"/>
          </w:tcPr>
          <w:p w14:paraId="2BD3D4E2">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4a类标准</w:t>
            </w:r>
          </w:p>
        </w:tc>
        <w:tc>
          <w:tcPr>
            <w:tcW w:w="1274" w:type="pct"/>
            <w:noWrap w:val="0"/>
            <w:vAlign w:val="center"/>
          </w:tcPr>
          <w:p w14:paraId="34C845BF">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70</w:t>
            </w:r>
          </w:p>
        </w:tc>
        <w:tc>
          <w:tcPr>
            <w:tcW w:w="1273" w:type="pct"/>
            <w:noWrap w:val="0"/>
            <w:vAlign w:val="center"/>
          </w:tcPr>
          <w:p w14:paraId="66AADD8F">
            <w:pPr>
              <w:pStyle w:val="30"/>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55</w:t>
            </w:r>
          </w:p>
        </w:tc>
      </w:tr>
    </w:tbl>
    <w:p w14:paraId="5619852B">
      <w:pPr>
        <w:pStyle w:val="4"/>
        <w:numPr>
          <w:ilvl w:val="2"/>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1.4.3</w:t>
      </w:r>
      <w:r>
        <w:rPr>
          <w:rFonts w:hint="default" w:ascii="Times New Roman" w:hAnsi="Times New Roman" w:cs="Times New Roman"/>
          <w:color w:val="auto"/>
        </w:rPr>
        <w:t>污染物排放标准</w:t>
      </w:r>
    </w:p>
    <w:p w14:paraId="750C692A">
      <w:pPr>
        <w:pStyle w:val="31"/>
        <w:ind w:firstLine="468"/>
        <w:rPr>
          <w:rFonts w:hint="default" w:ascii="Times New Roman" w:hAnsi="Times New Roman" w:cs="Times New Roman"/>
          <w:color w:val="auto"/>
          <w:spacing w:val="-3"/>
          <w:szCs w:val="24"/>
        </w:rPr>
      </w:pPr>
      <w:r>
        <w:rPr>
          <w:rFonts w:hint="default" w:ascii="Times New Roman" w:hAnsi="Times New Roman" w:cs="Times New Roman"/>
          <w:color w:val="auto"/>
          <w:spacing w:val="-3"/>
          <w:szCs w:val="24"/>
        </w:rPr>
        <w:t>1、废气</w:t>
      </w:r>
    </w:p>
    <w:p w14:paraId="3F31CB0C">
      <w:pPr>
        <w:pStyle w:val="31"/>
        <w:ind w:firstLine="468"/>
        <w:rPr>
          <w:rFonts w:hint="default" w:ascii="Times New Roman" w:hAnsi="Times New Roman" w:cs="Times New Roman"/>
          <w:color w:val="auto"/>
          <w:spacing w:val="-3"/>
          <w:szCs w:val="24"/>
        </w:rPr>
      </w:pPr>
      <w:r>
        <w:rPr>
          <w:rFonts w:hint="eastAsia" w:cs="Times New Roman"/>
          <w:color w:val="auto"/>
          <w:spacing w:val="-3"/>
          <w:szCs w:val="24"/>
          <w:lang w:val="en-US" w:eastAsia="zh-CN"/>
        </w:rPr>
        <w:t>施工期：</w:t>
      </w:r>
      <w:r>
        <w:rPr>
          <w:rFonts w:hint="default" w:ascii="Times New Roman" w:hAnsi="Times New Roman" w:cs="Times New Roman"/>
          <w:color w:val="auto"/>
          <w:spacing w:val="-3"/>
          <w:szCs w:val="24"/>
        </w:rPr>
        <w:t>颗粒物和沥青烟执行《重庆市大气污染物综合排放标准》（DB 50/418-2016）中二级标准，</w:t>
      </w:r>
      <w:r>
        <w:rPr>
          <w:rFonts w:hint="default" w:ascii="Times New Roman" w:hAnsi="Times New Roman" w:cs="Times New Roman"/>
          <w:color w:val="auto"/>
          <w:szCs w:val="24"/>
        </w:rPr>
        <w:t>具体</w:t>
      </w:r>
      <w:r>
        <w:rPr>
          <w:rFonts w:hint="default" w:ascii="Times New Roman" w:hAnsi="Times New Roman" w:cs="Times New Roman"/>
          <w:color w:val="auto"/>
          <w:spacing w:val="-3"/>
          <w:szCs w:val="24"/>
        </w:rPr>
        <w:t>标准值见下表。</w:t>
      </w:r>
    </w:p>
    <w:p w14:paraId="3E1DBCE7">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r>
        <w:rPr>
          <w:rFonts w:hint="default" w:ascii="Times New Roman" w:hAnsi="Times New Roman" w:cs="Times New Roman"/>
          <w:color w:val="auto"/>
        </w:rPr>
        <w:t>《重庆市大气污染物综合排放标准》（DB 50/418-2016）污染物排放限值</w:t>
      </w:r>
    </w:p>
    <w:tbl>
      <w:tblPr>
        <w:tblStyle w:val="20"/>
        <w:tblW w:w="484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1129"/>
        <w:gridCol w:w="1780"/>
        <w:gridCol w:w="1978"/>
        <w:gridCol w:w="2338"/>
      </w:tblGrid>
      <w:tr w14:paraId="2C79C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25" w:type="dxa"/>
            <w:gridSpan w:val="2"/>
            <w:tcBorders>
              <w:tl2br w:val="nil"/>
              <w:tr2bl w:val="nil"/>
            </w:tcBorders>
            <w:noWrap w:val="0"/>
            <w:vAlign w:val="center"/>
          </w:tcPr>
          <w:p w14:paraId="4BB6D82A">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污染物</w:t>
            </w:r>
          </w:p>
        </w:tc>
        <w:tc>
          <w:tcPr>
            <w:tcW w:w="2081" w:type="dxa"/>
            <w:tcBorders>
              <w:tl2br w:val="nil"/>
              <w:tr2bl w:val="nil"/>
            </w:tcBorders>
            <w:noWrap w:val="0"/>
            <w:vAlign w:val="center"/>
          </w:tcPr>
          <w:p w14:paraId="787D2227">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污染物最高允许排放浓度</w:t>
            </w:r>
          </w:p>
        </w:tc>
        <w:tc>
          <w:tcPr>
            <w:tcW w:w="2312" w:type="dxa"/>
            <w:tcBorders>
              <w:tl2br w:val="nil"/>
              <w:tr2bl w:val="nil"/>
            </w:tcBorders>
            <w:noWrap w:val="0"/>
            <w:vAlign w:val="center"/>
          </w:tcPr>
          <w:p w14:paraId="231B723F">
            <w:pPr>
              <w:keepNext w:val="0"/>
              <w:keepLines w:val="0"/>
              <w:pageBreakBefore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val="0"/>
                <w:color w:val="auto"/>
                <w:sz w:val="21"/>
                <w:szCs w:val="21"/>
                <w:u w:val="none" w:color="000000"/>
              </w:rPr>
            </w:pPr>
            <w:r>
              <w:rPr>
                <w:rFonts w:hint="default" w:ascii="Times New Roman" w:hAnsi="Times New Roman" w:cs="Times New Roman"/>
                <w:b w:val="0"/>
                <w:color w:val="auto"/>
                <w:sz w:val="21"/>
                <w:szCs w:val="21"/>
                <w:u w:val="none" w:color="000000"/>
              </w:rPr>
              <w:t>无组织排放监控浓度限值</w:t>
            </w:r>
          </w:p>
        </w:tc>
        <w:tc>
          <w:tcPr>
            <w:tcW w:w="2733" w:type="dxa"/>
            <w:tcBorders>
              <w:tl2br w:val="nil"/>
              <w:tr2bl w:val="nil"/>
            </w:tcBorders>
            <w:noWrap w:val="0"/>
            <w:vAlign w:val="center"/>
          </w:tcPr>
          <w:p w14:paraId="65FBEBC8">
            <w:pPr>
              <w:keepNext w:val="0"/>
              <w:keepLines w:val="0"/>
              <w:pageBreakBefore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val="0"/>
                <w:color w:val="auto"/>
                <w:sz w:val="21"/>
                <w:szCs w:val="21"/>
                <w:u w:val="none" w:color="000000"/>
                <w:lang w:val="en-US" w:eastAsia="zh-CN"/>
              </w:rPr>
            </w:pPr>
            <w:r>
              <w:rPr>
                <w:rFonts w:hint="default" w:ascii="Times New Roman" w:hAnsi="Times New Roman" w:cs="Times New Roman"/>
                <w:b w:val="0"/>
                <w:color w:val="auto"/>
                <w:sz w:val="21"/>
                <w:szCs w:val="21"/>
                <w:u w:val="none" w:color="000000"/>
                <w:lang w:val="en-US" w:eastAsia="zh-CN"/>
              </w:rPr>
              <w:t>执行标准</w:t>
            </w:r>
          </w:p>
        </w:tc>
      </w:tr>
      <w:tr w14:paraId="79977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25" w:type="dxa"/>
            <w:gridSpan w:val="2"/>
            <w:tcBorders>
              <w:tl2br w:val="nil"/>
              <w:tr2bl w:val="nil"/>
            </w:tcBorders>
            <w:noWrap w:val="0"/>
            <w:vAlign w:val="center"/>
          </w:tcPr>
          <w:p w14:paraId="434EDDE1">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沥青烟（mg/m</w:t>
            </w:r>
            <w:r>
              <w:rPr>
                <w:rFonts w:hint="default" w:ascii="Times New Roman" w:hAnsi="Times New Roman" w:cs="Times New Roman"/>
                <w:color w:val="auto"/>
                <w:kern w:val="2"/>
                <w:vertAlign w:val="superscript"/>
              </w:rPr>
              <w:t>3</w:t>
            </w:r>
            <w:r>
              <w:rPr>
                <w:rFonts w:hint="default" w:ascii="Times New Roman" w:hAnsi="Times New Roman" w:cs="Times New Roman"/>
                <w:color w:val="auto"/>
                <w:kern w:val="2"/>
              </w:rPr>
              <w:t>）</w:t>
            </w:r>
          </w:p>
        </w:tc>
        <w:tc>
          <w:tcPr>
            <w:tcW w:w="2081" w:type="dxa"/>
            <w:tcBorders>
              <w:tl2br w:val="nil"/>
              <w:tr2bl w:val="nil"/>
            </w:tcBorders>
            <w:noWrap w:val="0"/>
            <w:vAlign w:val="center"/>
          </w:tcPr>
          <w:p w14:paraId="0B169B1B">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75（建筑搅拌）</w:t>
            </w:r>
          </w:p>
        </w:tc>
        <w:tc>
          <w:tcPr>
            <w:tcW w:w="2312" w:type="dxa"/>
            <w:tcBorders>
              <w:tl2br w:val="nil"/>
              <w:tr2bl w:val="nil"/>
            </w:tcBorders>
            <w:noWrap w:val="0"/>
            <w:vAlign w:val="center"/>
          </w:tcPr>
          <w:p w14:paraId="68281603">
            <w:pPr>
              <w:keepNext w:val="0"/>
              <w:keepLines w:val="0"/>
              <w:pageBreakBefore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val="0"/>
                <w:color w:val="auto"/>
                <w:sz w:val="21"/>
                <w:szCs w:val="21"/>
                <w:u w:val="none" w:color="000000"/>
              </w:rPr>
            </w:pPr>
            <w:r>
              <w:rPr>
                <w:rFonts w:hint="default" w:ascii="Times New Roman" w:hAnsi="Times New Roman" w:cs="Times New Roman"/>
                <w:b w:val="0"/>
                <w:color w:val="auto"/>
                <w:sz w:val="21"/>
                <w:szCs w:val="21"/>
                <w:u w:val="none" w:color="000000"/>
              </w:rPr>
              <w:t>生产设备不得有明显的无组织排放</w:t>
            </w:r>
          </w:p>
        </w:tc>
        <w:tc>
          <w:tcPr>
            <w:tcW w:w="2733" w:type="dxa"/>
            <w:vMerge w:val="restart"/>
            <w:tcBorders>
              <w:tl2br w:val="nil"/>
              <w:tr2bl w:val="nil"/>
            </w:tcBorders>
            <w:noWrap w:val="0"/>
            <w:vAlign w:val="center"/>
          </w:tcPr>
          <w:p w14:paraId="492E698B">
            <w:pPr>
              <w:keepNext w:val="0"/>
              <w:keepLines w:val="0"/>
              <w:pageBreakBefore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b w:val="0"/>
                <w:color w:val="auto"/>
                <w:sz w:val="21"/>
                <w:szCs w:val="21"/>
                <w:u w:val="none" w:color="000000"/>
              </w:rPr>
            </w:pPr>
            <w:r>
              <w:rPr>
                <w:rFonts w:hint="default" w:ascii="Times New Roman" w:hAnsi="Times New Roman" w:cs="Times New Roman"/>
                <w:color w:val="auto"/>
                <w:sz w:val="21"/>
                <w:szCs w:val="21"/>
                <w:lang w:val="en-US" w:eastAsia="zh-CN"/>
              </w:rPr>
              <w:t>重庆市地方标准</w:t>
            </w:r>
            <w:r>
              <w:rPr>
                <w:rFonts w:hint="default" w:ascii="Times New Roman" w:hAnsi="Times New Roman" w:cs="Times New Roman"/>
                <w:color w:val="auto"/>
                <w:sz w:val="21"/>
                <w:szCs w:val="21"/>
              </w:rPr>
              <w:t>《大气污染物综合排放标准》（DB50/418-2016）</w:t>
            </w:r>
          </w:p>
        </w:tc>
      </w:tr>
      <w:tr w14:paraId="72C7D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1205" w:type="dxa"/>
            <w:tcBorders>
              <w:tl2br w:val="nil"/>
              <w:tr2bl w:val="nil"/>
            </w:tcBorders>
            <w:noWrap w:val="0"/>
            <w:vAlign w:val="center"/>
          </w:tcPr>
          <w:p w14:paraId="2F2748BE">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颗粒物（mg/m</w:t>
            </w:r>
            <w:r>
              <w:rPr>
                <w:rFonts w:hint="default" w:ascii="Times New Roman" w:hAnsi="Times New Roman" w:cs="Times New Roman"/>
                <w:color w:val="auto"/>
                <w:kern w:val="2"/>
                <w:vertAlign w:val="superscript"/>
              </w:rPr>
              <w:t>3</w:t>
            </w:r>
            <w:r>
              <w:rPr>
                <w:rFonts w:hint="default" w:ascii="Times New Roman" w:hAnsi="Times New Roman" w:cs="Times New Roman"/>
                <w:color w:val="auto"/>
                <w:kern w:val="2"/>
              </w:rPr>
              <w:t>）</w:t>
            </w:r>
          </w:p>
        </w:tc>
        <w:tc>
          <w:tcPr>
            <w:tcW w:w="1320" w:type="dxa"/>
            <w:tcBorders>
              <w:tl2br w:val="nil"/>
              <w:tr2bl w:val="nil"/>
            </w:tcBorders>
            <w:noWrap w:val="0"/>
            <w:vAlign w:val="center"/>
          </w:tcPr>
          <w:p w14:paraId="002809D1">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其他</w:t>
            </w:r>
          </w:p>
          <w:p w14:paraId="26697E2D">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区域</w:t>
            </w:r>
          </w:p>
        </w:tc>
        <w:tc>
          <w:tcPr>
            <w:tcW w:w="2081" w:type="dxa"/>
            <w:tcBorders>
              <w:tl2br w:val="nil"/>
              <w:tr2bl w:val="nil"/>
            </w:tcBorders>
            <w:noWrap w:val="0"/>
            <w:vAlign w:val="center"/>
          </w:tcPr>
          <w:p w14:paraId="44FB2D79">
            <w:pPr>
              <w:pStyle w:val="32"/>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rPr>
                <w:rFonts w:hint="default" w:ascii="Times New Roman" w:hAnsi="Times New Roman" w:cs="Times New Roman"/>
                <w:color w:val="auto"/>
                <w:kern w:val="2"/>
              </w:rPr>
            </w:pPr>
            <w:r>
              <w:rPr>
                <w:rFonts w:hint="default" w:ascii="Times New Roman" w:hAnsi="Times New Roman" w:cs="Times New Roman"/>
                <w:color w:val="auto"/>
                <w:kern w:val="2"/>
              </w:rPr>
              <w:t>120</w:t>
            </w:r>
          </w:p>
        </w:tc>
        <w:tc>
          <w:tcPr>
            <w:tcW w:w="2312" w:type="dxa"/>
            <w:tcBorders>
              <w:tl2br w:val="nil"/>
              <w:tr2bl w:val="nil"/>
            </w:tcBorders>
            <w:noWrap w:val="0"/>
            <w:vAlign w:val="center"/>
          </w:tcPr>
          <w:p w14:paraId="0B79220E">
            <w:pPr>
              <w:pStyle w:val="33"/>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outlineLvl w:val="9"/>
              <w:rPr>
                <w:rFonts w:hint="default" w:ascii="Times New Roman" w:hAnsi="Times New Roman" w:eastAsia="宋体" w:cs="Times New Roman"/>
                <w:color w:val="auto"/>
                <w:szCs w:val="21"/>
                <w:u w:val="none" w:color="000000"/>
              </w:rPr>
            </w:pPr>
            <w:r>
              <w:rPr>
                <w:rFonts w:hint="default" w:ascii="Times New Roman" w:hAnsi="Times New Roman" w:eastAsia="宋体" w:cs="Times New Roman"/>
                <w:color w:val="auto"/>
                <w:szCs w:val="21"/>
                <w:u w:val="none" w:color="000000"/>
              </w:rPr>
              <w:t>1.0</w:t>
            </w:r>
          </w:p>
        </w:tc>
        <w:tc>
          <w:tcPr>
            <w:tcW w:w="2733" w:type="dxa"/>
            <w:vMerge w:val="continue"/>
            <w:tcBorders>
              <w:tl2br w:val="nil"/>
              <w:tr2bl w:val="nil"/>
            </w:tcBorders>
            <w:noWrap w:val="0"/>
            <w:vAlign w:val="center"/>
          </w:tcPr>
          <w:p w14:paraId="7C595A47">
            <w:pPr>
              <w:pStyle w:val="33"/>
              <w:keepNext w:val="0"/>
              <w:keepLines w:val="0"/>
              <w:pageBreakBefore w:val="0"/>
              <w:kinsoku/>
              <w:wordWrap/>
              <w:overflowPunct w:val="0"/>
              <w:topLinePunct w:val="0"/>
              <w:autoSpaceDE w:val="0"/>
              <w:autoSpaceDN w:val="0"/>
              <w:bidi w:val="0"/>
              <w:adjustRightInd w:val="0"/>
              <w:snapToGrid w:val="0"/>
              <w:spacing w:before="0" w:beforeLines="0" w:after="0" w:afterLines="0" w:line="240" w:lineRule="auto"/>
              <w:ind w:firstLine="0" w:firstLineChars="0"/>
              <w:textAlignment w:val="baseline"/>
              <w:outlineLvl w:val="9"/>
              <w:rPr>
                <w:rFonts w:hint="default" w:ascii="Times New Roman" w:hAnsi="Times New Roman" w:eastAsia="宋体" w:cs="Times New Roman"/>
                <w:color w:val="auto"/>
                <w:szCs w:val="21"/>
                <w:u w:val="none" w:color="000000"/>
              </w:rPr>
            </w:pPr>
          </w:p>
        </w:tc>
      </w:tr>
    </w:tbl>
    <w:p w14:paraId="56628430">
      <w:pPr>
        <w:spacing w:before="163" w:beforeLines="50"/>
        <w:ind w:firstLine="480"/>
        <w:rPr>
          <w:rFonts w:hint="default" w:ascii="Times New Roman" w:hAnsi="Times New Roman" w:cs="Times New Roman"/>
          <w:color w:val="auto"/>
          <w:szCs w:val="24"/>
        </w:rPr>
      </w:pPr>
      <w:r>
        <w:rPr>
          <w:rFonts w:hint="default" w:ascii="Times New Roman" w:hAnsi="Times New Roman" w:cs="Times New Roman"/>
          <w:color w:val="auto"/>
          <w:szCs w:val="24"/>
        </w:rPr>
        <w:t>2、废水</w:t>
      </w:r>
    </w:p>
    <w:p w14:paraId="315BAA3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施工期：执行《污水综合排放标准》（GB8978-1996）一级标准。</w:t>
      </w:r>
    </w:p>
    <w:p w14:paraId="5291A77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运营期：</w:t>
      </w:r>
      <w:r>
        <w:rPr>
          <w:color w:val="auto"/>
          <w:spacing w:val="-3"/>
        </w:rPr>
        <w:t>服务区</w:t>
      </w:r>
      <w:r>
        <w:rPr>
          <w:rFonts w:hint="eastAsia"/>
          <w:color w:val="auto"/>
          <w:spacing w:val="-3"/>
          <w:lang w:eastAsia="zh-CN"/>
        </w:rPr>
        <w:t>、</w:t>
      </w:r>
      <w:r>
        <w:rPr>
          <w:rFonts w:hint="eastAsia"/>
          <w:color w:val="auto"/>
          <w:spacing w:val="-3"/>
          <w:lang w:val="en-US" w:eastAsia="zh-CN"/>
        </w:rPr>
        <w:t>收费站</w:t>
      </w:r>
      <w:r>
        <w:rPr>
          <w:rStyle w:val="25"/>
          <w:rFonts w:hint="default" w:ascii="Times New Roman" w:hAnsi="Times New Roman" w:cs="Times New Roman"/>
          <w:color w:val="auto"/>
          <w:szCs w:val="24"/>
        </w:rPr>
        <w:t>生活污水经处理后</w:t>
      </w:r>
      <w:r>
        <w:rPr>
          <w:rStyle w:val="25"/>
          <w:rFonts w:hint="eastAsia" w:cs="Times New Roman"/>
          <w:color w:val="auto"/>
          <w:szCs w:val="24"/>
          <w:lang w:val="en-US" w:eastAsia="zh-CN"/>
        </w:rPr>
        <w:t>用于绿化</w:t>
      </w:r>
      <w:r>
        <w:rPr>
          <w:rStyle w:val="25"/>
          <w:rFonts w:hint="default" w:ascii="Times New Roman" w:hAnsi="Times New Roman" w:cs="Times New Roman"/>
          <w:color w:val="auto"/>
          <w:szCs w:val="24"/>
        </w:rPr>
        <w:t>，执行</w:t>
      </w:r>
      <w:r>
        <w:rPr>
          <w:rStyle w:val="25"/>
          <w:rFonts w:hint="eastAsia" w:cs="Times New Roman"/>
          <w:color w:val="auto"/>
          <w:szCs w:val="24"/>
          <w:lang w:eastAsia="zh-CN"/>
        </w:rPr>
        <w:t>《城市污水再生利用 城市杂用水水质》（GB/T18920-2020）</w:t>
      </w:r>
      <w:r>
        <w:rPr>
          <w:rStyle w:val="25"/>
          <w:rFonts w:hint="default" w:ascii="Times New Roman" w:hAnsi="Times New Roman" w:cs="Times New Roman"/>
          <w:color w:val="auto"/>
          <w:szCs w:val="24"/>
        </w:rPr>
        <w:t>中</w:t>
      </w:r>
      <w:r>
        <w:rPr>
          <w:rStyle w:val="25"/>
          <w:rFonts w:hint="eastAsia" w:cs="Times New Roman"/>
          <w:color w:val="auto"/>
          <w:szCs w:val="24"/>
          <w:lang w:val="en-US" w:eastAsia="zh-CN"/>
        </w:rPr>
        <w:t>绿化</w:t>
      </w:r>
      <w:r>
        <w:rPr>
          <w:rStyle w:val="25"/>
          <w:rFonts w:hint="default" w:ascii="Times New Roman" w:hAnsi="Times New Roman" w:cs="Times New Roman"/>
          <w:color w:val="auto"/>
          <w:szCs w:val="24"/>
        </w:rPr>
        <w:t>标准</w:t>
      </w:r>
      <w:r>
        <w:rPr>
          <w:rFonts w:hint="default" w:ascii="Times New Roman" w:hAnsi="Times New Roman" w:cs="Times New Roman"/>
          <w:color w:val="auto"/>
          <w:szCs w:val="24"/>
        </w:rPr>
        <w:t>。</w:t>
      </w:r>
    </w:p>
    <w:p w14:paraId="6740D6C1">
      <w:pPr>
        <w:pStyle w:val="9"/>
        <w:rPr>
          <w:rFonts w:hint="eastAsia" w:ascii="Times New Roman" w:hAnsi="Times New Roman" w:eastAsia="宋体" w:cs="Times New Roman"/>
          <w:color w:val="auto"/>
          <w:lang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Style w:val="25"/>
          <w:rFonts w:hint="eastAsia" w:cs="Times New Roman"/>
          <w:color w:val="auto"/>
          <w:szCs w:val="24"/>
          <w:lang w:eastAsia="zh-CN"/>
        </w:rPr>
        <w:t>《城市污水再生利用 城市杂用水水质》</w:t>
      </w:r>
    </w:p>
    <w:tbl>
      <w:tblPr>
        <w:tblStyle w:val="2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3221"/>
        <w:gridCol w:w="3858"/>
      </w:tblGrid>
      <w:tr w14:paraId="6ADCC7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60B0E393">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890" w:type="pct"/>
            <w:noWrap w:val="0"/>
            <w:vAlign w:val="center"/>
          </w:tcPr>
          <w:p w14:paraId="733ED16F">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项目</w:t>
            </w:r>
          </w:p>
        </w:tc>
        <w:tc>
          <w:tcPr>
            <w:tcW w:w="2263" w:type="pct"/>
            <w:noWrap w:val="0"/>
            <w:vAlign w:val="center"/>
          </w:tcPr>
          <w:p w14:paraId="61192433">
            <w:pPr>
              <w:pStyle w:val="27"/>
              <w:rPr>
                <w:rFonts w:hint="default" w:ascii="Times New Roman" w:hAnsi="Times New Roman" w:eastAsia="宋体" w:cs="Times New Roman"/>
                <w:color w:val="auto"/>
                <w:lang w:val="en-US" w:eastAsia="zh-CN"/>
              </w:rPr>
            </w:pPr>
            <w:r>
              <w:rPr>
                <w:rFonts w:hint="eastAsia" w:eastAsia="宋体" w:cs="Times New Roman"/>
                <w:color w:val="auto"/>
                <w:lang w:val="en-US" w:eastAsia="zh-CN"/>
              </w:rPr>
              <w:t>城市绿化</w:t>
            </w:r>
          </w:p>
        </w:tc>
      </w:tr>
      <w:tr w14:paraId="09BE51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14EE36F0">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890" w:type="pct"/>
            <w:noWrap w:val="0"/>
            <w:vAlign w:val="center"/>
          </w:tcPr>
          <w:p w14:paraId="5C3D17B2">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pH（无量纲）</w:t>
            </w:r>
          </w:p>
        </w:tc>
        <w:tc>
          <w:tcPr>
            <w:tcW w:w="2263" w:type="pct"/>
            <w:noWrap w:val="0"/>
            <w:vAlign w:val="center"/>
          </w:tcPr>
          <w:p w14:paraId="1AA8F723">
            <w:pPr>
              <w:pStyle w:val="27"/>
              <w:rPr>
                <w:rFonts w:hint="default" w:ascii="Times New Roman" w:hAnsi="Times New Roman" w:eastAsia="宋体" w:cs="Times New Roman"/>
                <w:color w:val="auto"/>
                <w:lang w:val="en-US" w:eastAsia="zh-CN"/>
              </w:rPr>
            </w:pPr>
            <w:r>
              <w:rPr>
                <w:rFonts w:hint="eastAsia" w:eastAsia="宋体" w:cs="Times New Roman"/>
                <w:color w:val="auto"/>
                <w:lang w:val="en-US" w:eastAsia="zh-CN"/>
              </w:rPr>
              <w:t>6.0</w:t>
            </w:r>
            <w:r>
              <w:rPr>
                <w:rFonts w:hint="default" w:ascii="Times New Roman" w:hAnsi="Times New Roman" w:eastAsia="宋体" w:cs="Times New Roman"/>
                <w:color w:val="auto"/>
              </w:rPr>
              <w:t>~</w:t>
            </w:r>
            <w:r>
              <w:rPr>
                <w:rFonts w:hint="eastAsia" w:eastAsia="宋体" w:cs="Times New Roman"/>
                <w:color w:val="auto"/>
                <w:lang w:val="en-US" w:eastAsia="zh-CN"/>
              </w:rPr>
              <w:t>9.0</w:t>
            </w:r>
          </w:p>
        </w:tc>
      </w:tr>
      <w:tr w14:paraId="5DA8A2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012439BD">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890" w:type="pct"/>
            <w:noWrap w:val="0"/>
            <w:vAlign w:val="center"/>
          </w:tcPr>
          <w:p w14:paraId="731DD07C">
            <w:pPr>
              <w:pStyle w:val="27"/>
              <w:rPr>
                <w:rFonts w:hint="default" w:ascii="Times New Roman" w:hAnsi="Times New Roman" w:eastAsia="宋体" w:cs="Times New Roman"/>
                <w:color w:val="auto"/>
                <w:lang w:val="en-US" w:eastAsia="zh-CN"/>
              </w:rPr>
            </w:pPr>
            <w:r>
              <w:rPr>
                <w:rFonts w:hint="eastAsia" w:eastAsia="宋体" w:cs="Times New Roman"/>
                <w:color w:val="auto"/>
                <w:lang w:val="en-US" w:eastAsia="zh-CN"/>
              </w:rPr>
              <w:t>色度，铂钴色度单位</w:t>
            </w:r>
          </w:p>
        </w:tc>
        <w:tc>
          <w:tcPr>
            <w:tcW w:w="2263" w:type="pct"/>
            <w:noWrap w:val="0"/>
            <w:vAlign w:val="center"/>
          </w:tcPr>
          <w:p w14:paraId="56F40E51">
            <w:pPr>
              <w:pStyle w:val="2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eastAsia" w:eastAsia="宋体" w:cs="Times New Roman"/>
                <w:color w:val="auto"/>
                <w:lang w:val="en-US" w:eastAsia="zh-CN"/>
              </w:rPr>
              <w:t>30</w:t>
            </w:r>
          </w:p>
        </w:tc>
      </w:tr>
      <w:tr w14:paraId="0686D2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5F6A1301">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890" w:type="pct"/>
            <w:noWrap w:val="0"/>
            <w:vAlign w:val="center"/>
          </w:tcPr>
          <w:p w14:paraId="49A5069D">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BOD</w:t>
            </w:r>
            <w:r>
              <w:rPr>
                <w:rFonts w:hint="default" w:ascii="Times New Roman" w:hAnsi="Times New Roman" w:eastAsia="宋体" w:cs="Times New Roman"/>
                <w:color w:val="auto"/>
                <w:vertAlign w:val="subscript"/>
              </w:rPr>
              <w:t>5</w:t>
            </w:r>
            <w:r>
              <w:rPr>
                <w:rFonts w:hint="default" w:ascii="Times New Roman" w:hAnsi="Times New Roman" w:eastAsia="宋体" w:cs="Times New Roman"/>
                <w:color w:val="auto"/>
              </w:rPr>
              <w:t>（mg/L）</w:t>
            </w:r>
          </w:p>
        </w:tc>
        <w:tc>
          <w:tcPr>
            <w:tcW w:w="2263" w:type="pct"/>
            <w:noWrap w:val="0"/>
            <w:vAlign w:val="center"/>
          </w:tcPr>
          <w:p w14:paraId="5F93EC72">
            <w:pPr>
              <w:pStyle w:val="2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eastAsia" w:eastAsia="宋体" w:cs="Times New Roman"/>
                <w:color w:val="auto"/>
                <w:lang w:val="en-US" w:eastAsia="zh-CN"/>
              </w:rPr>
              <w:t>10</w:t>
            </w:r>
          </w:p>
        </w:tc>
      </w:tr>
      <w:tr w14:paraId="1F4CB8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709F6C0F">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890" w:type="pct"/>
            <w:noWrap w:val="0"/>
            <w:vAlign w:val="center"/>
          </w:tcPr>
          <w:p w14:paraId="7FA53B1C">
            <w:pPr>
              <w:pStyle w:val="27"/>
              <w:rPr>
                <w:rFonts w:hint="default" w:ascii="Times New Roman" w:hAnsi="Times New Roman" w:eastAsia="宋体" w:cs="Times New Roman"/>
                <w:color w:val="auto"/>
              </w:rPr>
            </w:pPr>
            <w:r>
              <w:rPr>
                <w:rFonts w:hint="eastAsia" w:eastAsia="宋体" w:cs="Times New Roman"/>
                <w:color w:val="auto"/>
                <w:lang w:val="en-US" w:eastAsia="zh-CN"/>
              </w:rPr>
              <w:t>氨氮</w:t>
            </w:r>
            <w:r>
              <w:rPr>
                <w:rFonts w:hint="default" w:ascii="Times New Roman" w:hAnsi="Times New Roman" w:eastAsia="宋体" w:cs="Times New Roman"/>
                <w:color w:val="auto"/>
              </w:rPr>
              <w:t>（mg/L）</w:t>
            </w:r>
          </w:p>
        </w:tc>
        <w:tc>
          <w:tcPr>
            <w:tcW w:w="2263" w:type="pct"/>
            <w:noWrap w:val="0"/>
            <w:vAlign w:val="center"/>
          </w:tcPr>
          <w:p w14:paraId="3DB61876">
            <w:pPr>
              <w:pStyle w:val="27"/>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w:t>
            </w:r>
            <w:r>
              <w:rPr>
                <w:rFonts w:hint="eastAsia" w:eastAsia="宋体" w:cs="Times New Roman"/>
                <w:color w:val="auto"/>
                <w:lang w:val="en-US" w:eastAsia="zh-CN"/>
              </w:rPr>
              <w:t>8</w:t>
            </w:r>
          </w:p>
        </w:tc>
      </w:tr>
      <w:tr w14:paraId="07A941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08F613CD">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890" w:type="pct"/>
            <w:noWrap w:val="0"/>
            <w:vAlign w:val="center"/>
          </w:tcPr>
          <w:p w14:paraId="10E4CCB1">
            <w:pPr>
              <w:pStyle w:val="27"/>
              <w:rPr>
                <w:rFonts w:hint="default" w:ascii="Times New Roman" w:hAnsi="Times New Roman" w:eastAsia="宋体" w:cs="Times New Roman"/>
                <w:color w:val="auto"/>
              </w:rPr>
            </w:pPr>
            <w:r>
              <w:rPr>
                <w:rFonts w:hint="eastAsia" w:eastAsia="宋体" w:cs="Times New Roman"/>
                <w:color w:val="auto"/>
                <w:lang w:val="en-US" w:eastAsia="zh-CN"/>
              </w:rPr>
              <w:t>阴离子表面活性剂</w:t>
            </w:r>
            <w:r>
              <w:rPr>
                <w:rFonts w:hint="default" w:ascii="Times New Roman" w:hAnsi="Times New Roman" w:eastAsia="宋体" w:cs="Times New Roman"/>
                <w:color w:val="auto"/>
              </w:rPr>
              <w:t>（mg/L）</w:t>
            </w:r>
          </w:p>
        </w:tc>
        <w:tc>
          <w:tcPr>
            <w:tcW w:w="2263" w:type="pct"/>
            <w:noWrap w:val="0"/>
            <w:vAlign w:val="center"/>
          </w:tcPr>
          <w:p w14:paraId="289A88D1">
            <w:pPr>
              <w:pStyle w:val="2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eastAsia" w:eastAsia="宋体" w:cs="Times New Roman"/>
                <w:color w:val="auto"/>
                <w:lang w:val="en-US" w:eastAsia="zh-CN"/>
              </w:rPr>
              <w:t>0.5</w:t>
            </w:r>
          </w:p>
        </w:tc>
      </w:tr>
      <w:tr w14:paraId="055372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45" w:type="pct"/>
            <w:noWrap w:val="0"/>
            <w:vAlign w:val="center"/>
          </w:tcPr>
          <w:p w14:paraId="782564A1">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890" w:type="pct"/>
            <w:noWrap w:val="0"/>
            <w:vAlign w:val="center"/>
          </w:tcPr>
          <w:p w14:paraId="162F806A">
            <w:pPr>
              <w:pStyle w:val="27"/>
              <w:rPr>
                <w:rFonts w:hint="default" w:ascii="Times New Roman" w:hAnsi="Times New Roman" w:eastAsia="宋体" w:cs="Times New Roman"/>
                <w:color w:val="auto"/>
              </w:rPr>
            </w:pPr>
            <w:r>
              <w:rPr>
                <w:rFonts w:hint="eastAsia" w:eastAsia="宋体" w:cs="Times New Roman"/>
                <w:color w:val="auto"/>
                <w:lang w:val="en-US" w:eastAsia="zh-CN"/>
              </w:rPr>
              <w:t>溶解性总固体</w:t>
            </w:r>
            <w:r>
              <w:rPr>
                <w:rFonts w:hint="default" w:ascii="Times New Roman" w:hAnsi="Times New Roman" w:eastAsia="宋体" w:cs="Times New Roman"/>
                <w:color w:val="auto"/>
              </w:rPr>
              <w:t>（mg/L）</w:t>
            </w:r>
          </w:p>
        </w:tc>
        <w:tc>
          <w:tcPr>
            <w:tcW w:w="2263" w:type="pct"/>
            <w:noWrap w:val="0"/>
            <w:vAlign w:val="center"/>
          </w:tcPr>
          <w:p w14:paraId="6C9391C3">
            <w:pPr>
              <w:pStyle w:val="27"/>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w:t>
            </w:r>
            <w:r>
              <w:rPr>
                <w:rFonts w:hint="eastAsia" w:eastAsia="宋体" w:cs="Times New Roman"/>
                <w:color w:val="auto"/>
                <w:lang w:val="en-US" w:eastAsia="zh-CN"/>
              </w:rPr>
              <w:t>1000</w:t>
            </w:r>
          </w:p>
        </w:tc>
      </w:tr>
      <w:tr w14:paraId="4BA1C8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6" w:hRule="atLeast"/>
        </w:trPr>
        <w:tc>
          <w:tcPr>
            <w:tcW w:w="845" w:type="pct"/>
            <w:noWrap w:val="0"/>
            <w:vAlign w:val="center"/>
          </w:tcPr>
          <w:p w14:paraId="78687F56">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890" w:type="pct"/>
            <w:noWrap w:val="0"/>
            <w:vAlign w:val="center"/>
          </w:tcPr>
          <w:p w14:paraId="045BB271">
            <w:pPr>
              <w:pStyle w:val="27"/>
              <w:rPr>
                <w:rFonts w:hint="default" w:ascii="Times New Roman" w:hAnsi="Times New Roman" w:eastAsia="宋体" w:cs="Times New Roman"/>
                <w:color w:val="auto"/>
              </w:rPr>
            </w:pPr>
            <w:r>
              <w:rPr>
                <w:rFonts w:hint="eastAsia" w:eastAsia="宋体" w:cs="Times New Roman"/>
                <w:color w:val="auto"/>
                <w:lang w:val="en-US" w:eastAsia="zh-CN"/>
              </w:rPr>
              <w:t>溶解氧</w:t>
            </w:r>
            <w:r>
              <w:rPr>
                <w:rFonts w:hint="default" w:ascii="Times New Roman" w:hAnsi="Times New Roman" w:eastAsia="宋体" w:cs="Times New Roman"/>
                <w:color w:val="auto"/>
              </w:rPr>
              <w:t>（mg/L）</w:t>
            </w:r>
          </w:p>
        </w:tc>
        <w:tc>
          <w:tcPr>
            <w:tcW w:w="2263" w:type="pct"/>
            <w:noWrap w:val="0"/>
            <w:vAlign w:val="center"/>
          </w:tcPr>
          <w:p w14:paraId="1153BE2A">
            <w:pPr>
              <w:pStyle w:val="27"/>
              <w:rPr>
                <w:rFonts w:hint="default" w:ascii="Times New Roman" w:hAnsi="Times New Roman" w:eastAsia="宋体" w:cs="Times New Roman"/>
                <w:color w:val="auto"/>
                <w:lang w:val="en-US"/>
              </w:rPr>
            </w:pPr>
            <w:r>
              <w:rPr>
                <w:rFonts w:hint="eastAsia" w:eastAsia="宋体" w:cs="Times New Roman"/>
                <w:color w:val="auto"/>
                <w:lang w:val="en-US" w:eastAsia="zh-CN"/>
              </w:rPr>
              <w:t>≥2.0</w:t>
            </w:r>
          </w:p>
        </w:tc>
      </w:tr>
    </w:tbl>
    <w:p w14:paraId="7343305E">
      <w:pPr>
        <w:spacing w:before="163" w:beforeLines="50"/>
        <w:ind w:firstLine="480"/>
        <w:rPr>
          <w:rFonts w:hint="default" w:ascii="Times New Roman" w:hAnsi="Times New Roman" w:cs="Times New Roman"/>
          <w:color w:val="auto"/>
          <w:szCs w:val="24"/>
        </w:rPr>
      </w:pPr>
      <w:r>
        <w:rPr>
          <w:rFonts w:hint="default" w:ascii="Times New Roman" w:hAnsi="Times New Roman" w:cs="Times New Roman"/>
          <w:color w:val="auto"/>
          <w:szCs w:val="24"/>
        </w:rPr>
        <w:t>3、噪声</w:t>
      </w:r>
    </w:p>
    <w:p w14:paraId="07887D1B">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施工期执行《</w:t>
      </w:r>
      <w:r>
        <w:rPr>
          <w:rFonts w:hint="eastAsia" w:cs="Times New Roman"/>
          <w:color w:val="auto"/>
          <w:szCs w:val="24"/>
          <w:lang w:eastAsia="zh-CN"/>
        </w:rPr>
        <w:t>建筑施工噪声排放标准</w:t>
      </w:r>
      <w:r>
        <w:rPr>
          <w:rFonts w:hint="default" w:ascii="Times New Roman" w:hAnsi="Times New Roman" w:cs="Times New Roman"/>
          <w:color w:val="auto"/>
          <w:szCs w:val="24"/>
        </w:rPr>
        <w:t>》（</w:t>
      </w:r>
      <w:r>
        <w:rPr>
          <w:rFonts w:hint="eastAsia" w:cs="Times New Roman"/>
          <w:color w:val="auto"/>
          <w:szCs w:val="24"/>
          <w:lang w:eastAsia="zh-CN"/>
        </w:rPr>
        <w:t>GB 12523-2025</w:t>
      </w:r>
      <w:r>
        <w:rPr>
          <w:rFonts w:hint="default" w:ascii="Times New Roman" w:hAnsi="Times New Roman" w:cs="Times New Roman"/>
          <w:color w:val="auto"/>
          <w:szCs w:val="24"/>
        </w:rPr>
        <w:t>）环境噪声排放限值，详见下表。</w:t>
      </w:r>
    </w:p>
    <w:p w14:paraId="119D8517">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8</w:t>
      </w:r>
      <w:r>
        <w:rPr>
          <w:rFonts w:hint="default" w:ascii="Times New Roman" w:hAnsi="Times New Roman" w:cs="Times New Roman"/>
          <w:color w:val="auto"/>
        </w:rPr>
        <w:fldChar w:fldCharType="end"/>
      </w:r>
      <w:r>
        <w:rPr>
          <w:rFonts w:hint="default" w:ascii="Times New Roman" w:hAnsi="Times New Roman" w:cs="Times New Roman"/>
          <w:color w:val="auto"/>
        </w:rPr>
        <w:t>噪声排放标准（dB</w:t>
      </w:r>
      <w:r>
        <w:rPr>
          <w:rFonts w:hint="eastAsia" w:cs="Times New Roman"/>
          <w:color w:val="auto"/>
          <w:lang w:eastAsia="zh-CN"/>
        </w:rPr>
        <w:t>（</w:t>
      </w:r>
      <w:r>
        <w:rPr>
          <w:rFonts w:hint="default" w:ascii="Times New Roman" w:hAnsi="Times New Roman" w:cs="Times New Roman"/>
          <w:color w:val="auto"/>
        </w:rPr>
        <w:t>A</w:t>
      </w:r>
      <w:r>
        <w:rPr>
          <w:rFonts w:hint="eastAsia" w:cs="Times New Roman"/>
          <w:color w:val="auto"/>
          <w:lang w:eastAsia="zh-CN"/>
        </w:rPr>
        <w:t>）</w:t>
      </w:r>
      <w:r>
        <w:rPr>
          <w:rFonts w:hint="default" w:ascii="Times New Roman" w:hAnsi="Times New Roman" w:cs="Times New Roman"/>
          <w:color w:val="auto"/>
        </w:rPr>
        <w:t>）</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211"/>
        <w:gridCol w:w="1417"/>
        <w:gridCol w:w="1894"/>
      </w:tblGrid>
      <w:tr w14:paraId="23EE5E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7" w:type="pct"/>
            <w:noWrap w:val="0"/>
            <w:vAlign w:val="center"/>
          </w:tcPr>
          <w:p w14:paraId="1548A147">
            <w:pPr>
              <w:pStyle w:val="27"/>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排放标准</w:t>
            </w:r>
          </w:p>
        </w:tc>
        <w:tc>
          <w:tcPr>
            <w:tcW w:w="831" w:type="pct"/>
            <w:noWrap w:val="0"/>
            <w:vAlign w:val="center"/>
          </w:tcPr>
          <w:p w14:paraId="04D04B0C">
            <w:pPr>
              <w:pStyle w:val="27"/>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昼间</w:t>
            </w:r>
          </w:p>
        </w:tc>
        <w:tc>
          <w:tcPr>
            <w:tcW w:w="1111" w:type="pct"/>
            <w:noWrap w:val="0"/>
            <w:vAlign w:val="center"/>
          </w:tcPr>
          <w:p w14:paraId="624C0F84">
            <w:pPr>
              <w:pStyle w:val="27"/>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夜间</w:t>
            </w:r>
          </w:p>
        </w:tc>
      </w:tr>
      <w:tr w14:paraId="3BF804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7" w:type="pct"/>
            <w:noWrap w:val="0"/>
            <w:vAlign w:val="center"/>
          </w:tcPr>
          <w:p w14:paraId="4119DF93">
            <w:pPr>
              <w:pStyle w:val="27"/>
              <w:rPr>
                <w:rFonts w:hint="default" w:ascii="Times New Roman" w:hAnsi="Times New Roman" w:eastAsia="宋体" w:cs="Times New Roman"/>
                <w:snapToGrid w:val="0"/>
                <w:color w:val="auto"/>
                <w:szCs w:val="24"/>
              </w:rPr>
            </w:pPr>
            <w:r>
              <w:rPr>
                <w:rFonts w:hint="default" w:ascii="Times New Roman" w:hAnsi="Times New Roman" w:eastAsia="宋体" w:cs="Times New Roman"/>
                <w:color w:val="auto"/>
                <w:szCs w:val="24"/>
              </w:rPr>
              <w:t>《</w:t>
            </w:r>
            <w:r>
              <w:rPr>
                <w:rFonts w:hint="eastAsia" w:eastAsia="宋体" w:cs="Times New Roman"/>
                <w:color w:val="auto"/>
                <w:szCs w:val="24"/>
                <w:lang w:eastAsia="zh-CN"/>
              </w:rPr>
              <w:t>建筑施工噪声排放标准</w:t>
            </w:r>
            <w:r>
              <w:rPr>
                <w:rFonts w:hint="default" w:ascii="Times New Roman" w:hAnsi="Times New Roman" w:eastAsia="宋体" w:cs="Times New Roman"/>
                <w:color w:val="auto"/>
                <w:szCs w:val="24"/>
              </w:rPr>
              <w:t>》（</w:t>
            </w:r>
            <w:r>
              <w:rPr>
                <w:rFonts w:hint="eastAsia" w:eastAsia="宋体" w:cs="Times New Roman"/>
                <w:color w:val="auto"/>
                <w:szCs w:val="24"/>
                <w:lang w:eastAsia="zh-CN"/>
              </w:rPr>
              <w:t>GB 12523-2025</w:t>
            </w:r>
            <w:r>
              <w:rPr>
                <w:rFonts w:hint="default" w:ascii="Times New Roman" w:hAnsi="Times New Roman" w:eastAsia="宋体" w:cs="Times New Roman"/>
                <w:color w:val="auto"/>
                <w:szCs w:val="24"/>
              </w:rPr>
              <w:t>）</w:t>
            </w:r>
          </w:p>
        </w:tc>
        <w:tc>
          <w:tcPr>
            <w:tcW w:w="831" w:type="pct"/>
            <w:noWrap w:val="0"/>
            <w:vAlign w:val="center"/>
          </w:tcPr>
          <w:p w14:paraId="3A81B8A8">
            <w:pPr>
              <w:pStyle w:val="27"/>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70</w:t>
            </w:r>
          </w:p>
        </w:tc>
        <w:tc>
          <w:tcPr>
            <w:tcW w:w="1111" w:type="pct"/>
            <w:noWrap w:val="0"/>
            <w:vAlign w:val="center"/>
          </w:tcPr>
          <w:p w14:paraId="3A102613">
            <w:pPr>
              <w:pStyle w:val="27"/>
              <w:rPr>
                <w:rFonts w:hint="default" w:ascii="Times New Roman" w:hAnsi="Times New Roman" w:eastAsia="宋体" w:cs="Times New Roman"/>
                <w:snapToGrid w:val="0"/>
                <w:color w:val="auto"/>
                <w:szCs w:val="24"/>
              </w:rPr>
            </w:pPr>
            <w:r>
              <w:rPr>
                <w:rFonts w:hint="default" w:ascii="Times New Roman" w:hAnsi="Times New Roman" w:eastAsia="宋体" w:cs="Times New Roman"/>
                <w:snapToGrid w:val="0"/>
                <w:color w:val="auto"/>
                <w:szCs w:val="24"/>
              </w:rPr>
              <w:t>55</w:t>
            </w:r>
          </w:p>
        </w:tc>
      </w:tr>
    </w:tbl>
    <w:p w14:paraId="1F2AF61D">
      <w:pPr>
        <w:ind w:firstLine="480"/>
        <w:rPr>
          <w:rFonts w:hint="default" w:ascii="Times New Roman" w:hAnsi="Times New Roman" w:cs="Times New Roman"/>
          <w:color w:val="auto"/>
          <w:szCs w:val="24"/>
        </w:rPr>
      </w:pPr>
      <w:r>
        <w:rPr>
          <w:rFonts w:hint="eastAsia" w:cs="Times New Roman"/>
          <w:color w:val="auto"/>
          <w:szCs w:val="24"/>
          <w:lang w:val="en-US" w:eastAsia="zh-CN"/>
        </w:rPr>
        <w:t>4</w:t>
      </w:r>
      <w:r>
        <w:rPr>
          <w:rFonts w:hint="default" w:ascii="Times New Roman" w:hAnsi="Times New Roman" w:cs="Times New Roman"/>
          <w:color w:val="auto"/>
          <w:szCs w:val="24"/>
        </w:rPr>
        <w:t>、生态环境</w:t>
      </w:r>
    </w:p>
    <w:p w14:paraId="30F81FE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项目线路经过的河流水域，不涉及自然保护区、重要水生生物的“三场一通道”（产卵场、索饵场、越冬场和洄游通道）等重要水生生态敏感区；陆域范围亦不涉及自然保护区、风景名胜区、公益林、重要保护动植物集中分布区及生态保护红线。</w:t>
      </w:r>
    </w:p>
    <w:p w14:paraId="104E06D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主要保护要求如下：​</w:t>
      </w:r>
    </w:p>
    <w:p w14:paraId="2C521DA5">
      <w:pPr>
        <w:pStyle w:val="24"/>
        <w:ind w:firstLine="480"/>
        <w:rPr>
          <w:rFonts w:hint="default" w:ascii="Times New Roman" w:hAnsi="Times New Roman"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1</w:t>
      </w:r>
      <w:r>
        <w:rPr>
          <w:rFonts w:hint="eastAsia" w:cs="Times New Roman"/>
          <w:color w:val="auto"/>
          <w:szCs w:val="24"/>
          <w:lang w:eastAsia="zh-CN"/>
        </w:rPr>
        <w:t>）</w:t>
      </w:r>
      <w:r>
        <w:rPr>
          <w:rFonts w:hint="default" w:ascii="Times New Roman" w:hAnsi="Times New Roman" w:cs="Times New Roman"/>
          <w:color w:val="auto"/>
          <w:szCs w:val="24"/>
        </w:rPr>
        <w:t>保持生态系统结构与功能的完整性，不得对区域生态系统的连通性与稳定性造成破坏；</w:t>
      </w:r>
    </w:p>
    <w:p w14:paraId="5D8464E4">
      <w:pPr>
        <w:pStyle w:val="24"/>
        <w:ind w:firstLine="480"/>
        <w:rPr>
          <w:rFonts w:hint="default" w:ascii="Times New Roman" w:hAnsi="Times New Roman" w:cs="Times New Roman"/>
          <w:color w:val="auto"/>
          <w:kern w:val="0"/>
          <w:szCs w:val="24"/>
          <w:lang w:val="en-US"/>
        </w:rPr>
      </w:pPr>
      <w:r>
        <w:rPr>
          <w:rFonts w:hint="eastAsia" w:cs="Times New Roman"/>
          <w:color w:val="auto"/>
          <w:szCs w:val="24"/>
          <w:lang w:eastAsia="zh-CN"/>
        </w:rPr>
        <w:t>（</w:t>
      </w:r>
      <w:r>
        <w:rPr>
          <w:rFonts w:hint="eastAsia" w:cs="Times New Roman"/>
          <w:color w:val="auto"/>
          <w:szCs w:val="24"/>
          <w:lang w:val="en-US" w:eastAsia="zh-CN"/>
        </w:rPr>
        <w:t>2</w:t>
      </w:r>
      <w:r>
        <w:rPr>
          <w:rFonts w:hint="eastAsia" w:cs="Times New Roman"/>
          <w:color w:val="auto"/>
          <w:szCs w:val="24"/>
          <w:lang w:eastAsia="zh-CN"/>
        </w:rPr>
        <w:t>）</w:t>
      </w:r>
      <w:r>
        <w:rPr>
          <w:rFonts w:hint="default" w:ascii="Times New Roman" w:hAnsi="Times New Roman" w:cs="Times New Roman"/>
          <w:color w:val="auto"/>
          <w:szCs w:val="24"/>
        </w:rPr>
        <w:t>严格控制施工过程中的水土流失，确保项目实施后不加剧当地现有土壤侵蚀强度。</w:t>
      </w:r>
    </w:p>
    <w:p w14:paraId="21B74CED">
      <w:pPr>
        <w:pStyle w:val="3"/>
        <w:numPr>
          <w:ilvl w:val="1"/>
          <w:numId w:val="0"/>
        </w:numPr>
        <w:ind w:left="578" w:leftChars="0" w:hanging="578" w:firstLineChars="0"/>
        <w:rPr>
          <w:rFonts w:hint="default" w:ascii="Times New Roman" w:hAnsi="Times New Roman" w:cs="Times New Roman"/>
          <w:color w:val="auto"/>
        </w:rPr>
      </w:pPr>
      <w:bookmarkStart w:id="14" w:name="_Toc13792"/>
      <w:bookmarkStart w:id="15" w:name="_Toc11057"/>
      <w:bookmarkStart w:id="16" w:name="_Toc419186348"/>
      <w:bookmarkStart w:id="17" w:name="_Toc30901"/>
      <w:bookmarkStart w:id="18" w:name="_Toc419185793"/>
      <w:bookmarkStart w:id="19" w:name="_Toc12859"/>
      <w:bookmarkStart w:id="20" w:name="_Toc30363"/>
      <w:r>
        <w:rPr>
          <w:rFonts w:hint="eastAsia" w:ascii="Times New Roman" w:hAnsi="Times New Roman" w:eastAsia="宋体" w:cs="Times New Roman"/>
          <w:b/>
          <w:bCs/>
          <w:color w:val="auto"/>
          <w:kern w:val="2"/>
          <w:sz w:val="32"/>
          <w:szCs w:val="32"/>
          <w:lang w:val="en-US" w:eastAsia="zh-CN" w:bidi="ar-SA"/>
        </w:rPr>
        <w:t>1.5</w:t>
      </w:r>
      <w:r>
        <w:rPr>
          <w:rFonts w:hint="default" w:ascii="Times New Roman" w:hAnsi="Times New Roman" w:cs="Times New Roman"/>
          <w:color w:val="auto"/>
        </w:rPr>
        <w:t>调查重点</w:t>
      </w:r>
      <w:bookmarkEnd w:id="14"/>
      <w:bookmarkEnd w:id="15"/>
      <w:bookmarkEnd w:id="16"/>
      <w:bookmarkEnd w:id="17"/>
      <w:bookmarkEnd w:id="18"/>
      <w:bookmarkEnd w:id="19"/>
      <w:bookmarkEnd w:id="20"/>
    </w:p>
    <w:p w14:paraId="54C09CA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结合四川段验收经验及重庆段工程特点，本次验收调查重点为：</w:t>
      </w:r>
    </w:p>
    <w:p w14:paraId="26DDCBE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（1）工程线路变动情况及由此带来的实际环境影响调查。</w:t>
      </w:r>
    </w:p>
    <w:p w14:paraId="05BA709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（2）生态环境影响：重点调查5处弃土场、施工便道等临时占地的选址合规性、生态恢复与土地复垦效果；工程占地对沿线耕地、林地的实际影响及补偿情况；边坡防护工程稳定性及全线绿化实施效果。</w:t>
      </w:r>
    </w:p>
    <w:p w14:paraId="6D83EDC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（3）声环境影响：重点调查线路变动后沿线27处声环境保护目标受交通噪声影响的实际情况，核实已建1058m声屏障的降噪效果，对预测超标的敏感点提出后续措施建议。</w:t>
      </w:r>
    </w:p>
    <w:p w14:paraId="2190475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（4）环保措施落实情况：逐项核实重新报批环评及其批复中要求的各项污染治理、生态保护与环境风险防范措施的落实情况及有效性。</w:t>
      </w:r>
    </w:p>
    <w:p w14:paraId="5BB2C17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（5）施工期环境影响回顾及“未批先建”整改情况的符合性分析。</w:t>
      </w:r>
    </w:p>
    <w:p w14:paraId="47CF68EE">
      <w:pPr>
        <w:pStyle w:val="3"/>
        <w:numPr>
          <w:ilvl w:val="1"/>
          <w:numId w:val="0"/>
        </w:numPr>
        <w:ind w:left="578" w:leftChars="0" w:hanging="578" w:firstLineChars="0"/>
        <w:rPr>
          <w:rFonts w:hint="default" w:ascii="Times New Roman" w:hAnsi="Times New Roman" w:cs="Times New Roman"/>
          <w:color w:val="auto"/>
        </w:rPr>
      </w:pPr>
      <w:bookmarkStart w:id="21" w:name="_Toc14695"/>
      <w:bookmarkStart w:id="22" w:name="_Toc2400"/>
      <w:r>
        <w:rPr>
          <w:rFonts w:hint="eastAsia" w:ascii="Times New Roman" w:hAnsi="Times New Roman" w:eastAsia="宋体" w:cs="Times New Roman"/>
          <w:b/>
          <w:bCs/>
          <w:color w:val="auto"/>
          <w:kern w:val="2"/>
          <w:sz w:val="32"/>
          <w:szCs w:val="32"/>
          <w:lang w:val="en-US" w:eastAsia="zh-CN" w:bidi="ar-SA"/>
        </w:rPr>
        <w:t>1.6</w:t>
      </w:r>
      <w:r>
        <w:rPr>
          <w:rFonts w:hint="default" w:ascii="Times New Roman" w:hAnsi="Times New Roman" w:cs="Times New Roman"/>
          <w:color w:val="auto"/>
        </w:rPr>
        <w:t>环境保护目标</w:t>
      </w:r>
      <w:bookmarkEnd w:id="21"/>
      <w:bookmarkEnd w:id="22"/>
    </w:p>
    <w:p w14:paraId="0A77B634">
      <w:pPr>
        <w:pStyle w:val="4"/>
        <w:numPr>
          <w:ilvl w:val="2"/>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1.6.1</w:t>
      </w:r>
      <w:r>
        <w:rPr>
          <w:rFonts w:hint="default" w:ascii="Times New Roman" w:hAnsi="Times New Roman" w:cs="Times New Roman"/>
          <w:color w:val="auto"/>
        </w:rPr>
        <w:t>生态环境保护目标</w:t>
      </w:r>
    </w:p>
    <w:p w14:paraId="3120841B">
      <w:pPr>
        <w:ind w:firstLine="480"/>
        <w:rPr>
          <w:rFonts w:hint="default" w:ascii="Times New Roman" w:hAnsi="Times New Roman" w:cs="Times New Roman"/>
          <w:color w:val="auto"/>
          <w:szCs w:val="24"/>
        </w:rPr>
      </w:pPr>
      <w:r>
        <w:rPr>
          <w:rFonts w:hint="eastAsia" w:cs="Times New Roman"/>
          <w:color w:val="auto"/>
          <w:szCs w:val="24"/>
          <w:lang w:eastAsia="zh-CN"/>
        </w:rPr>
        <w:t>根据重新报批的环评文件及现场核实，本项目验收阶段涉及的环境保护目标与重新报批环评阶段基本一致，详见下表。</w:t>
      </w:r>
    </w:p>
    <w:p w14:paraId="2FE4833D">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1.6</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t>主要生态环境保护目标表</w:t>
      </w:r>
    </w:p>
    <w:tbl>
      <w:tblPr>
        <w:tblStyle w:val="2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83"/>
        <w:gridCol w:w="2270"/>
        <w:gridCol w:w="2654"/>
        <w:gridCol w:w="1986"/>
      </w:tblGrid>
      <w:tr w14:paraId="7CC6EF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 w:type="pct"/>
            <w:noWrap w:val="0"/>
            <w:vAlign w:val="center"/>
          </w:tcPr>
          <w:p w14:paraId="3A13B668">
            <w:pPr>
              <w:pStyle w:val="29"/>
              <w:rPr>
                <w:rFonts w:hint="default" w:ascii="Times New Roman" w:hAnsi="Times New Roman" w:cs="Times New Roman"/>
                <w:color w:val="auto"/>
                <w:szCs w:val="24"/>
              </w:rPr>
            </w:pPr>
            <w:r>
              <w:rPr>
                <w:rFonts w:hint="default" w:ascii="Times New Roman" w:hAnsi="Times New Roman" w:cs="Times New Roman"/>
                <w:color w:val="auto"/>
                <w:szCs w:val="24"/>
              </w:rPr>
              <w:t>序号</w:t>
            </w:r>
          </w:p>
        </w:tc>
        <w:tc>
          <w:tcPr>
            <w:tcW w:w="694" w:type="pct"/>
            <w:noWrap w:val="0"/>
            <w:vAlign w:val="center"/>
          </w:tcPr>
          <w:p w14:paraId="6F1298FD">
            <w:pPr>
              <w:pStyle w:val="29"/>
              <w:rPr>
                <w:rFonts w:hint="default" w:ascii="Times New Roman" w:hAnsi="Times New Roman" w:cs="Times New Roman"/>
                <w:color w:val="auto"/>
                <w:szCs w:val="24"/>
              </w:rPr>
            </w:pPr>
            <w:r>
              <w:rPr>
                <w:rFonts w:hint="default" w:ascii="Times New Roman" w:hAnsi="Times New Roman" w:cs="Times New Roman"/>
                <w:color w:val="auto"/>
                <w:szCs w:val="24"/>
              </w:rPr>
              <w:t>保护目标</w:t>
            </w:r>
          </w:p>
        </w:tc>
        <w:tc>
          <w:tcPr>
            <w:tcW w:w="1332" w:type="pct"/>
            <w:noWrap w:val="0"/>
            <w:vAlign w:val="center"/>
          </w:tcPr>
          <w:p w14:paraId="65E24EBC">
            <w:pPr>
              <w:pStyle w:val="29"/>
              <w:rPr>
                <w:rFonts w:hint="default" w:ascii="Times New Roman" w:hAnsi="Times New Roman" w:cs="Times New Roman"/>
                <w:color w:val="auto"/>
                <w:szCs w:val="24"/>
              </w:rPr>
            </w:pPr>
            <w:r>
              <w:rPr>
                <w:rFonts w:hint="eastAsia" w:cs="Times New Roman"/>
                <w:color w:val="auto"/>
                <w:szCs w:val="24"/>
                <w:lang w:eastAsia="zh-CN"/>
              </w:rPr>
              <w:t>重新报批环评阶段</w:t>
            </w:r>
            <w:r>
              <w:rPr>
                <w:rFonts w:hint="default" w:ascii="Times New Roman" w:hAnsi="Times New Roman" w:cs="Times New Roman"/>
                <w:color w:val="auto"/>
                <w:szCs w:val="24"/>
              </w:rPr>
              <w:t>主要保护内容</w:t>
            </w:r>
          </w:p>
        </w:tc>
        <w:tc>
          <w:tcPr>
            <w:tcW w:w="1557" w:type="pct"/>
            <w:noWrap w:val="0"/>
            <w:vAlign w:val="center"/>
          </w:tcPr>
          <w:p w14:paraId="24F32F20">
            <w:pPr>
              <w:pStyle w:val="29"/>
              <w:rPr>
                <w:rFonts w:hint="default" w:ascii="Times New Roman" w:hAnsi="Times New Roman" w:cs="Times New Roman"/>
                <w:color w:val="auto"/>
                <w:szCs w:val="24"/>
              </w:rPr>
            </w:pPr>
            <w:r>
              <w:rPr>
                <w:rFonts w:hint="default" w:ascii="Times New Roman" w:hAnsi="Times New Roman" w:cs="Times New Roman"/>
                <w:color w:val="auto"/>
                <w:szCs w:val="24"/>
              </w:rPr>
              <w:t>验收阶段主要保护内容</w:t>
            </w:r>
          </w:p>
        </w:tc>
        <w:tc>
          <w:tcPr>
            <w:tcW w:w="1165" w:type="pct"/>
            <w:noWrap w:val="0"/>
            <w:vAlign w:val="center"/>
          </w:tcPr>
          <w:p w14:paraId="0E147666">
            <w:pPr>
              <w:pStyle w:val="29"/>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变化情况</w:t>
            </w:r>
          </w:p>
        </w:tc>
      </w:tr>
      <w:tr w14:paraId="5B21A2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50" w:type="pct"/>
            <w:noWrap w:val="0"/>
            <w:vAlign w:val="center"/>
          </w:tcPr>
          <w:p w14:paraId="22651E10">
            <w:pPr>
              <w:pStyle w:val="29"/>
              <w:rPr>
                <w:rFonts w:hint="default" w:ascii="Times New Roman" w:hAnsi="Times New Roman" w:cs="Times New Roman"/>
                <w:color w:val="auto"/>
                <w:szCs w:val="24"/>
              </w:rPr>
            </w:pPr>
            <w:r>
              <w:rPr>
                <w:rFonts w:hint="default" w:ascii="Times New Roman" w:hAnsi="Times New Roman" w:cs="Times New Roman"/>
                <w:color w:val="auto"/>
                <w:szCs w:val="24"/>
              </w:rPr>
              <w:t>1</w:t>
            </w:r>
          </w:p>
        </w:tc>
        <w:tc>
          <w:tcPr>
            <w:tcW w:w="694" w:type="pct"/>
            <w:noWrap w:val="0"/>
            <w:vAlign w:val="center"/>
          </w:tcPr>
          <w:p w14:paraId="44DF40D6">
            <w:pPr>
              <w:pStyle w:val="29"/>
              <w:rPr>
                <w:rFonts w:hint="default" w:ascii="Times New Roman" w:hAnsi="Times New Roman" w:cs="Times New Roman"/>
                <w:color w:val="auto"/>
                <w:szCs w:val="24"/>
              </w:rPr>
            </w:pPr>
            <w:r>
              <w:rPr>
                <w:rFonts w:hint="default" w:ascii="Times New Roman" w:hAnsi="Times New Roman" w:cs="Times New Roman"/>
                <w:color w:val="auto"/>
                <w:szCs w:val="24"/>
              </w:rPr>
              <w:t>耕地</w:t>
            </w:r>
            <w:r>
              <w:rPr>
                <w:rFonts w:hint="default" w:ascii="Times New Roman" w:hAnsi="Times New Roman" w:cs="Times New Roman"/>
                <w:color w:val="auto"/>
                <w:lang w:val="en-US" w:eastAsia="zh-CN"/>
              </w:rPr>
              <w:t>（基本农田）</w:t>
            </w:r>
          </w:p>
        </w:tc>
        <w:tc>
          <w:tcPr>
            <w:tcW w:w="1332" w:type="pct"/>
            <w:noWrap w:val="0"/>
            <w:vAlign w:val="center"/>
          </w:tcPr>
          <w:p w14:paraId="6ADC3C1D">
            <w:pPr>
              <w:pStyle w:val="29"/>
              <w:rPr>
                <w:rFonts w:hint="default" w:ascii="Times New Roman" w:hAnsi="Times New Roman" w:cs="Times New Roman"/>
                <w:color w:val="auto"/>
                <w:szCs w:val="24"/>
              </w:rPr>
            </w:pPr>
            <w:r>
              <w:rPr>
                <w:rFonts w:hint="default" w:ascii="Times New Roman" w:hAnsi="Times New Roman" w:cs="Times New Roman"/>
                <w:color w:val="auto"/>
                <w:szCs w:val="24"/>
              </w:rPr>
              <w:t>永久占用耕地58.64hm²（含基本农田49.04hm²）；临时占用耕地5.43hm²（含基本农田3.51hm²）。</w:t>
            </w:r>
          </w:p>
        </w:tc>
        <w:tc>
          <w:tcPr>
            <w:tcW w:w="1557" w:type="pct"/>
            <w:noWrap w:val="0"/>
            <w:vAlign w:val="center"/>
          </w:tcPr>
          <w:p w14:paraId="11FE5271">
            <w:pPr>
              <w:pStyle w:val="29"/>
              <w:ind w:firstLine="0" w:firstLineChars="0"/>
              <w:rPr>
                <w:rFonts w:hint="default" w:ascii="Times New Roman" w:hAnsi="Times New Roman" w:cs="Times New Roman"/>
                <w:color w:val="auto"/>
                <w:szCs w:val="24"/>
              </w:rPr>
            </w:pPr>
            <w:r>
              <w:rPr>
                <w:rFonts w:hint="default" w:ascii="Times New Roman" w:hAnsi="Times New Roman" w:cs="Times New Roman"/>
                <w:color w:val="auto"/>
                <w:szCs w:val="24"/>
              </w:rPr>
              <w:t>调查永久占地的合规手续及补偿情况；调查临时占地的复垦效果。</w:t>
            </w:r>
          </w:p>
        </w:tc>
        <w:tc>
          <w:tcPr>
            <w:tcW w:w="1165" w:type="pct"/>
            <w:noWrap w:val="0"/>
            <w:vAlign w:val="center"/>
          </w:tcPr>
          <w:p w14:paraId="58C9531D">
            <w:pPr>
              <w:pStyle w:val="29"/>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已履行用地审批，</w:t>
            </w:r>
            <w:r>
              <w:rPr>
                <w:rFonts w:hint="default" w:ascii="Times New Roman" w:hAnsi="Times New Roman" w:cs="Times New Roman"/>
                <w:color w:val="auto"/>
                <w:lang w:val="en-US" w:eastAsia="zh-CN"/>
              </w:rPr>
              <w:t>临时占地</w:t>
            </w:r>
            <w:r>
              <w:rPr>
                <w:rFonts w:hint="eastAsia" w:ascii="Times New Roman" w:hAnsi="Times New Roman" w:cs="Times New Roman"/>
                <w:color w:val="auto"/>
                <w:lang w:val="en-US" w:eastAsia="zh-CN"/>
              </w:rPr>
              <w:t>已</w:t>
            </w:r>
            <w:r>
              <w:rPr>
                <w:rFonts w:hint="eastAsia" w:cs="Times New Roman"/>
                <w:color w:val="auto"/>
                <w:szCs w:val="24"/>
                <w:lang w:val="en-US" w:eastAsia="zh-CN"/>
              </w:rPr>
              <w:t>按要求完成恢复。</w:t>
            </w:r>
          </w:p>
        </w:tc>
      </w:tr>
      <w:tr w14:paraId="4F68F8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 w:type="pct"/>
            <w:noWrap w:val="0"/>
            <w:vAlign w:val="center"/>
          </w:tcPr>
          <w:p w14:paraId="1C2944CB">
            <w:pPr>
              <w:pStyle w:val="29"/>
              <w:rPr>
                <w:rFonts w:hint="default" w:ascii="Times New Roman" w:hAnsi="Times New Roman" w:cs="Times New Roman"/>
                <w:color w:val="auto"/>
                <w:szCs w:val="24"/>
              </w:rPr>
            </w:pPr>
            <w:r>
              <w:rPr>
                <w:rFonts w:hint="default" w:ascii="Times New Roman" w:hAnsi="Times New Roman" w:cs="Times New Roman"/>
                <w:color w:val="auto"/>
                <w:szCs w:val="24"/>
              </w:rPr>
              <w:t>2</w:t>
            </w:r>
          </w:p>
        </w:tc>
        <w:tc>
          <w:tcPr>
            <w:tcW w:w="694" w:type="pct"/>
            <w:noWrap w:val="0"/>
            <w:vAlign w:val="center"/>
          </w:tcPr>
          <w:p w14:paraId="2F71B2DE">
            <w:pPr>
              <w:pStyle w:val="29"/>
              <w:rPr>
                <w:rFonts w:hint="default" w:ascii="Times New Roman" w:hAnsi="Times New Roman" w:cs="Times New Roman"/>
                <w:color w:val="auto"/>
                <w:szCs w:val="24"/>
              </w:rPr>
            </w:pPr>
            <w:r>
              <w:rPr>
                <w:rFonts w:hint="default" w:ascii="Times New Roman" w:hAnsi="Times New Roman" w:cs="Times New Roman"/>
                <w:color w:val="auto"/>
                <w:szCs w:val="24"/>
              </w:rPr>
              <w:t>沿线植被及野生植被</w:t>
            </w:r>
          </w:p>
        </w:tc>
        <w:tc>
          <w:tcPr>
            <w:tcW w:w="1332" w:type="pct"/>
            <w:noWrap w:val="0"/>
            <w:vAlign w:val="center"/>
          </w:tcPr>
          <w:p w14:paraId="27D2F28F">
            <w:pPr>
              <w:pStyle w:val="29"/>
              <w:rPr>
                <w:rFonts w:hint="default" w:ascii="Times New Roman" w:hAnsi="Times New Roman" w:cs="Times New Roman"/>
                <w:color w:val="auto"/>
                <w:szCs w:val="24"/>
              </w:rPr>
            </w:pPr>
            <w:r>
              <w:rPr>
                <w:rFonts w:hint="default" w:ascii="Times New Roman" w:hAnsi="Times New Roman" w:cs="Times New Roman"/>
                <w:color w:val="auto"/>
                <w:szCs w:val="24"/>
              </w:rPr>
              <w:t>占用乔、竹林地约4.00hm²。</w:t>
            </w:r>
          </w:p>
        </w:tc>
        <w:tc>
          <w:tcPr>
            <w:tcW w:w="1557" w:type="pct"/>
            <w:noWrap w:val="0"/>
            <w:vAlign w:val="center"/>
          </w:tcPr>
          <w:p w14:paraId="6FEBD921">
            <w:pPr>
              <w:pStyle w:val="29"/>
              <w:ind w:firstLine="0" w:firstLineChars="0"/>
              <w:rPr>
                <w:rFonts w:hint="default" w:ascii="Times New Roman" w:hAnsi="Times New Roman" w:cs="Times New Roman"/>
                <w:color w:val="auto"/>
                <w:szCs w:val="24"/>
              </w:rPr>
            </w:pPr>
            <w:r>
              <w:rPr>
                <w:rFonts w:hint="default" w:ascii="Times New Roman" w:hAnsi="Times New Roman" w:cs="Times New Roman"/>
                <w:color w:val="auto"/>
                <w:szCs w:val="24"/>
              </w:rPr>
              <w:t>占用乔、竹林地约4.00hm²。</w:t>
            </w:r>
          </w:p>
        </w:tc>
        <w:tc>
          <w:tcPr>
            <w:tcW w:w="1165" w:type="pct"/>
            <w:shd w:val="clear" w:color="auto" w:fill="auto"/>
            <w:noWrap w:val="0"/>
            <w:vAlign w:val="center"/>
          </w:tcPr>
          <w:p w14:paraId="420E2B7A">
            <w:pPr>
              <w:pStyle w:val="29"/>
              <w:ind w:firstLine="0" w:firstLineChars="0"/>
              <w:rPr>
                <w:rFonts w:hint="default" w:ascii="Times New Roman" w:hAnsi="Times New Roman" w:eastAsia="宋体" w:cs="Times New Roman"/>
                <w:color w:val="auto"/>
                <w:kern w:val="2"/>
                <w:sz w:val="21"/>
                <w:szCs w:val="24"/>
                <w:lang w:val="en-US" w:eastAsia="zh-CN" w:bidi="ar-SA"/>
              </w:rPr>
            </w:pPr>
            <w:r>
              <w:rPr>
                <w:rFonts w:hint="eastAsia" w:cs="Times New Roman"/>
                <w:color w:val="auto"/>
                <w:szCs w:val="24"/>
                <w:lang w:val="en-US" w:eastAsia="zh-CN"/>
              </w:rPr>
              <w:t>与重新报批环评阶段一致，</w:t>
            </w:r>
            <w:r>
              <w:rPr>
                <w:rFonts w:hint="default" w:ascii="Times New Roman" w:hAnsi="Times New Roman" w:cs="Times New Roman"/>
                <w:color w:val="auto"/>
                <w:lang w:val="en-US" w:eastAsia="zh-CN"/>
              </w:rPr>
              <w:t>临时占地</w:t>
            </w:r>
            <w:r>
              <w:rPr>
                <w:rFonts w:hint="eastAsia" w:ascii="Times New Roman" w:hAnsi="Times New Roman" w:cs="Times New Roman"/>
                <w:color w:val="auto"/>
                <w:lang w:val="en-US" w:eastAsia="zh-CN"/>
              </w:rPr>
              <w:t>已</w:t>
            </w:r>
            <w:r>
              <w:rPr>
                <w:rFonts w:hint="eastAsia" w:cs="Times New Roman"/>
                <w:color w:val="auto"/>
                <w:szCs w:val="24"/>
                <w:lang w:val="en-US" w:eastAsia="zh-CN"/>
              </w:rPr>
              <w:t>按要求完成恢复。</w:t>
            </w:r>
          </w:p>
        </w:tc>
      </w:tr>
      <w:tr w14:paraId="0CA3B8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0" w:type="pct"/>
            <w:noWrap w:val="0"/>
            <w:vAlign w:val="center"/>
          </w:tcPr>
          <w:p w14:paraId="303B9F57">
            <w:pPr>
              <w:pStyle w:val="29"/>
              <w:rPr>
                <w:rFonts w:hint="eastAsia" w:ascii="Times New Roman" w:hAnsi="Times New Roman" w:eastAsia="宋体" w:cs="Times New Roman"/>
                <w:color w:val="auto"/>
                <w:szCs w:val="24"/>
                <w:lang w:eastAsia="zh-CN"/>
              </w:rPr>
            </w:pPr>
            <w:r>
              <w:rPr>
                <w:rFonts w:hint="eastAsia" w:cs="Times New Roman"/>
                <w:color w:val="auto"/>
                <w:szCs w:val="24"/>
                <w:lang w:val="en-US" w:eastAsia="zh-CN"/>
              </w:rPr>
              <w:t>3</w:t>
            </w:r>
          </w:p>
        </w:tc>
        <w:tc>
          <w:tcPr>
            <w:tcW w:w="694" w:type="pct"/>
            <w:noWrap w:val="0"/>
            <w:vAlign w:val="center"/>
          </w:tcPr>
          <w:p w14:paraId="7C356A50">
            <w:pPr>
              <w:pStyle w:val="29"/>
              <w:rPr>
                <w:rFonts w:hint="default" w:ascii="Times New Roman" w:hAnsi="Times New Roman" w:cs="Times New Roman"/>
                <w:color w:val="auto"/>
                <w:szCs w:val="24"/>
              </w:rPr>
            </w:pPr>
            <w:r>
              <w:rPr>
                <w:rFonts w:hint="default" w:ascii="Times New Roman" w:hAnsi="Times New Roman" w:cs="Times New Roman"/>
                <w:color w:val="auto"/>
                <w:szCs w:val="24"/>
              </w:rPr>
              <w:t>临时占地</w:t>
            </w:r>
          </w:p>
        </w:tc>
        <w:tc>
          <w:tcPr>
            <w:tcW w:w="1332" w:type="pct"/>
            <w:noWrap w:val="0"/>
            <w:vAlign w:val="center"/>
          </w:tcPr>
          <w:p w14:paraId="14BCC31B">
            <w:pPr>
              <w:pStyle w:val="29"/>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弃土场、施工便道等共5.64hm²。</w:t>
            </w:r>
          </w:p>
        </w:tc>
        <w:tc>
          <w:tcPr>
            <w:tcW w:w="1557" w:type="pct"/>
            <w:noWrap w:val="0"/>
            <w:vAlign w:val="center"/>
          </w:tcPr>
          <w:p w14:paraId="75D8BE4A">
            <w:pPr>
              <w:pStyle w:val="29"/>
              <w:ind w:firstLine="0" w:firstLineChars="0"/>
              <w:rPr>
                <w:rFonts w:hint="default" w:ascii="Times New Roman" w:hAnsi="Times New Roman" w:cs="Times New Roman"/>
                <w:color w:val="auto"/>
                <w:szCs w:val="24"/>
              </w:rPr>
            </w:pPr>
            <w:r>
              <w:rPr>
                <w:rFonts w:hint="default" w:ascii="Times New Roman" w:hAnsi="Times New Roman" w:cs="Times New Roman"/>
                <w:color w:val="auto"/>
                <w:szCs w:val="24"/>
              </w:rPr>
              <w:t>弃土场、施工便道等共5.64hm²。</w:t>
            </w:r>
          </w:p>
        </w:tc>
        <w:tc>
          <w:tcPr>
            <w:tcW w:w="1165" w:type="pct"/>
            <w:noWrap w:val="0"/>
            <w:vAlign w:val="center"/>
          </w:tcPr>
          <w:p w14:paraId="174A0E57">
            <w:pPr>
              <w:pStyle w:val="29"/>
              <w:rPr>
                <w:rFonts w:hint="default" w:ascii="Times New Roman" w:hAnsi="Times New Roman" w:eastAsia="宋体" w:cs="Times New Roman"/>
                <w:color w:val="auto"/>
                <w:szCs w:val="24"/>
                <w:vertAlign w:val="baseline"/>
                <w:lang w:val="en-US" w:eastAsia="zh-CN"/>
              </w:rPr>
            </w:pPr>
            <w:r>
              <w:rPr>
                <w:rFonts w:hint="eastAsia" w:cs="Times New Roman"/>
                <w:color w:val="auto"/>
                <w:szCs w:val="24"/>
                <w:lang w:val="en-US" w:eastAsia="zh-CN"/>
              </w:rPr>
              <w:t>与重新报批环评阶段一致，</w:t>
            </w:r>
            <w:r>
              <w:rPr>
                <w:rFonts w:hint="default" w:ascii="Times New Roman" w:hAnsi="Times New Roman" w:cs="Times New Roman"/>
                <w:color w:val="auto"/>
                <w:lang w:val="en-US" w:eastAsia="zh-CN"/>
              </w:rPr>
              <w:t>临时占地</w:t>
            </w:r>
            <w:r>
              <w:rPr>
                <w:rFonts w:hint="eastAsia" w:ascii="Times New Roman" w:hAnsi="Times New Roman" w:cs="Times New Roman"/>
                <w:color w:val="auto"/>
                <w:lang w:val="en-US" w:eastAsia="zh-CN"/>
              </w:rPr>
              <w:t>已</w:t>
            </w:r>
            <w:r>
              <w:rPr>
                <w:rFonts w:hint="eastAsia" w:cs="Times New Roman"/>
                <w:color w:val="auto"/>
                <w:szCs w:val="24"/>
                <w:lang w:val="en-US" w:eastAsia="zh-CN"/>
              </w:rPr>
              <w:t>按要求完成恢复。</w:t>
            </w:r>
          </w:p>
        </w:tc>
      </w:tr>
    </w:tbl>
    <w:p w14:paraId="2F7E9495">
      <w:pPr>
        <w:pStyle w:val="4"/>
        <w:numPr>
          <w:ilvl w:val="2"/>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1.6.2</w:t>
      </w:r>
      <w:r>
        <w:rPr>
          <w:rFonts w:hint="default" w:ascii="Times New Roman" w:hAnsi="Times New Roman" w:cs="Times New Roman"/>
          <w:color w:val="auto"/>
        </w:rPr>
        <w:t>水环境保护目标</w:t>
      </w:r>
    </w:p>
    <w:p w14:paraId="67D04DC8">
      <w:pPr>
        <w:ind w:firstLine="480"/>
        <w:rPr>
          <w:rFonts w:hint="eastAsia" w:cs="Times New Roman"/>
          <w:color w:val="auto"/>
          <w:kern w:val="0"/>
          <w:szCs w:val="24"/>
          <w:lang w:val="en-US" w:eastAsia="zh-CN"/>
        </w:rPr>
      </w:pPr>
      <w:r>
        <w:rPr>
          <w:rFonts w:hint="eastAsia" w:cs="Times New Roman"/>
          <w:color w:val="auto"/>
          <w:kern w:val="0"/>
          <w:szCs w:val="24"/>
          <w:lang w:val="en-US" w:eastAsia="zh-CN"/>
        </w:rPr>
        <w:t>项目公路沿线评价范围内涉及地表水主要有渠江一级支流代峨溪以及石庙子水库等；项目路线共涉及1座跨河桥梁（新桂大桥，中心桩号K71+465），主要跨越代峨溪，其跨河位置上游200m，下游1000m不涉及集中式饮用水源保护区、取水口；距道路主线中心线约280m外的重庆市合川区石庙子水库是一座以农业灌溉为主的中型水利工程，水库正常蓄水位280.5米，规划总库容1060万立方米，道路主线与水库高差约40m；匝道与水库最近距离约20m。根据《重庆市合川区人民政府关于调整石庙子水库规划使用功能的函》（见附件），石庙子水库原规划的饮用水源功能已取消。</w:t>
      </w:r>
    </w:p>
    <w:p w14:paraId="1E756DAB">
      <w:pPr>
        <w:ind w:firstLine="480"/>
        <w:rPr>
          <w:rFonts w:hint="default" w:ascii="Times New Roman" w:hAnsi="Times New Roman" w:cs="Times New Roman"/>
          <w:color w:val="auto"/>
          <w:kern w:val="0"/>
          <w:szCs w:val="24"/>
        </w:rPr>
        <w:sectPr>
          <w:pgSz w:w="11906" w:h="16838"/>
          <w:pgMar w:top="1440" w:right="1800" w:bottom="1440" w:left="1800" w:header="737" w:footer="992" w:gutter="0"/>
          <w:pgBorders>
            <w:top w:val="none" w:sz="0" w:space="0"/>
            <w:left w:val="none" w:sz="0" w:space="0"/>
            <w:bottom w:val="none" w:sz="0" w:space="0"/>
            <w:right w:val="none" w:sz="0" w:space="0"/>
          </w:pgBorders>
          <w:pgNumType w:fmt="decimal"/>
          <w:cols w:space="720" w:num="1"/>
          <w:docGrid w:type="linesAndChars" w:linePitch="326" w:charSpace="0"/>
        </w:sectPr>
      </w:pPr>
      <w:r>
        <w:rPr>
          <w:rFonts w:hint="eastAsia" w:cs="Times New Roman"/>
          <w:color w:val="auto"/>
          <w:kern w:val="0"/>
          <w:szCs w:val="24"/>
          <w:lang w:val="en-US" w:eastAsia="zh-CN"/>
        </w:rPr>
        <w:t>项目评价范围内不涉及集中式饮用水源保护区、集中式饮用水源取水口等地表水环境保护目标，项目地表水环境保护目标详见下表。</w:t>
      </w:r>
    </w:p>
    <w:p w14:paraId="76E36FAE">
      <w:pPr>
        <w:pStyle w:val="34"/>
        <w:keepNext w:val="0"/>
        <w:keepLines w:val="0"/>
        <w:pageBreakBefore w:val="0"/>
        <w:widowControl w:val="0"/>
        <w:kinsoku/>
        <w:wordWrap/>
        <w:overflowPunct/>
        <w:topLinePunct w:val="0"/>
        <w:autoSpaceDE/>
        <w:autoSpaceDN/>
        <w:bidi w:val="0"/>
        <w:adjustRightInd/>
        <w:snapToGrid/>
        <w:spacing w:before="192" w:beforeLines="50" w:line="240" w:lineRule="auto"/>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w:t>
      </w:r>
      <w:r>
        <w:rPr>
          <w:rFonts w:hint="eastAsia"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 xml:space="preserve">  </w:t>
      </w:r>
      <w:r>
        <w:rPr>
          <w:rFonts w:hint="eastAsia" w:ascii="Times New Roman" w:hAnsi="Times New Roman" w:eastAsia="宋体" w:cs="Times New Roman"/>
          <w:b/>
          <w:bCs/>
          <w:color w:val="auto"/>
          <w:sz w:val="24"/>
          <w:szCs w:val="24"/>
          <w:highlight w:val="none"/>
          <w:lang w:val="en-US" w:eastAsia="zh-CN"/>
        </w:rPr>
        <w:t>道路</w:t>
      </w:r>
      <w:r>
        <w:rPr>
          <w:rFonts w:hint="default" w:ascii="Times New Roman" w:hAnsi="Times New Roman" w:eastAsia="宋体" w:cs="Times New Roman"/>
          <w:b/>
          <w:bCs/>
          <w:color w:val="auto"/>
          <w:sz w:val="24"/>
          <w:szCs w:val="24"/>
          <w:highlight w:val="none"/>
        </w:rPr>
        <w:t>沿线地表水环境保护目标一览表</w:t>
      </w:r>
    </w:p>
    <w:tbl>
      <w:tblPr>
        <w:tblStyle w:val="20"/>
        <w:tblW w:w="4912"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69"/>
        <w:gridCol w:w="1085"/>
        <w:gridCol w:w="1307"/>
        <w:gridCol w:w="1494"/>
        <w:gridCol w:w="402"/>
        <w:gridCol w:w="1860"/>
        <w:gridCol w:w="1106"/>
        <w:gridCol w:w="1587"/>
        <w:gridCol w:w="1863"/>
        <w:gridCol w:w="859"/>
        <w:gridCol w:w="731"/>
        <w:gridCol w:w="966"/>
      </w:tblGrid>
      <w:tr w14:paraId="00AA12B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40" w:type="pct"/>
            <w:tcBorders>
              <w:top w:val="single" w:color="auto" w:sz="4" w:space="0"/>
              <w:left w:val="single" w:color="auto" w:sz="4" w:space="0"/>
              <w:bottom w:val="single" w:color="auto" w:sz="6" w:space="0"/>
              <w:right w:val="single" w:color="auto" w:sz="6" w:space="0"/>
            </w:tcBorders>
            <w:noWrap/>
            <w:vAlign w:val="center"/>
          </w:tcPr>
          <w:p w14:paraId="3A2DE4D3">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序号</w:t>
            </w:r>
          </w:p>
        </w:tc>
        <w:tc>
          <w:tcPr>
            <w:tcW w:w="389" w:type="pct"/>
            <w:tcBorders>
              <w:top w:val="single" w:color="auto" w:sz="4" w:space="0"/>
              <w:left w:val="single" w:color="auto" w:sz="6" w:space="0"/>
              <w:bottom w:val="single" w:color="auto" w:sz="6" w:space="0"/>
              <w:right w:val="single" w:color="auto" w:sz="6" w:space="0"/>
            </w:tcBorders>
            <w:noWrap w:val="0"/>
            <w:vAlign w:val="center"/>
          </w:tcPr>
          <w:p w14:paraId="44F073C8">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保护</w:t>
            </w:r>
          </w:p>
          <w:p w14:paraId="4911E003">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目标</w:t>
            </w:r>
          </w:p>
        </w:tc>
        <w:tc>
          <w:tcPr>
            <w:tcW w:w="469" w:type="pct"/>
            <w:tcBorders>
              <w:top w:val="single" w:color="auto" w:sz="4" w:space="0"/>
              <w:left w:val="single" w:color="auto" w:sz="6" w:space="0"/>
              <w:bottom w:val="single" w:color="auto" w:sz="6" w:space="0"/>
              <w:right w:val="single" w:color="auto" w:sz="6" w:space="0"/>
            </w:tcBorders>
            <w:noWrap/>
            <w:vAlign w:val="center"/>
          </w:tcPr>
          <w:p w14:paraId="2ADEB74D">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中心桩号</w:t>
            </w:r>
          </w:p>
        </w:tc>
        <w:tc>
          <w:tcPr>
            <w:tcW w:w="680" w:type="pct"/>
            <w:gridSpan w:val="2"/>
            <w:tcBorders>
              <w:top w:val="single" w:color="auto" w:sz="4" w:space="0"/>
              <w:left w:val="single" w:color="auto" w:sz="6" w:space="0"/>
              <w:bottom w:val="single" w:color="auto" w:sz="6" w:space="0"/>
              <w:right w:val="single" w:color="auto" w:sz="6" w:space="0"/>
            </w:tcBorders>
            <w:noWrap/>
            <w:vAlign w:val="center"/>
          </w:tcPr>
          <w:p w14:paraId="704FD0F0">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桥名</w:t>
            </w:r>
          </w:p>
        </w:tc>
        <w:tc>
          <w:tcPr>
            <w:tcW w:w="667" w:type="pct"/>
            <w:tcBorders>
              <w:top w:val="single" w:color="auto" w:sz="4" w:space="0"/>
              <w:left w:val="single" w:color="auto" w:sz="6" w:space="0"/>
              <w:bottom w:val="single" w:color="auto" w:sz="6" w:space="0"/>
              <w:right w:val="single" w:color="auto" w:sz="6" w:space="0"/>
            </w:tcBorders>
            <w:noWrap w:val="0"/>
            <w:vAlign w:val="center"/>
          </w:tcPr>
          <w:p w14:paraId="72FFB179">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孔数及跨径</w:t>
            </w:r>
          </w:p>
          <w:p w14:paraId="0789793B">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（孔-m）</w:t>
            </w:r>
          </w:p>
        </w:tc>
        <w:tc>
          <w:tcPr>
            <w:tcW w:w="397" w:type="pct"/>
            <w:tcBorders>
              <w:top w:val="single" w:color="auto" w:sz="4" w:space="0"/>
              <w:left w:val="single" w:color="auto" w:sz="6" w:space="0"/>
              <w:bottom w:val="single" w:color="auto" w:sz="6" w:space="0"/>
              <w:right w:val="single" w:color="auto" w:sz="6" w:space="0"/>
            </w:tcBorders>
            <w:noWrap w:val="0"/>
            <w:vAlign w:val="center"/>
          </w:tcPr>
          <w:p w14:paraId="5C08F4B4">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桥长</w:t>
            </w:r>
            <w:r>
              <w:rPr>
                <w:rFonts w:hint="eastAsia" w:cs="Times New Roman"/>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bidi="ar-SA"/>
              </w:rPr>
              <w:t>m</w:t>
            </w:r>
            <w:r>
              <w:rPr>
                <w:rFonts w:hint="eastAsia" w:cs="Times New Roman"/>
                <w:color w:val="auto"/>
                <w:sz w:val="21"/>
                <w:szCs w:val="21"/>
                <w:highlight w:val="none"/>
                <w:lang w:val="en-US" w:eastAsia="zh-CN" w:bidi="ar-SA"/>
              </w:rPr>
              <w:t>）</w:t>
            </w:r>
          </w:p>
        </w:tc>
        <w:tc>
          <w:tcPr>
            <w:tcW w:w="1238" w:type="pct"/>
            <w:gridSpan w:val="2"/>
            <w:tcBorders>
              <w:top w:val="single" w:color="auto" w:sz="4" w:space="0"/>
              <w:left w:val="single" w:color="auto" w:sz="6" w:space="0"/>
              <w:bottom w:val="single" w:color="auto" w:sz="6" w:space="0"/>
              <w:right w:val="single" w:color="auto" w:sz="6" w:space="0"/>
            </w:tcBorders>
            <w:noWrap w:val="0"/>
            <w:vAlign w:val="center"/>
          </w:tcPr>
          <w:p w14:paraId="42305F53">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环境特征</w:t>
            </w:r>
          </w:p>
        </w:tc>
        <w:tc>
          <w:tcPr>
            <w:tcW w:w="308" w:type="pct"/>
            <w:tcBorders>
              <w:top w:val="single" w:color="auto" w:sz="4" w:space="0"/>
              <w:left w:val="single" w:color="auto" w:sz="6" w:space="0"/>
              <w:bottom w:val="single" w:color="auto" w:sz="6" w:space="0"/>
              <w:right w:val="single" w:color="auto" w:sz="6" w:space="0"/>
            </w:tcBorders>
            <w:noWrap w:val="0"/>
            <w:vAlign w:val="center"/>
          </w:tcPr>
          <w:p w14:paraId="18599698">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水环境功能</w:t>
            </w:r>
          </w:p>
        </w:tc>
        <w:tc>
          <w:tcPr>
            <w:tcW w:w="262" w:type="pct"/>
            <w:tcBorders>
              <w:top w:val="single" w:color="auto" w:sz="4" w:space="0"/>
              <w:left w:val="single" w:color="auto" w:sz="6" w:space="0"/>
              <w:bottom w:val="single" w:color="auto" w:sz="6" w:space="0"/>
              <w:right w:val="single" w:color="auto" w:sz="4" w:space="0"/>
            </w:tcBorders>
            <w:noWrap w:val="0"/>
            <w:vAlign w:val="center"/>
          </w:tcPr>
          <w:p w14:paraId="0B06B5EE">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水质类别</w:t>
            </w:r>
          </w:p>
        </w:tc>
        <w:tc>
          <w:tcPr>
            <w:tcW w:w="346" w:type="pct"/>
            <w:tcBorders>
              <w:top w:val="single" w:color="auto" w:sz="4" w:space="0"/>
              <w:left w:val="single" w:color="auto" w:sz="6" w:space="0"/>
              <w:bottom w:val="single" w:color="auto" w:sz="6" w:space="0"/>
              <w:right w:val="single" w:color="auto" w:sz="4" w:space="0"/>
            </w:tcBorders>
            <w:noWrap w:val="0"/>
            <w:vAlign w:val="center"/>
          </w:tcPr>
          <w:p w14:paraId="64365FF2">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有无涉水桥墩</w:t>
            </w:r>
          </w:p>
        </w:tc>
      </w:tr>
      <w:tr w14:paraId="4D87777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2"/>
            <w:tcBorders>
              <w:top w:val="single" w:color="auto" w:sz="4" w:space="0"/>
              <w:left w:val="single" w:color="auto" w:sz="4" w:space="0"/>
              <w:bottom w:val="single" w:color="auto" w:sz="6" w:space="0"/>
              <w:right w:val="single" w:color="auto" w:sz="4" w:space="0"/>
            </w:tcBorders>
            <w:noWrap/>
            <w:vAlign w:val="center"/>
          </w:tcPr>
          <w:p w14:paraId="1FC6A63E">
            <w:pPr>
              <w:widowControl w:val="0"/>
              <w:spacing w:line="240" w:lineRule="auto"/>
              <w:ind w:firstLine="0" w:firstLineChars="0"/>
              <w:jc w:val="left"/>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bidi="ar-SA"/>
              </w:rPr>
              <w:t>一、河流</w:t>
            </w:r>
          </w:p>
        </w:tc>
      </w:tr>
      <w:tr w14:paraId="4D52E8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tcBorders>
              <w:top w:val="single" w:color="auto" w:sz="4" w:space="0"/>
              <w:left w:val="single" w:color="auto" w:sz="4" w:space="0"/>
              <w:bottom w:val="single" w:color="auto" w:sz="6" w:space="0"/>
              <w:right w:val="single" w:color="auto" w:sz="6" w:space="0"/>
            </w:tcBorders>
            <w:noWrap/>
            <w:vAlign w:val="center"/>
          </w:tcPr>
          <w:p w14:paraId="17C06188">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1</w:t>
            </w:r>
          </w:p>
        </w:tc>
        <w:tc>
          <w:tcPr>
            <w:tcW w:w="389" w:type="pct"/>
            <w:tcBorders>
              <w:top w:val="single" w:color="auto" w:sz="4" w:space="0"/>
              <w:left w:val="single" w:color="auto" w:sz="6" w:space="0"/>
              <w:bottom w:val="single" w:color="auto" w:sz="6" w:space="0"/>
              <w:right w:val="single" w:color="auto" w:sz="6" w:space="0"/>
            </w:tcBorders>
            <w:noWrap w:val="0"/>
            <w:vAlign w:val="center"/>
          </w:tcPr>
          <w:p w14:paraId="4546EBD4">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代峨溪</w:t>
            </w:r>
          </w:p>
        </w:tc>
        <w:tc>
          <w:tcPr>
            <w:tcW w:w="469" w:type="pct"/>
            <w:tcBorders>
              <w:top w:val="single" w:color="auto" w:sz="4" w:space="0"/>
              <w:left w:val="single" w:color="auto" w:sz="6" w:space="0"/>
              <w:bottom w:val="single" w:color="auto" w:sz="6" w:space="0"/>
              <w:right w:val="single" w:color="auto" w:sz="6" w:space="0"/>
            </w:tcBorders>
            <w:noWrap/>
            <w:vAlign w:val="center"/>
          </w:tcPr>
          <w:p w14:paraId="1948572C">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lang w:val="en-US" w:eastAsia="zh-CN"/>
              </w:rPr>
              <w:t>K71+465</w:t>
            </w:r>
          </w:p>
        </w:tc>
        <w:tc>
          <w:tcPr>
            <w:tcW w:w="680" w:type="pct"/>
            <w:gridSpan w:val="2"/>
            <w:tcBorders>
              <w:top w:val="single" w:color="auto" w:sz="4" w:space="0"/>
              <w:left w:val="single" w:color="auto" w:sz="6" w:space="0"/>
              <w:bottom w:val="single" w:color="auto" w:sz="6" w:space="0"/>
              <w:right w:val="single" w:color="auto" w:sz="6" w:space="0"/>
            </w:tcBorders>
            <w:noWrap/>
            <w:vAlign w:val="center"/>
          </w:tcPr>
          <w:p w14:paraId="7854127F">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pacing w:val="0"/>
                <w:w w:val="100"/>
                <w:kern w:val="0"/>
                <w:position w:val="0"/>
                <w:sz w:val="21"/>
                <w:szCs w:val="21"/>
                <w:lang w:val="en-US" w:eastAsia="zh-CN"/>
              </w:rPr>
              <w:t>新桂</w:t>
            </w:r>
            <w:r>
              <w:rPr>
                <w:rFonts w:hint="default" w:ascii="Times New Roman" w:hAnsi="Times New Roman" w:cs="Times New Roman"/>
                <w:color w:val="auto"/>
                <w:sz w:val="21"/>
                <w:szCs w:val="21"/>
                <w:highlight w:val="none"/>
                <w:lang w:val="en-US" w:eastAsia="zh-CN"/>
              </w:rPr>
              <w:t>大桥</w:t>
            </w:r>
          </w:p>
        </w:tc>
        <w:tc>
          <w:tcPr>
            <w:tcW w:w="667" w:type="pct"/>
            <w:tcBorders>
              <w:top w:val="single" w:color="auto" w:sz="4" w:space="0"/>
              <w:left w:val="single" w:color="auto" w:sz="6" w:space="0"/>
              <w:bottom w:val="single" w:color="auto" w:sz="6" w:space="0"/>
              <w:right w:val="single" w:color="auto" w:sz="6" w:space="0"/>
            </w:tcBorders>
            <w:noWrap w:val="0"/>
            <w:vAlign w:val="center"/>
          </w:tcPr>
          <w:p w14:paraId="29589D75">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5×20</w:t>
            </w:r>
          </w:p>
        </w:tc>
        <w:tc>
          <w:tcPr>
            <w:tcW w:w="397" w:type="pct"/>
            <w:tcBorders>
              <w:top w:val="single" w:color="auto" w:sz="4" w:space="0"/>
              <w:left w:val="single" w:color="auto" w:sz="6" w:space="0"/>
              <w:bottom w:val="single" w:color="auto" w:sz="6" w:space="0"/>
              <w:right w:val="single" w:color="auto" w:sz="6" w:space="0"/>
            </w:tcBorders>
            <w:noWrap w:val="0"/>
            <w:vAlign w:val="center"/>
          </w:tcPr>
          <w:p w14:paraId="679443D8">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106.5</w:t>
            </w:r>
          </w:p>
        </w:tc>
        <w:tc>
          <w:tcPr>
            <w:tcW w:w="1238" w:type="pct"/>
            <w:gridSpan w:val="2"/>
            <w:tcBorders>
              <w:top w:val="single" w:color="auto" w:sz="4" w:space="0"/>
              <w:left w:val="single" w:color="auto" w:sz="6" w:space="0"/>
              <w:bottom w:val="single" w:color="auto" w:sz="6" w:space="0"/>
              <w:right w:val="single" w:color="auto" w:sz="6" w:space="0"/>
            </w:tcBorders>
            <w:noWrap w:val="0"/>
            <w:vAlign w:val="center"/>
          </w:tcPr>
          <w:p w14:paraId="46EEBAD3">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河宽约3</w:t>
            </w:r>
            <w:r>
              <w:rPr>
                <w:rFonts w:hint="eastAsia" w:cs="Times New Roman"/>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bidi="ar-SA"/>
              </w:rPr>
              <w:t>6m，河水流量较小</w:t>
            </w:r>
            <w:r>
              <w:rPr>
                <w:rFonts w:hint="default" w:ascii="Times New Roman" w:hAnsi="Times New Roman" w:cs="Times New Roman"/>
                <w:color w:val="auto"/>
                <w:sz w:val="21"/>
                <w:szCs w:val="21"/>
                <w:highlight w:val="none"/>
                <w:lang w:val="en-US" w:eastAsia="zh-CN" w:bidi="ar-SA"/>
              </w:rPr>
              <w:t>。</w:t>
            </w:r>
          </w:p>
        </w:tc>
        <w:tc>
          <w:tcPr>
            <w:tcW w:w="308" w:type="pct"/>
            <w:tcBorders>
              <w:top w:val="single" w:color="auto" w:sz="4" w:space="0"/>
              <w:left w:val="single" w:color="auto" w:sz="6" w:space="0"/>
              <w:bottom w:val="single" w:color="auto" w:sz="6" w:space="0"/>
              <w:right w:val="single" w:color="auto" w:sz="6" w:space="0"/>
            </w:tcBorders>
            <w:noWrap w:val="0"/>
            <w:vAlign w:val="center"/>
          </w:tcPr>
          <w:p w14:paraId="40B65C27">
            <w:pPr>
              <w:pStyle w:val="35"/>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农业</w:t>
            </w:r>
          </w:p>
          <w:p w14:paraId="59B0A8CB">
            <w:pPr>
              <w:pStyle w:val="35"/>
              <w:ind w:firstLine="0" w:firstLineChars="0"/>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用水</w:t>
            </w:r>
          </w:p>
        </w:tc>
        <w:tc>
          <w:tcPr>
            <w:tcW w:w="262" w:type="pct"/>
            <w:tcBorders>
              <w:top w:val="single" w:color="auto" w:sz="4" w:space="0"/>
              <w:left w:val="single" w:color="auto" w:sz="6" w:space="0"/>
              <w:bottom w:val="single" w:color="auto" w:sz="6" w:space="0"/>
              <w:right w:val="single" w:color="auto" w:sz="4" w:space="0"/>
            </w:tcBorders>
            <w:noWrap w:val="0"/>
            <w:vAlign w:val="center"/>
          </w:tcPr>
          <w:p w14:paraId="0F94A528">
            <w:pPr>
              <w:pStyle w:val="35"/>
              <w:ind w:firstLine="0" w:firstLineChars="0"/>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参照</w:t>
            </w:r>
            <w:r>
              <w:rPr>
                <w:rFonts w:hint="default" w:ascii="Times New Roman" w:hAnsi="Times New Roman" w:cs="Times New Roman"/>
                <w:color w:val="auto"/>
                <w:sz w:val="21"/>
                <w:szCs w:val="21"/>
                <w:highlight w:val="none"/>
              </w:rPr>
              <w:t>Ⅲ类</w:t>
            </w:r>
          </w:p>
        </w:tc>
        <w:tc>
          <w:tcPr>
            <w:tcW w:w="346" w:type="pct"/>
            <w:tcBorders>
              <w:top w:val="single" w:color="auto" w:sz="4" w:space="0"/>
              <w:left w:val="single" w:color="auto" w:sz="6" w:space="0"/>
              <w:bottom w:val="single" w:color="auto" w:sz="6" w:space="0"/>
              <w:right w:val="single" w:color="auto" w:sz="4" w:space="0"/>
            </w:tcBorders>
            <w:noWrap w:val="0"/>
            <w:vAlign w:val="center"/>
          </w:tcPr>
          <w:p w14:paraId="149D5FF2">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无</w:t>
            </w:r>
          </w:p>
        </w:tc>
      </w:tr>
      <w:tr w14:paraId="5D57A3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12"/>
            <w:tcBorders>
              <w:top w:val="single" w:color="auto" w:sz="4" w:space="0"/>
              <w:left w:val="single" w:color="auto" w:sz="4" w:space="0"/>
              <w:bottom w:val="single" w:color="auto" w:sz="6" w:space="0"/>
              <w:right w:val="single" w:color="auto" w:sz="4" w:space="0"/>
            </w:tcBorders>
            <w:noWrap/>
            <w:vAlign w:val="center"/>
          </w:tcPr>
          <w:p w14:paraId="334F2866">
            <w:pPr>
              <w:widowControl w:val="0"/>
              <w:spacing w:line="240" w:lineRule="auto"/>
              <w:ind w:firstLine="0" w:firstLineChars="0"/>
              <w:jc w:val="left"/>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bidi="ar-SA"/>
              </w:rPr>
              <w:t>二、水库</w:t>
            </w:r>
          </w:p>
        </w:tc>
      </w:tr>
      <w:tr w14:paraId="3EB648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tcBorders>
              <w:left w:val="single" w:color="auto" w:sz="4" w:space="0"/>
              <w:bottom w:val="single" w:color="auto" w:sz="6" w:space="0"/>
              <w:right w:val="single" w:color="auto" w:sz="6" w:space="0"/>
            </w:tcBorders>
            <w:noWrap/>
            <w:vAlign w:val="center"/>
          </w:tcPr>
          <w:p w14:paraId="1D0B5590">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2</w:t>
            </w:r>
          </w:p>
        </w:tc>
        <w:tc>
          <w:tcPr>
            <w:tcW w:w="389" w:type="pct"/>
            <w:tcBorders>
              <w:left w:val="single" w:color="auto" w:sz="6" w:space="0"/>
              <w:bottom w:val="single" w:color="auto" w:sz="6" w:space="0"/>
              <w:right w:val="single" w:color="auto" w:sz="6" w:space="0"/>
            </w:tcBorders>
            <w:noWrap w:val="0"/>
            <w:vAlign w:val="center"/>
          </w:tcPr>
          <w:p w14:paraId="7E60735A">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团结水库</w:t>
            </w:r>
          </w:p>
        </w:tc>
        <w:tc>
          <w:tcPr>
            <w:tcW w:w="2214" w:type="pct"/>
            <w:gridSpan w:val="5"/>
            <w:tcBorders>
              <w:top w:val="single" w:color="auto" w:sz="4" w:space="0"/>
              <w:left w:val="single" w:color="auto" w:sz="6" w:space="0"/>
              <w:bottom w:val="single" w:color="auto" w:sz="6" w:space="0"/>
              <w:right w:val="single" w:color="auto" w:sz="6" w:space="0"/>
            </w:tcBorders>
            <w:noWrap/>
            <w:vAlign w:val="center"/>
          </w:tcPr>
          <w:p w14:paraId="1FA9EB6B">
            <w:pPr>
              <w:widowControl w:val="0"/>
              <w:spacing w:line="240" w:lineRule="auto"/>
              <w:ind w:firstLine="0" w:firstLineChars="0"/>
              <w:jc w:val="left"/>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lang w:val="en-US" w:eastAsia="zh-CN"/>
              </w:rPr>
              <w:t>K77+138右</w:t>
            </w:r>
            <w:r>
              <w:rPr>
                <w:rFonts w:hint="default" w:ascii="Times New Roman" w:hAnsi="Times New Roman" w:eastAsia="宋体" w:cs="Times New Roman"/>
                <w:color w:val="auto"/>
                <w:sz w:val="21"/>
                <w:szCs w:val="21"/>
                <w:highlight w:val="none"/>
                <w:lang w:val="en-US" w:eastAsia="zh-CN" w:bidi="en-US"/>
              </w:rPr>
              <w:t>侧</w:t>
            </w:r>
            <w:r>
              <w:rPr>
                <w:rFonts w:hint="eastAsia" w:cs="Times New Roman"/>
                <w:color w:val="auto"/>
                <w:sz w:val="21"/>
                <w:szCs w:val="21"/>
                <w:highlight w:val="none"/>
                <w:lang w:val="en-US" w:eastAsia="zh-CN" w:bidi="en-US"/>
              </w:rPr>
              <w:t>，道</w:t>
            </w:r>
            <w:r>
              <w:rPr>
                <w:rFonts w:hint="default" w:ascii="Times New Roman" w:hAnsi="Times New Roman" w:eastAsia="宋体" w:cs="Times New Roman"/>
                <w:color w:val="auto"/>
                <w:sz w:val="21"/>
                <w:szCs w:val="21"/>
                <w:highlight w:val="none"/>
                <w:lang w:val="en-US" w:eastAsia="zh-CN" w:bidi="en-US"/>
              </w:rPr>
              <w:t>路中心线距离水域水库及大坝约</w:t>
            </w:r>
            <w:r>
              <w:rPr>
                <w:rFonts w:hint="default" w:ascii="Times New Roman" w:hAnsi="Times New Roman" w:cs="Times New Roman"/>
                <w:color w:val="auto"/>
                <w:sz w:val="21"/>
                <w:szCs w:val="21"/>
                <w:highlight w:val="none"/>
                <w:lang w:val="en-US" w:eastAsia="zh-CN" w:bidi="en-US"/>
              </w:rPr>
              <w:t>375</w:t>
            </w:r>
            <w:r>
              <w:rPr>
                <w:rFonts w:hint="default" w:ascii="Times New Roman" w:hAnsi="Times New Roman" w:eastAsia="宋体" w:cs="Times New Roman"/>
                <w:color w:val="auto"/>
                <w:sz w:val="21"/>
                <w:szCs w:val="21"/>
                <w:highlight w:val="none"/>
                <w:lang w:val="en-US" w:eastAsia="zh-CN" w:bidi="en-US"/>
              </w:rPr>
              <w:t>m</w:t>
            </w:r>
            <w:r>
              <w:rPr>
                <w:rFonts w:hint="eastAsia" w:ascii="Times New Roman" w:hAnsi="Times New Roman" w:eastAsia="宋体" w:cs="Times New Roman"/>
                <w:color w:val="auto"/>
                <w:sz w:val="21"/>
                <w:szCs w:val="21"/>
                <w:highlight w:val="none"/>
                <w:lang w:val="en-US" w:eastAsia="zh-CN" w:bidi="en-US"/>
              </w:rPr>
              <w:t>，道路中心线</w:t>
            </w:r>
            <w:r>
              <w:rPr>
                <w:rFonts w:hint="eastAsia" w:ascii="Times New Roman" w:hAnsi="Times New Roman" w:cs="Times New Roman"/>
                <w:color w:val="auto"/>
                <w:sz w:val="21"/>
                <w:szCs w:val="21"/>
                <w:lang w:val="en-US" w:eastAsia="zh-CN"/>
              </w:rPr>
              <w:t>与水库高差约-12m</w:t>
            </w:r>
            <w:r>
              <w:rPr>
                <w:rFonts w:hint="default" w:ascii="Times New Roman" w:hAnsi="Times New Roman" w:eastAsia="宋体" w:cs="Times New Roman"/>
                <w:color w:val="auto"/>
                <w:sz w:val="21"/>
                <w:szCs w:val="21"/>
                <w:highlight w:val="none"/>
                <w:lang w:val="en-US" w:eastAsia="zh-CN" w:bidi="en-US"/>
              </w:rPr>
              <w:t>。</w:t>
            </w:r>
          </w:p>
        </w:tc>
        <w:tc>
          <w:tcPr>
            <w:tcW w:w="1238" w:type="pct"/>
            <w:gridSpan w:val="2"/>
            <w:tcBorders>
              <w:top w:val="single" w:color="auto" w:sz="4" w:space="0"/>
              <w:left w:val="single" w:color="auto" w:sz="6" w:space="0"/>
              <w:bottom w:val="single" w:color="auto" w:sz="6" w:space="0"/>
              <w:right w:val="single" w:color="auto" w:sz="6" w:space="0"/>
            </w:tcBorders>
            <w:noWrap w:val="0"/>
            <w:vAlign w:val="center"/>
          </w:tcPr>
          <w:p w14:paraId="2300DACF">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小二型水库，主要功能为农业灌溉。</w:t>
            </w:r>
          </w:p>
        </w:tc>
        <w:tc>
          <w:tcPr>
            <w:tcW w:w="308" w:type="pct"/>
            <w:tcBorders>
              <w:top w:val="single" w:color="auto" w:sz="4" w:space="0"/>
              <w:left w:val="single" w:color="auto" w:sz="6" w:space="0"/>
              <w:bottom w:val="single" w:color="auto" w:sz="6" w:space="0"/>
              <w:right w:val="single" w:color="auto" w:sz="6" w:space="0"/>
            </w:tcBorders>
            <w:noWrap w:val="0"/>
            <w:vAlign w:val="center"/>
          </w:tcPr>
          <w:p w14:paraId="19D33ABE">
            <w:pPr>
              <w:pStyle w:val="35"/>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农业</w:t>
            </w:r>
          </w:p>
          <w:p w14:paraId="4CA104BF">
            <w:pPr>
              <w:pStyle w:val="35"/>
              <w:ind w:firstLine="0" w:firstLineChars="0"/>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用水</w:t>
            </w:r>
          </w:p>
        </w:tc>
        <w:tc>
          <w:tcPr>
            <w:tcW w:w="262" w:type="pct"/>
            <w:tcBorders>
              <w:top w:val="single" w:color="auto" w:sz="4" w:space="0"/>
              <w:left w:val="single" w:color="auto" w:sz="6" w:space="0"/>
              <w:bottom w:val="single" w:color="auto" w:sz="6" w:space="0"/>
              <w:right w:val="single" w:color="auto" w:sz="4" w:space="0"/>
            </w:tcBorders>
            <w:noWrap w:val="0"/>
            <w:vAlign w:val="center"/>
          </w:tcPr>
          <w:p w14:paraId="4E9C9B93">
            <w:pPr>
              <w:pStyle w:val="35"/>
              <w:ind w:firstLine="0" w:firstLineChars="0"/>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参照</w:t>
            </w:r>
            <w:r>
              <w:rPr>
                <w:rFonts w:hint="default" w:ascii="Times New Roman" w:hAnsi="Times New Roman" w:cs="Times New Roman"/>
                <w:color w:val="auto"/>
                <w:sz w:val="21"/>
                <w:szCs w:val="21"/>
                <w:highlight w:val="none"/>
              </w:rPr>
              <w:t>Ⅲ类</w:t>
            </w:r>
          </w:p>
        </w:tc>
        <w:tc>
          <w:tcPr>
            <w:tcW w:w="346" w:type="pct"/>
            <w:tcBorders>
              <w:top w:val="single" w:color="auto" w:sz="4" w:space="0"/>
              <w:left w:val="single" w:color="auto" w:sz="6" w:space="0"/>
              <w:bottom w:val="single" w:color="auto" w:sz="6" w:space="0"/>
              <w:right w:val="single" w:color="auto" w:sz="4" w:space="0"/>
            </w:tcBorders>
            <w:noWrap w:val="0"/>
            <w:vAlign w:val="center"/>
          </w:tcPr>
          <w:p w14:paraId="32F8534D">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无</w:t>
            </w:r>
          </w:p>
        </w:tc>
      </w:tr>
      <w:tr w14:paraId="03C632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0" w:type="pct"/>
            <w:tcBorders>
              <w:top w:val="single" w:color="auto" w:sz="4" w:space="0"/>
              <w:left w:val="single" w:color="auto" w:sz="4" w:space="0"/>
              <w:bottom w:val="single" w:color="auto" w:sz="6" w:space="0"/>
              <w:right w:val="single" w:color="auto" w:sz="6" w:space="0"/>
            </w:tcBorders>
            <w:noWrap/>
            <w:vAlign w:val="center"/>
          </w:tcPr>
          <w:p w14:paraId="1272C74E">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3</w:t>
            </w:r>
          </w:p>
        </w:tc>
        <w:tc>
          <w:tcPr>
            <w:tcW w:w="389" w:type="pct"/>
            <w:tcBorders>
              <w:top w:val="single" w:color="auto" w:sz="4" w:space="0"/>
              <w:left w:val="single" w:color="auto" w:sz="6" w:space="0"/>
              <w:bottom w:val="single" w:color="auto" w:sz="6" w:space="0"/>
              <w:right w:val="single" w:color="auto" w:sz="6" w:space="0"/>
            </w:tcBorders>
            <w:noWrap w:val="0"/>
            <w:vAlign w:val="center"/>
          </w:tcPr>
          <w:p w14:paraId="3FEBD992">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石庙子</w:t>
            </w:r>
          </w:p>
          <w:p w14:paraId="2812E7E4">
            <w:pPr>
              <w:widowControl w:val="0"/>
              <w:spacing w:line="240" w:lineRule="auto"/>
              <w:ind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水库</w:t>
            </w:r>
          </w:p>
        </w:tc>
        <w:tc>
          <w:tcPr>
            <w:tcW w:w="2214" w:type="pct"/>
            <w:gridSpan w:val="5"/>
            <w:tcBorders>
              <w:top w:val="single" w:color="auto" w:sz="4" w:space="0"/>
              <w:left w:val="single" w:color="auto" w:sz="6" w:space="0"/>
              <w:bottom w:val="single" w:color="auto" w:sz="6" w:space="0"/>
              <w:right w:val="single" w:color="auto" w:sz="6" w:space="0"/>
            </w:tcBorders>
            <w:noWrap/>
            <w:vAlign w:val="center"/>
          </w:tcPr>
          <w:p w14:paraId="12F4B939">
            <w:pPr>
              <w:widowControl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en-US"/>
              </w:rPr>
              <w:t>小沔枢纽互通A匝道AK1+232.451左侧，</w:t>
            </w:r>
            <w:r>
              <w:rPr>
                <w:rFonts w:hint="eastAsia" w:ascii="Times New Roman" w:hAnsi="Times New Roman" w:cs="Times New Roman"/>
                <w:color w:val="auto"/>
                <w:sz w:val="21"/>
                <w:szCs w:val="21"/>
                <w:highlight w:val="none"/>
                <w:lang w:val="en-US" w:eastAsia="zh-CN" w:bidi="en-US"/>
              </w:rPr>
              <w:t>道</w:t>
            </w:r>
            <w:r>
              <w:rPr>
                <w:rFonts w:hint="default" w:ascii="Times New Roman" w:hAnsi="Times New Roman" w:eastAsia="宋体" w:cs="Times New Roman"/>
                <w:color w:val="auto"/>
                <w:sz w:val="21"/>
                <w:szCs w:val="21"/>
                <w:highlight w:val="none"/>
                <w:lang w:val="en-US" w:eastAsia="zh-CN" w:bidi="en-US"/>
              </w:rPr>
              <w:t>路</w:t>
            </w:r>
            <w:r>
              <w:rPr>
                <w:rFonts w:hint="eastAsia" w:ascii="Times New Roman" w:hAnsi="Times New Roman" w:eastAsia="宋体" w:cs="Times New Roman"/>
                <w:color w:val="auto"/>
                <w:sz w:val="21"/>
                <w:szCs w:val="21"/>
                <w:highlight w:val="none"/>
                <w:lang w:val="en-US" w:eastAsia="zh-CN" w:bidi="en-US"/>
              </w:rPr>
              <w:t>主线</w:t>
            </w:r>
            <w:r>
              <w:rPr>
                <w:rFonts w:hint="default" w:ascii="Times New Roman" w:hAnsi="Times New Roman" w:eastAsia="宋体" w:cs="Times New Roman"/>
                <w:color w:val="auto"/>
                <w:sz w:val="21"/>
                <w:szCs w:val="21"/>
                <w:highlight w:val="none"/>
                <w:lang w:val="en-US" w:eastAsia="zh-CN" w:bidi="en-US"/>
              </w:rPr>
              <w:t>中心线距离水域最近距离</w:t>
            </w:r>
            <w:r>
              <w:rPr>
                <w:rFonts w:hint="default" w:ascii="Times New Roman" w:hAnsi="Times New Roman" w:cs="Times New Roman"/>
                <w:color w:val="auto"/>
                <w:sz w:val="21"/>
                <w:szCs w:val="21"/>
                <w:highlight w:val="none"/>
                <w:lang w:val="en-US" w:eastAsia="zh-CN" w:bidi="en-US"/>
              </w:rPr>
              <w:t>约280</w:t>
            </w:r>
            <w:r>
              <w:rPr>
                <w:rFonts w:hint="default" w:ascii="Times New Roman" w:hAnsi="Times New Roman" w:eastAsia="宋体" w:cs="Times New Roman"/>
                <w:color w:val="auto"/>
                <w:sz w:val="21"/>
                <w:szCs w:val="21"/>
                <w:highlight w:val="none"/>
                <w:lang w:val="en-US" w:eastAsia="zh-CN" w:bidi="en-US"/>
              </w:rPr>
              <w:t>m，距离水库大坝约</w:t>
            </w:r>
            <w:r>
              <w:rPr>
                <w:rFonts w:hint="default" w:ascii="Times New Roman" w:hAnsi="Times New Roman" w:cs="Times New Roman"/>
                <w:color w:val="auto"/>
                <w:sz w:val="21"/>
                <w:szCs w:val="21"/>
                <w:highlight w:val="none"/>
                <w:lang w:val="en-US" w:eastAsia="zh-CN" w:bidi="en-US"/>
              </w:rPr>
              <w:t>710</w:t>
            </w:r>
            <w:r>
              <w:rPr>
                <w:rFonts w:hint="default" w:ascii="Times New Roman" w:hAnsi="Times New Roman" w:eastAsia="宋体" w:cs="Times New Roman"/>
                <w:color w:val="auto"/>
                <w:sz w:val="21"/>
                <w:szCs w:val="21"/>
                <w:highlight w:val="none"/>
                <w:lang w:val="en-US" w:eastAsia="zh-CN" w:bidi="en-US"/>
              </w:rPr>
              <w:t>m</w:t>
            </w:r>
            <w:r>
              <w:rPr>
                <w:rFonts w:hint="eastAsia" w:ascii="Times New Roman" w:hAnsi="Times New Roman" w:eastAsia="宋体" w:cs="Times New Roman"/>
                <w:color w:val="auto"/>
                <w:sz w:val="21"/>
                <w:szCs w:val="21"/>
                <w:highlight w:val="none"/>
                <w:lang w:val="en-US" w:eastAsia="zh-CN" w:bidi="en-US"/>
              </w:rPr>
              <w:t>，道路主线中心线</w:t>
            </w:r>
            <w:r>
              <w:rPr>
                <w:rFonts w:hint="eastAsia" w:ascii="Times New Roman" w:hAnsi="Times New Roman" w:cs="Times New Roman"/>
                <w:color w:val="auto"/>
                <w:sz w:val="21"/>
                <w:szCs w:val="21"/>
                <w:lang w:val="en-US" w:eastAsia="zh-CN"/>
              </w:rPr>
              <w:t>与水库高差约40m；匝道与水库最近距离约20m</w:t>
            </w:r>
            <w:r>
              <w:rPr>
                <w:rFonts w:hint="default" w:ascii="Times New Roman" w:hAnsi="Times New Roman" w:eastAsia="宋体" w:cs="Times New Roman"/>
                <w:color w:val="auto"/>
                <w:sz w:val="21"/>
                <w:szCs w:val="21"/>
                <w:highlight w:val="none"/>
                <w:lang w:val="en-US" w:eastAsia="zh-CN" w:bidi="en-US"/>
              </w:rPr>
              <w:t>。</w:t>
            </w:r>
          </w:p>
        </w:tc>
        <w:tc>
          <w:tcPr>
            <w:tcW w:w="1238" w:type="pct"/>
            <w:gridSpan w:val="2"/>
            <w:tcBorders>
              <w:top w:val="single" w:color="auto" w:sz="4" w:space="0"/>
              <w:left w:val="single" w:color="auto" w:sz="6" w:space="0"/>
              <w:bottom w:val="single" w:color="auto" w:sz="6" w:space="0"/>
              <w:right w:val="single" w:color="auto" w:sz="6" w:space="0"/>
            </w:tcBorders>
            <w:noWrap w:val="0"/>
            <w:vAlign w:val="center"/>
          </w:tcPr>
          <w:p w14:paraId="4CEE4188">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Ⅲ等中型水库，主要功能为农业灌溉。</w:t>
            </w:r>
          </w:p>
        </w:tc>
        <w:tc>
          <w:tcPr>
            <w:tcW w:w="308" w:type="pct"/>
            <w:tcBorders>
              <w:top w:val="single" w:color="auto" w:sz="4" w:space="0"/>
              <w:left w:val="single" w:color="auto" w:sz="6" w:space="0"/>
              <w:bottom w:val="single" w:color="auto" w:sz="6" w:space="0"/>
              <w:right w:val="single" w:color="auto" w:sz="6" w:space="0"/>
            </w:tcBorders>
            <w:noWrap w:val="0"/>
            <w:vAlign w:val="center"/>
          </w:tcPr>
          <w:p w14:paraId="27F83FB1">
            <w:pPr>
              <w:pStyle w:val="35"/>
              <w:ind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农业</w:t>
            </w:r>
          </w:p>
          <w:p w14:paraId="14190AE1">
            <w:pPr>
              <w:pStyle w:val="35"/>
              <w:ind w:firstLine="0" w:firstLineChars="0"/>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用水</w:t>
            </w:r>
          </w:p>
        </w:tc>
        <w:tc>
          <w:tcPr>
            <w:tcW w:w="262" w:type="pct"/>
            <w:tcBorders>
              <w:top w:val="single" w:color="auto" w:sz="4" w:space="0"/>
              <w:left w:val="single" w:color="auto" w:sz="6" w:space="0"/>
              <w:bottom w:val="single" w:color="auto" w:sz="6" w:space="0"/>
              <w:right w:val="single" w:color="auto" w:sz="4" w:space="0"/>
            </w:tcBorders>
            <w:noWrap w:val="0"/>
            <w:vAlign w:val="center"/>
          </w:tcPr>
          <w:p w14:paraId="1BF06937">
            <w:pPr>
              <w:pStyle w:val="35"/>
              <w:ind w:firstLine="0" w:firstLineChars="0"/>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参照</w:t>
            </w:r>
            <w:r>
              <w:rPr>
                <w:rFonts w:hint="default" w:ascii="Times New Roman" w:hAnsi="Times New Roman" w:cs="Times New Roman"/>
                <w:color w:val="auto"/>
                <w:sz w:val="21"/>
                <w:szCs w:val="21"/>
                <w:highlight w:val="none"/>
              </w:rPr>
              <w:t>Ⅲ类</w:t>
            </w:r>
          </w:p>
        </w:tc>
        <w:tc>
          <w:tcPr>
            <w:tcW w:w="346" w:type="pct"/>
            <w:tcBorders>
              <w:top w:val="single" w:color="auto" w:sz="4" w:space="0"/>
              <w:left w:val="single" w:color="auto" w:sz="6" w:space="0"/>
              <w:bottom w:val="single" w:color="auto" w:sz="6" w:space="0"/>
              <w:right w:val="single" w:color="auto" w:sz="4" w:space="0"/>
            </w:tcBorders>
            <w:noWrap w:val="0"/>
            <w:vAlign w:val="center"/>
          </w:tcPr>
          <w:p w14:paraId="405E6907">
            <w:pPr>
              <w:widowControl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无</w:t>
            </w:r>
          </w:p>
        </w:tc>
      </w:tr>
      <w:tr w14:paraId="45076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1635" w:type="pct"/>
            <w:gridSpan w:val="4"/>
            <w:tcBorders>
              <w:top w:val="single" w:color="auto" w:sz="4" w:space="0"/>
              <w:left w:val="single" w:color="auto" w:sz="4" w:space="0"/>
              <w:bottom w:val="single" w:color="auto" w:sz="4" w:space="0"/>
              <w:right w:val="single" w:color="auto" w:sz="4" w:space="0"/>
            </w:tcBorders>
            <w:noWrap w:val="0"/>
            <w:vAlign w:val="center"/>
          </w:tcPr>
          <w:p w14:paraId="1E761EAE">
            <w:pPr>
              <w:pStyle w:val="35"/>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highlight w:val="none"/>
                <w:lang w:val="en-US" w:eastAsia="zh-CN"/>
              </w:rPr>
            </w:pPr>
            <w:r>
              <w:rPr>
                <w:rFonts w:hint="eastAsia"/>
                <w:color w:val="auto"/>
                <w:highlight w:val="none"/>
                <w:lang w:val="en-US" w:eastAsia="zh-CN"/>
              </w:rPr>
              <w:t xml:space="preserve"> </w:t>
            </w:r>
            <w:r>
              <w:rPr>
                <w:rFonts w:hint="eastAsia" w:eastAsia="宋体"/>
                <w:color w:val="auto"/>
                <w:highlight w:val="none"/>
                <w:lang w:val="en-US" w:eastAsia="zh-CN"/>
              </w:rPr>
              <w:drawing>
                <wp:inline distT="0" distB="0" distL="114300" distR="114300">
                  <wp:extent cx="2508250" cy="2609850"/>
                  <wp:effectExtent l="0" t="0" r="6350" b="0"/>
                  <wp:docPr id="3" name="图片 3" descr="71dc0968bca04c85a7e6509d7c5a7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1dc0968bca04c85a7e6509d7c5a78f0"/>
                          <pic:cNvPicPr>
                            <a:picLocks noChangeAspect="1"/>
                          </pic:cNvPicPr>
                        </pic:nvPicPr>
                        <pic:blipFill>
                          <a:blip r:embed="rId21"/>
                          <a:srcRect r="45949"/>
                          <a:stretch>
                            <a:fillRect/>
                          </a:stretch>
                        </pic:blipFill>
                        <pic:spPr>
                          <a:xfrm>
                            <a:off x="0" y="0"/>
                            <a:ext cx="2508250" cy="2609850"/>
                          </a:xfrm>
                          <a:prstGeom prst="rect">
                            <a:avLst/>
                          </a:prstGeom>
                          <a:noFill/>
                          <a:ln>
                            <a:noFill/>
                          </a:ln>
                        </pic:spPr>
                      </pic:pic>
                    </a:graphicData>
                  </a:graphic>
                </wp:inline>
              </w:drawing>
            </w:r>
          </w:p>
        </w:tc>
        <w:tc>
          <w:tcPr>
            <w:tcW w:w="1778" w:type="pct"/>
            <w:gridSpan w:val="4"/>
            <w:tcBorders>
              <w:top w:val="single" w:color="auto" w:sz="4" w:space="0"/>
              <w:left w:val="single" w:color="auto" w:sz="4" w:space="0"/>
              <w:bottom w:val="single" w:color="auto" w:sz="4" w:space="0"/>
              <w:right w:val="single" w:color="auto" w:sz="4" w:space="0"/>
            </w:tcBorders>
            <w:noWrap w:val="0"/>
            <w:vAlign w:val="center"/>
          </w:tcPr>
          <w:p w14:paraId="4A874993">
            <w:pPr>
              <w:pStyle w:val="35"/>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highlight w:val="none"/>
              </w:rPr>
            </w:pPr>
            <w:r>
              <w:rPr>
                <w:color w:val="auto"/>
              </w:rPr>
              <w:drawing>
                <wp:inline distT="0" distB="0" distL="114300" distR="114300">
                  <wp:extent cx="3002280" cy="2883535"/>
                  <wp:effectExtent l="0" t="0" r="7620" b="1206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2"/>
                          <a:stretch>
                            <a:fillRect/>
                          </a:stretch>
                        </pic:blipFill>
                        <pic:spPr>
                          <a:xfrm>
                            <a:off x="0" y="0"/>
                            <a:ext cx="3002280" cy="2883535"/>
                          </a:xfrm>
                          <a:prstGeom prst="rect">
                            <a:avLst/>
                          </a:prstGeom>
                          <a:noFill/>
                          <a:ln>
                            <a:noFill/>
                          </a:ln>
                        </pic:spPr>
                      </pic:pic>
                    </a:graphicData>
                  </a:graphic>
                </wp:inline>
              </w:drawing>
            </w:r>
          </w:p>
        </w:tc>
        <w:tc>
          <w:tcPr>
            <w:tcW w:w="1586" w:type="pct"/>
            <w:gridSpan w:val="4"/>
            <w:tcBorders>
              <w:top w:val="single" w:color="auto" w:sz="4" w:space="0"/>
              <w:left w:val="single" w:color="auto" w:sz="4" w:space="0"/>
              <w:bottom w:val="single" w:color="auto" w:sz="4" w:space="0"/>
              <w:right w:val="single" w:color="auto" w:sz="4" w:space="0"/>
            </w:tcBorders>
            <w:noWrap w:val="0"/>
            <w:vAlign w:val="center"/>
          </w:tcPr>
          <w:p w14:paraId="487365AF">
            <w:pPr>
              <w:pStyle w:val="35"/>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highlight w:val="none"/>
              </w:rPr>
            </w:pPr>
            <w:r>
              <w:rPr>
                <w:color w:val="auto"/>
              </w:rPr>
              <w:drawing>
                <wp:inline distT="0" distB="0" distL="114300" distR="114300">
                  <wp:extent cx="2633345" cy="2364740"/>
                  <wp:effectExtent l="0" t="0" r="14605" b="1651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23"/>
                          <a:stretch>
                            <a:fillRect/>
                          </a:stretch>
                        </pic:blipFill>
                        <pic:spPr>
                          <a:xfrm>
                            <a:off x="0" y="0"/>
                            <a:ext cx="2633345" cy="2364740"/>
                          </a:xfrm>
                          <a:prstGeom prst="rect">
                            <a:avLst/>
                          </a:prstGeom>
                          <a:noFill/>
                          <a:ln>
                            <a:noFill/>
                          </a:ln>
                        </pic:spPr>
                      </pic:pic>
                    </a:graphicData>
                  </a:graphic>
                </wp:inline>
              </w:drawing>
            </w:r>
          </w:p>
        </w:tc>
      </w:tr>
      <w:tr w14:paraId="0CCB5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1635" w:type="pct"/>
            <w:gridSpan w:val="4"/>
            <w:tcBorders>
              <w:top w:val="single" w:color="auto" w:sz="4" w:space="0"/>
              <w:left w:val="single" w:color="auto" w:sz="4" w:space="0"/>
              <w:bottom w:val="single" w:color="auto" w:sz="4" w:space="0"/>
              <w:right w:val="single" w:color="auto" w:sz="4" w:space="0"/>
            </w:tcBorders>
            <w:noWrap w:val="0"/>
            <w:vAlign w:val="center"/>
          </w:tcPr>
          <w:p w14:paraId="1EBD518B">
            <w:pPr>
              <w:pStyle w:val="35"/>
              <w:keepNext w:val="0"/>
              <w:keepLines w:val="0"/>
              <w:pageBreakBefore w:val="0"/>
              <w:kinsoku/>
              <w:wordWrap/>
              <w:overflowPunct/>
              <w:topLinePunct w:val="0"/>
              <w:autoSpaceDE/>
              <w:autoSpaceDN/>
              <w:bidi w:val="0"/>
              <w:adjustRightInd/>
              <w:snapToGrid/>
              <w:spacing w:line="240" w:lineRule="auto"/>
              <w:jc w:val="center"/>
              <w:textAlignment w:val="auto"/>
              <w:rPr>
                <w:rFonts w:hint="default" w:eastAsia="宋体"/>
                <w:color w:val="auto"/>
                <w:highlight w:val="none"/>
                <w:lang w:val="en-US" w:eastAsia="zh-CN"/>
              </w:rPr>
            </w:pPr>
            <w:r>
              <w:rPr>
                <w:rFonts w:hint="default" w:ascii="Times New Roman" w:hAnsi="Times New Roman" w:cs="Times New Roman"/>
                <w:color w:val="auto"/>
                <w:sz w:val="21"/>
                <w:szCs w:val="21"/>
                <w:highlight w:val="none"/>
                <w:lang w:val="en-US" w:eastAsia="zh-CN" w:bidi="ar-SA"/>
              </w:rPr>
              <w:t>代峨溪</w:t>
            </w:r>
          </w:p>
        </w:tc>
        <w:tc>
          <w:tcPr>
            <w:tcW w:w="1778" w:type="pct"/>
            <w:gridSpan w:val="4"/>
            <w:tcBorders>
              <w:top w:val="single" w:color="auto" w:sz="4" w:space="0"/>
              <w:left w:val="single" w:color="auto" w:sz="4" w:space="0"/>
              <w:bottom w:val="single" w:color="auto" w:sz="4" w:space="0"/>
              <w:right w:val="single" w:color="auto" w:sz="4" w:space="0"/>
            </w:tcBorders>
            <w:noWrap w:val="0"/>
            <w:vAlign w:val="center"/>
          </w:tcPr>
          <w:p w14:paraId="336A99C2">
            <w:pPr>
              <w:pStyle w:val="35"/>
              <w:keepNext w:val="0"/>
              <w:keepLines w:val="0"/>
              <w:pageBreakBefore w:val="0"/>
              <w:kinsoku/>
              <w:wordWrap/>
              <w:overflowPunct/>
              <w:topLinePunct w:val="0"/>
              <w:autoSpaceDE/>
              <w:autoSpaceDN/>
              <w:bidi w:val="0"/>
              <w:adjustRightInd/>
              <w:snapToGrid/>
              <w:spacing w:line="240" w:lineRule="auto"/>
              <w:jc w:val="center"/>
              <w:textAlignment w:val="auto"/>
              <w:rPr>
                <w:rFonts w:hint="default" w:eastAsia="宋体"/>
                <w:color w:val="auto"/>
                <w:highlight w:val="none"/>
                <w:lang w:val="en-US" w:eastAsia="zh-CN"/>
              </w:rPr>
            </w:pPr>
            <w:r>
              <w:rPr>
                <w:rFonts w:hint="eastAsia" w:ascii="Times New Roman" w:hAnsi="Times New Roman" w:cs="Times New Roman"/>
                <w:color w:val="auto"/>
                <w:sz w:val="21"/>
                <w:szCs w:val="21"/>
                <w:highlight w:val="none"/>
                <w:lang w:val="en-US" w:eastAsia="zh-CN" w:bidi="ar-SA"/>
              </w:rPr>
              <w:t>项目与</w:t>
            </w:r>
            <w:r>
              <w:rPr>
                <w:rFonts w:hint="default" w:ascii="Times New Roman" w:hAnsi="Times New Roman" w:cs="Times New Roman"/>
                <w:color w:val="auto"/>
                <w:sz w:val="21"/>
                <w:szCs w:val="21"/>
                <w:highlight w:val="none"/>
                <w:lang w:val="en-US" w:eastAsia="zh-CN" w:bidi="ar-SA"/>
              </w:rPr>
              <w:t>团结水库</w:t>
            </w:r>
            <w:r>
              <w:rPr>
                <w:rFonts w:hint="eastAsia" w:ascii="Times New Roman" w:hAnsi="Times New Roman" w:cs="Times New Roman"/>
                <w:color w:val="auto"/>
                <w:sz w:val="21"/>
                <w:szCs w:val="21"/>
                <w:highlight w:val="none"/>
                <w:lang w:val="en-US" w:eastAsia="zh-CN" w:bidi="ar-SA"/>
              </w:rPr>
              <w:t>关系图</w:t>
            </w:r>
          </w:p>
        </w:tc>
        <w:tc>
          <w:tcPr>
            <w:tcW w:w="1586" w:type="pct"/>
            <w:gridSpan w:val="4"/>
            <w:tcBorders>
              <w:top w:val="single" w:color="auto" w:sz="4" w:space="0"/>
              <w:left w:val="single" w:color="auto" w:sz="4" w:space="0"/>
              <w:bottom w:val="single" w:color="auto" w:sz="4" w:space="0"/>
              <w:right w:val="single" w:color="auto" w:sz="4" w:space="0"/>
            </w:tcBorders>
            <w:noWrap w:val="0"/>
            <w:vAlign w:val="center"/>
          </w:tcPr>
          <w:p w14:paraId="2BC555EE">
            <w:pPr>
              <w:widowControl w:val="0"/>
              <w:spacing w:line="240" w:lineRule="auto"/>
              <w:ind w:firstLine="0" w:firstLineChars="0"/>
              <w:jc w:val="center"/>
              <w:rPr>
                <w:rFonts w:hint="default" w:eastAsia="宋体"/>
                <w:color w:val="auto"/>
                <w:highlight w:val="none"/>
                <w:lang w:val="en-US" w:eastAsia="zh-CN"/>
              </w:rPr>
            </w:pPr>
            <w:r>
              <w:rPr>
                <w:rFonts w:hint="eastAsia" w:ascii="Times New Roman" w:hAnsi="Times New Roman" w:cs="Times New Roman"/>
                <w:color w:val="auto"/>
                <w:sz w:val="21"/>
                <w:szCs w:val="21"/>
                <w:highlight w:val="none"/>
                <w:lang w:val="en-US" w:eastAsia="zh-CN" w:bidi="ar-SA"/>
              </w:rPr>
              <w:t>项目与</w:t>
            </w:r>
            <w:r>
              <w:rPr>
                <w:rFonts w:hint="default" w:ascii="Times New Roman" w:hAnsi="Times New Roman" w:cs="Times New Roman"/>
                <w:color w:val="auto"/>
                <w:sz w:val="21"/>
                <w:szCs w:val="21"/>
                <w:highlight w:val="none"/>
                <w:lang w:val="en-US" w:eastAsia="zh-CN" w:bidi="ar-SA"/>
              </w:rPr>
              <w:t>石庙子水库</w:t>
            </w:r>
            <w:r>
              <w:rPr>
                <w:rFonts w:hint="eastAsia" w:ascii="Times New Roman" w:hAnsi="Times New Roman" w:cs="Times New Roman"/>
                <w:color w:val="auto"/>
                <w:sz w:val="21"/>
                <w:szCs w:val="21"/>
                <w:highlight w:val="none"/>
                <w:lang w:val="en-US" w:eastAsia="zh-CN" w:bidi="ar-SA"/>
              </w:rPr>
              <w:t>关系图</w:t>
            </w:r>
          </w:p>
        </w:tc>
      </w:tr>
    </w:tbl>
    <w:p w14:paraId="1534DE9F">
      <w:pPr>
        <w:ind w:left="0" w:leftChars="0" w:firstLine="0" w:firstLineChars="0"/>
        <w:rPr>
          <w:rFonts w:hint="default" w:ascii="Times New Roman" w:hAnsi="Times New Roman" w:eastAsia="宋体" w:cs="Times New Roman"/>
          <w:color w:val="auto"/>
        </w:rPr>
        <w:sectPr>
          <w:pgSz w:w="16840" w:h="11905" w:orient="landscape"/>
          <w:pgMar w:top="1080" w:right="1440" w:bottom="1080" w:left="1440" w:header="1048" w:footer="1015" w:gutter="0"/>
          <w:pgBorders>
            <w:top w:val="none" w:sz="0" w:space="0"/>
            <w:left w:val="none" w:sz="0" w:space="0"/>
            <w:bottom w:val="none" w:sz="0" w:space="0"/>
            <w:right w:val="none" w:sz="0" w:space="0"/>
          </w:pgBorders>
          <w:pgNumType w:fmt="decimal"/>
          <w:cols w:space="720" w:num="1"/>
        </w:sectPr>
      </w:pPr>
    </w:p>
    <w:p w14:paraId="00BD3EF2">
      <w:pPr>
        <w:pStyle w:val="4"/>
        <w:numPr>
          <w:ilvl w:val="2"/>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1.6.3</w:t>
      </w:r>
      <w:r>
        <w:rPr>
          <w:rFonts w:hint="default" w:ascii="Times New Roman" w:hAnsi="Times New Roman" w:cs="Times New Roman"/>
          <w:color w:val="auto"/>
        </w:rPr>
        <w:t>声环境及环境空气保护目标</w:t>
      </w:r>
    </w:p>
    <w:p w14:paraId="4F3F7A2E">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根据现场踏勘，项目线路沿线主要声环境敏感点共有</w:t>
      </w:r>
      <w:r>
        <w:rPr>
          <w:rFonts w:hint="eastAsia" w:cs="Times New Roman"/>
          <w:color w:val="auto"/>
          <w:szCs w:val="24"/>
          <w:lang w:val="en-US" w:eastAsia="zh-CN"/>
        </w:rPr>
        <w:t>27</w:t>
      </w:r>
      <w:r>
        <w:rPr>
          <w:rFonts w:hint="default" w:ascii="Times New Roman" w:hAnsi="Times New Roman" w:cs="Times New Roman"/>
          <w:color w:val="auto"/>
          <w:szCs w:val="24"/>
        </w:rPr>
        <w:t>处</w:t>
      </w:r>
      <w:r>
        <w:rPr>
          <w:rFonts w:hint="eastAsia" w:cs="Times New Roman"/>
          <w:color w:val="auto"/>
          <w:szCs w:val="24"/>
          <w:lang w:val="en-US" w:eastAsia="zh-CN"/>
        </w:rPr>
        <w:t>，</w:t>
      </w:r>
      <w:r>
        <w:rPr>
          <w:rFonts w:hint="default" w:ascii="Times New Roman" w:hAnsi="Times New Roman" w:cs="Times New Roman"/>
          <w:color w:val="auto"/>
          <w:szCs w:val="24"/>
        </w:rPr>
        <w:t>本项目沿线声环境保护目标详见</w:t>
      </w:r>
      <w:r>
        <w:rPr>
          <w:rFonts w:hint="eastAsia" w:cs="Times New Roman"/>
          <w:color w:val="auto"/>
          <w:szCs w:val="24"/>
          <w:lang w:val="en-US" w:eastAsia="zh-CN"/>
        </w:rPr>
        <w:t>下</w:t>
      </w:r>
      <w:r>
        <w:rPr>
          <w:rFonts w:hint="default" w:ascii="Times New Roman" w:hAnsi="Times New Roman" w:cs="Times New Roman"/>
          <w:color w:val="auto"/>
          <w:szCs w:val="24"/>
        </w:rPr>
        <w:t>表及附图。根据项目所在区域的合川区三汇镇总体规划、小沔镇总体规划，评价范围内无规划声环境保护目标。</w:t>
      </w:r>
    </w:p>
    <w:p w14:paraId="436BFF2E">
      <w:pPr>
        <w:pStyle w:val="24"/>
        <w:ind w:firstLine="480"/>
        <w:rPr>
          <w:rFonts w:hint="default" w:ascii="Times New Roman" w:hAnsi="Times New Roman" w:cs="Times New Roman"/>
          <w:color w:val="auto"/>
          <w:szCs w:val="24"/>
        </w:rPr>
        <w:sectPr>
          <w:footerReference r:id="rId16" w:type="default"/>
          <w:pgSz w:w="11906" w:h="16838"/>
          <w:pgMar w:top="1440" w:right="1800" w:bottom="1440" w:left="1800" w:header="737" w:footer="992" w:gutter="0"/>
          <w:pgBorders>
            <w:top w:val="none" w:sz="0" w:space="0"/>
            <w:left w:val="none" w:sz="0" w:space="0"/>
            <w:bottom w:val="none" w:sz="0" w:space="0"/>
            <w:right w:val="none" w:sz="0" w:space="0"/>
          </w:pgBorders>
          <w:pgNumType w:fmt="decimal"/>
          <w:cols w:space="720" w:num="1"/>
          <w:docGrid w:type="linesAndChars" w:linePitch="326" w:charSpace="0"/>
        </w:sectPr>
      </w:pPr>
    </w:p>
    <w:p w14:paraId="7A778D3C">
      <w:pPr>
        <w:pStyle w:val="9"/>
        <w:rPr>
          <w:rFonts w:hint="default" w:ascii="Times New Roman" w:hAnsi="Times New Roman" w:cs="Times New Roman"/>
          <w:color w:val="auto"/>
        </w:rPr>
      </w:pPr>
      <w:bookmarkStart w:id="23" w:name="_Ref118122033"/>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1.6</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bookmarkEnd w:id="23"/>
      <w:r>
        <w:rPr>
          <w:rFonts w:hint="default" w:ascii="Times New Roman" w:hAnsi="Times New Roman" w:cs="Times New Roman"/>
          <w:color w:val="auto"/>
        </w:rPr>
        <w:t>项目环境空气及声环境保护目标一览表</w:t>
      </w:r>
    </w:p>
    <w:tbl>
      <w:tblPr>
        <w:tblStyle w:val="3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202"/>
        <w:gridCol w:w="697"/>
        <w:gridCol w:w="1864"/>
        <w:gridCol w:w="747"/>
        <w:gridCol w:w="946"/>
        <w:gridCol w:w="1026"/>
        <w:gridCol w:w="558"/>
        <w:gridCol w:w="1082"/>
        <w:gridCol w:w="831"/>
        <w:gridCol w:w="1106"/>
        <w:gridCol w:w="832"/>
        <w:gridCol w:w="804"/>
        <w:gridCol w:w="401"/>
        <w:gridCol w:w="2398"/>
      </w:tblGrid>
      <w:tr w14:paraId="3A7CEC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vMerge w:val="restart"/>
            <w:tcBorders>
              <w:tl2br w:val="nil"/>
              <w:tr2bl w:val="nil"/>
            </w:tcBorders>
            <w:noWrap w:val="0"/>
            <w:tcMar>
              <w:top w:w="51" w:type="dxa"/>
              <w:left w:w="51" w:type="dxa"/>
              <w:bottom w:w="51" w:type="dxa"/>
              <w:right w:w="51" w:type="dxa"/>
            </w:tcMar>
            <w:vAlign w:val="center"/>
          </w:tcPr>
          <w:p w14:paraId="7853E5D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环境保护目标名称</w:t>
            </w:r>
          </w:p>
        </w:tc>
        <w:tc>
          <w:tcPr>
            <w:tcW w:w="232" w:type="pct"/>
            <w:vMerge w:val="restart"/>
            <w:tcBorders>
              <w:tl2br w:val="nil"/>
              <w:tr2bl w:val="nil"/>
            </w:tcBorders>
            <w:noWrap w:val="0"/>
            <w:tcMar>
              <w:top w:w="51" w:type="dxa"/>
              <w:left w:w="51" w:type="dxa"/>
              <w:bottom w:w="51" w:type="dxa"/>
              <w:right w:w="51" w:type="dxa"/>
            </w:tcMar>
            <w:vAlign w:val="center"/>
          </w:tcPr>
          <w:p w14:paraId="1C09D58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所在路段</w:t>
            </w:r>
          </w:p>
        </w:tc>
        <w:tc>
          <w:tcPr>
            <w:tcW w:w="608" w:type="pct"/>
            <w:vMerge w:val="restart"/>
            <w:tcBorders>
              <w:tl2br w:val="nil"/>
              <w:tr2bl w:val="nil"/>
            </w:tcBorders>
            <w:noWrap w:val="0"/>
            <w:tcMar>
              <w:top w:w="51" w:type="dxa"/>
              <w:left w:w="51" w:type="dxa"/>
              <w:bottom w:w="51" w:type="dxa"/>
              <w:right w:w="51" w:type="dxa"/>
            </w:tcMar>
            <w:vAlign w:val="center"/>
          </w:tcPr>
          <w:p w14:paraId="02B9D0C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里程范围</w:t>
            </w:r>
          </w:p>
        </w:tc>
        <w:tc>
          <w:tcPr>
            <w:tcW w:w="248" w:type="pct"/>
            <w:vMerge w:val="restart"/>
            <w:tcBorders>
              <w:tl2br w:val="nil"/>
              <w:tr2bl w:val="nil"/>
            </w:tcBorders>
            <w:noWrap w:val="0"/>
            <w:tcMar>
              <w:top w:w="51" w:type="dxa"/>
              <w:left w:w="51" w:type="dxa"/>
              <w:bottom w:w="51" w:type="dxa"/>
              <w:right w:w="51" w:type="dxa"/>
            </w:tcMar>
            <w:vAlign w:val="center"/>
          </w:tcPr>
          <w:p w14:paraId="761272D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线路形式</w:t>
            </w:r>
          </w:p>
        </w:tc>
        <w:tc>
          <w:tcPr>
            <w:tcW w:w="312" w:type="pct"/>
            <w:vMerge w:val="restart"/>
            <w:tcBorders>
              <w:tl2br w:val="nil"/>
              <w:tr2bl w:val="nil"/>
            </w:tcBorders>
            <w:noWrap w:val="0"/>
            <w:tcMar>
              <w:top w:w="51" w:type="dxa"/>
              <w:left w:w="51" w:type="dxa"/>
              <w:bottom w:w="51" w:type="dxa"/>
              <w:right w:w="51" w:type="dxa"/>
            </w:tcMar>
            <w:vAlign w:val="center"/>
          </w:tcPr>
          <w:p w14:paraId="3070631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方位</w:t>
            </w:r>
          </w:p>
        </w:tc>
        <w:tc>
          <w:tcPr>
            <w:tcW w:w="525" w:type="pct"/>
            <w:gridSpan w:val="2"/>
            <w:tcBorders>
              <w:tl2br w:val="nil"/>
              <w:tr2bl w:val="nil"/>
            </w:tcBorders>
            <w:noWrap w:val="0"/>
            <w:tcMar>
              <w:top w:w="51" w:type="dxa"/>
              <w:left w:w="51" w:type="dxa"/>
              <w:bottom w:w="51" w:type="dxa"/>
              <w:right w:w="51" w:type="dxa"/>
            </w:tcMar>
            <w:vAlign w:val="center"/>
          </w:tcPr>
          <w:p w14:paraId="3DCBD9B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声环境保护目标预测点与路面高差/m</w:t>
            </w:r>
          </w:p>
        </w:tc>
        <w:tc>
          <w:tcPr>
            <w:tcW w:w="631" w:type="pct"/>
            <w:gridSpan w:val="2"/>
            <w:tcBorders>
              <w:tl2br w:val="nil"/>
              <w:tr2bl w:val="nil"/>
            </w:tcBorders>
            <w:noWrap w:val="0"/>
            <w:tcMar>
              <w:top w:w="51" w:type="dxa"/>
              <w:left w:w="51" w:type="dxa"/>
              <w:bottom w:w="51" w:type="dxa"/>
              <w:right w:w="51" w:type="dxa"/>
            </w:tcMar>
            <w:vAlign w:val="center"/>
          </w:tcPr>
          <w:p w14:paraId="7A19D40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距道路边界（红线）距离/m</w:t>
            </w:r>
          </w:p>
        </w:tc>
        <w:tc>
          <w:tcPr>
            <w:tcW w:w="541" w:type="pct"/>
            <w:gridSpan w:val="2"/>
            <w:tcBorders>
              <w:tl2br w:val="nil"/>
              <w:tr2bl w:val="nil"/>
            </w:tcBorders>
            <w:noWrap w:val="0"/>
            <w:tcMar>
              <w:top w:w="51" w:type="dxa"/>
              <w:left w:w="51" w:type="dxa"/>
              <w:bottom w:w="51" w:type="dxa"/>
              <w:right w:w="51" w:type="dxa"/>
            </w:tcMar>
            <w:vAlign w:val="center"/>
          </w:tcPr>
          <w:p w14:paraId="0881D1D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距道路中心线距离/m</w:t>
            </w:r>
          </w:p>
        </w:tc>
        <w:tc>
          <w:tcPr>
            <w:tcW w:w="402" w:type="pct"/>
            <w:gridSpan w:val="2"/>
            <w:tcBorders>
              <w:tl2br w:val="nil"/>
              <w:tr2bl w:val="nil"/>
            </w:tcBorders>
            <w:noWrap w:val="0"/>
            <w:tcMar>
              <w:top w:w="51" w:type="dxa"/>
              <w:left w:w="51" w:type="dxa"/>
              <w:bottom w:w="51" w:type="dxa"/>
              <w:right w:w="51" w:type="dxa"/>
            </w:tcMar>
            <w:vAlign w:val="center"/>
          </w:tcPr>
          <w:p w14:paraId="0B0CB21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不同声功能区户数</w:t>
            </w:r>
          </w:p>
        </w:tc>
        <w:tc>
          <w:tcPr>
            <w:tcW w:w="780" w:type="pct"/>
            <w:vMerge w:val="restart"/>
            <w:tcBorders>
              <w:tl2br w:val="nil"/>
              <w:tr2bl w:val="nil"/>
            </w:tcBorders>
            <w:noWrap w:val="0"/>
            <w:tcMar>
              <w:top w:w="51" w:type="dxa"/>
              <w:left w:w="51" w:type="dxa"/>
              <w:bottom w:w="51" w:type="dxa"/>
              <w:right w:w="51" w:type="dxa"/>
            </w:tcMar>
            <w:vAlign w:val="center"/>
          </w:tcPr>
          <w:p w14:paraId="200A7F5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环境保护目标情况说明</w:t>
            </w:r>
          </w:p>
        </w:tc>
      </w:tr>
      <w:tr w14:paraId="39929E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vMerge w:val="continue"/>
            <w:tcBorders>
              <w:tl2br w:val="nil"/>
              <w:tr2bl w:val="nil"/>
            </w:tcBorders>
            <w:noWrap w:val="0"/>
            <w:tcMar>
              <w:top w:w="51" w:type="dxa"/>
              <w:left w:w="51" w:type="dxa"/>
              <w:bottom w:w="51" w:type="dxa"/>
              <w:right w:w="51" w:type="dxa"/>
            </w:tcMar>
            <w:vAlign w:val="center"/>
          </w:tcPr>
          <w:p w14:paraId="4B27F41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232" w:type="pct"/>
            <w:vMerge w:val="continue"/>
            <w:tcBorders>
              <w:tl2br w:val="nil"/>
              <w:tr2bl w:val="nil"/>
            </w:tcBorders>
            <w:noWrap w:val="0"/>
            <w:tcMar>
              <w:top w:w="51" w:type="dxa"/>
              <w:left w:w="51" w:type="dxa"/>
              <w:bottom w:w="51" w:type="dxa"/>
              <w:right w:w="51" w:type="dxa"/>
            </w:tcMar>
            <w:vAlign w:val="center"/>
          </w:tcPr>
          <w:p w14:paraId="4CD6570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608" w:type="pct"/>
            <w:vMerge w:val="continue"/>
            <w:tcBorders>
              <w:tl2br w:val="nil"/>
              <w:tr2bl w:val="nil"/>
            </w:tcBorders>
            <w:noWrap w:val="0"/>
            <w:tcMar>
              <w:top w:w="51" w:type="dxa"/>
              <w:left w:w="51" w:type="dxa"/>
              <w:bottom w:w="51" w:type="dxa"/>
              <w:right w:w="51" w:type="dxa"/>
            </w:tcMar>
            <w:vAlign w:val="center"/>
          </w:tcPr>
          <w:p w14:paraId="5D6B618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248" w:type="pct"/>
            <w:vMerge w:val="continue"/>
            <w:tcBorders>
              <w:tl2br w:val="nil"/>
              <w:tr2bl w:val="nil"/>
            </w:tcBorders>
            <w:noWrap w:val="0"/>
            <w:tcMar>
              <w:top w:w="51" w:type="dxa"/>
              <w:left w:w="51" w:type="dxa"/>
              <w:bottom w:w="51" w:type="dxa"/>
              <w:right w:w="51" w:type="dxa"/>
            </w:tcMar>
            <w:vAlign w:val="center"/>
          </w:tcPr>
          <w:p w14:paraId="3CB6346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312" w:type="pct"/>
            <w:vMerge w:val="continue"/>
            <w:tcBorders>
              <w:tl2br w:val="nil"/>
              <w:tr2bl w:val="nil"/>
            </w:tcBorders>
            <w:noWrap w:val="0"/>
            <w:tcMar>
              <w:top w:w="51" w:type="dxa"/>
              <w:left w:w="51" w:type="dxa"/>
              <w:bottom w:w="51" w:type="dxa"/>
              <w:right w:w="51" w:type="dxa"/>
            </w:tcMar>
            <w:vAlign w:val="center"/>
          </w:tcPr>
          <w:p w14:paraId="54FBBD5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338" w:type="pct"/>
            <w:tcBorders>
              <w:tl2br w:val="nil"/>
              <w:tr2bl w:val="nil"/>
            </w:tcBorders>
            <w:noWrap w:val="0"/>
            <w:tcMar>
              <w:top w:w="51" w:type="dxa"/>
              <w:left w:w="51" w:type="dxa"/>
              <w:bottom w:w="51" w:type="dxa"/>
              <w:right w:w="51" w:type="dxa"/>
            </w:tcMar>
            <w:vAlign w:val="center"/>
          </w:tcPr>
          <w:p w14:paraId="007729C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4a类</w:t>
            </w:r>
          </w:p>
        </w:tc>
        <w:tc>
          <w:tcPr>
            <w:tcW w:w="187" w:type="pct"/>
            <w:tcBorders>
              <w:tl2br w:val="nil"/>
              <w:tr2bl w:val="nil"/>
            </w:tcBorders>
            <w:noWrap w:val="0"/>
            <w:tcMar>
              <w:top w:w="51" w:type="dxa"/>
              <w:left w:w="51" w:type="dxa"/>
              <w:bottom w:w="51" w:type="dxa"/>
              <w:right w:w="51" w:type="dxa"/>
            </w:tcMar>
            <w:vAlign w:val="center"/>
          </w:tcPr>
          <w:p w14:paraId="2E80F14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2类</w:t>
            </w:r>
          </w:p>
        </w:tc>
        <w:tc>
          <w:tcPr>
            <w:tcW w:w="356" w:type="pct"/>
            <w:tcBorders>
              <w:tl2br w:val="nil"/>
              <w:tr2bl w:val="nil"/>
            </w:tcBorders>
            <w:noWrap w:val="0"/>
            <w:tcMar>
              <w:top w:w="51" w:type="dxa"/>
              <w:left w:w="51" w:type="dxa"/>
              <w:bottom w:w="51" w:type="dxa"/>
              <w:right w:w="51" w:type="dxa"/>
            </w:tcMar>
            <w:vAlign w:val="center"/>
          </w:tcPr>
          <w:p w14:paraId="4E29C73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4a类</w:t>
            </w:r>
          </w:p>
        </w:tc>
        <w:tc>
          <w:tcPr>
            <w:tcW w:w="274" w:type="pct"/>
            <w:tcBorders>
              <w:tl2br w:val="nil"/>
              <w:tr2bl w:val="nil"/>
            </w:tcBorders>
            <w:noWrap w:val="0"/>
            <w:tcMar>
              <w:top w:w="51" w:type="dxa"/>
              <w:left w:w="51" w:type="dxa"/>
              <w:bottom w:w="51" w:type="dxa"/>
              <w:right w:w="51" w:type="dxa"/>
            </w:tcMar>
            <w:vAlign w:val="center"/>
          </w:tcPr>
          <w:p w14:paraId="5F1C165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2类</w:t>
            </w:r>
          </w:p>
        </w:tc>
        <w:tc>
          <w:tcPr>
            <w:tcW w:w="266" w:type="pct"/>
            <w:tcBorders>
              <w:tl2br w:val="nil"/>
              <w:tr2bl w:val="nil"/>
            </w:tcBorders>
            <w:noWrap w:val="0"/>
            <w:tcMar>
              <w:top w:w="51" w:type="dxa"/>
              <w:left w:w="51" w:type="dxa"/>
              <w:bottom w:w="51" w:type="dxa"/>
              <w:right w:w="51" w:type="dxa"/>
            </w:tcMar>
            <w:vAlign w:val="center"/>
          </w:tcPr>
          <w:p w14:paraId="04DF163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4a类</w:t>
            </w:r>
          </w:p>
        </w:tc>
        <w:tc>
          <w:tcPr>
            <w:tcW w:w="274" w:type="pct"/>
            <w:tcBorders>
              <w:tl2br w:val="nil"/>
              <w:tr2bl w:val="nil"/>
            </w:tcBorders>
            <w:noWrap w:val="0"/>
            <w:tcMar>
              <w:top w:w="51" w:type="dxa"/>
              <w:left w:w="51" w:type="dxa"/>
              <w:bottom w:w="51" w:type="dxa"/>
              <w:right w:w="51" w:type="dxa"/>
            </w:tcMar>
            <w:vAlign w:val="center"/>
          </w:tcPr>
          <w:p w14:paraId="5D0F7C0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2类</w:t>
            </w:r>
          </w:p>
        </w:tc>
        <w:tc>
          <w:tcPr>
            <w:tcW w:w="266" w:type="pct"/>
            <w:tcBorders>
              <w:tl2br w:val="nil"/>
              <w:tr2bl w:val="nil"/>
            </w:tcBorders>
            <w:noWrap w:val="0"/>
            <w:tcMar>
              <w:top w:w="51" w:type="dxa"/>
              <w:left w:w="51" w:type="dxa"/>
              <w:bottom w:w="51" w:type="dxa"/>
              <w:right w:w="51" w:type="dxa"/>
            </w:tcMar>
            <w:vAlign w:val="center"/>
          </w:tcPr>
          <w:p w14:paraId="5A32723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4a类</w:t>
            </w:r>
          </w:p>
        </w:tc>
        <w:tc>
          <w:tcPr>
            <w:tcW w:w="136" w:type="pct"/>
            <w:tcBorders>
              <w:tl2br w:val="nil"/>
              <w:tr2bl w:val="nil"/>
            </w:tcBorders>
            <w:noWrap w:val="0"/>
            <w:tcMar>
              <w:top w:w="51" w:type="dxa"/>
              <w:left w:w="51" w:type="dxa"/>
              <w:bottom w:w="51" w:type="dxa"/>
              <w:right w:w="51" w:type="dxa"/>
            </w:tcMar>
            <w:vAlign w:val="center"/>
          </w:tcPr>
          <w:p w14:paraId="161B34E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2类</w:t>
            </w:r>
          </w:p>
        </w:tc>
        <w:tc>
          <w:tcPr>
            <w:tcW w:w="780" w:type="pct"/>
            <w:vMerge w:val="continue"/>
            <w:tcBorders>
              <w:tl2br w:val="nil"/>
              <w:tr2bl w:val="nil"/>
            </w:tcBorders>
            <w:noWrap w:val="0"/>
            <w:tcMar>
              <w:top w:w="51" w:type="dxa"/>
              <w:left w:w="51" w:type="dxa"/>
              <w:bottom w:w="51" w:type="dxa"/>
              <w:right w:w="51" w:type="dxa"/>
            </w:tcMar>
            <w:vAlign w:val="center"/>
          </w:tcPr>
          <w:p w14:paraId="7F6D7D0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r>
      <w:tr w14:paraId="2BB868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661EB0E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三汇镇桂花村卿家院子居民点</w:t>
            </w:r>
          </w:p>
        </w:tc>
        <w:tc>
          <w:tcPr>
            <w:tcW w:w="232" w:type="pct"/>
            <w:tcBorders>
              <w:tl2br w:val="nil"/>
              <w:tr2bl w:val="nil"/>
            </w:tcBorders>
            <w:noWrap w:val="0"/>
            <w:tcMar>
              <w:top w:w="51" w:type="dxa"/>
              <w:left w:w="51" w:type="dxa"/>
              <w:bottom w:w="51" w:type="dxa"/>
              <w:right w:w="51" w:type="dxa"/>
            </w:tcMar>
            <w:vAlign w:val="center"/>
          </w:tcPr>
          <w:p w14:paraId="072DEF7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785BA3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K68+922-K69+060</w:t>
            </w:r>
          </w:p>
        </w:tc>
        <w:tc>
          <w:tcPr>
            <w:tcW w:w="248" w:type="pct"/>
            <w:tcBorders>
              <w:tl2br w:val="nil"/>
              <w:tr2bl w:val="nil"/>
            </w:tcBorders>
            <w:noWrap w:val="0"/>
            <w:tcMar>
              <w:top w:w="51" w:type="dxa"/>
              <w:left w:w="51" w:type="dxa"/>
              <w:bottom w:w="51" w:type="dxa"/>
              <w:right w:w="51" w:type="dxa"/>
            </w:tcMar>
            <w:vAlign w:val="center"/>
          </w:tcPr>
          <w:p w14:paraId="03953C8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37F6C4E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682F207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6FF249D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27</w:t>
            </w:r>
          </w:p>
        </w:tc>
        <w:tc>
          <w:tcPr>
            <w:tcW w:w="356" w:type="pct"/>
            <w:tcBorders>
              <w:tl2br w:val="nil"/>
              <w:tr2bl w:val="nil"/>
            </w:tcBorders>
            <w:noWrap w:val="0"/>
            <w:tcMar>
              <w:top w:w="51" w:type="dxa"/>
              <w:left w:w="51" w:type="dxa"/>
              <w:bottom w:w="51" w:type="dxa"/>
              <w:right w:w="51" w:type="dxa"/>
            </w:tcMar>
            <w:vAlign w:val="center"/>
          </w:tcPr>
          <w:p w14:paraId="7345DEB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1766AD3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120</w:t>
            </w:r>
          </w:p>
        </w:tc>
        <w:tc>
          <w:tcPr>
            <w:tcW w:w="266" w:type="pct"/>
            <w:tcBorders>
              <w:tl2br w:val="nil"/>
              <w:tr2bl w:val="nil"/>
            </w:tcBorders>
            <w:noWrap w:val="0"/>
            <w:tcMar>
              <w:top w:w="51" w:type="dxa"/>
              <w:left w:w="51" w:type="dxa"/>
              <w:bottom w:w="51" w:type="dxa"/>
              <w:right w:w="51" w:type="dxa"/>
            </w:tcMar>
            <w:vAlign w:val="center"/>
          </w:tcPr>
          <w:p w14:paraId="3D2D1F0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513A4AA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132.75</w:t>
            </w:r>
          </w:p>
        </w:tc>
        <w:tc>
          <w:tcPr>
            <w:tcW w:w="266" w:type="pct"/>
            <w:tcBorders>
              <w:tl2br w:val="nil"/>
              <w:tr2bl w:val="nil"/>
            </w:tcBorders>
            <w:noWrap w:val="0"/>
            <w:tcMar>
              <w:top w:w="51" w:type="dxa"/>
              <w:left w:w="51" w:type="dxa"/>
              <w:bottom w:w="51" w:type="dxa"/>
              <w:right w:w="51" w:type="dxa"/>
            </w:tcMar>
            <w:vAlign w:val="center"/>
          </w:tcPr>
          <w:p w14:paraId="7D0DF8A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617C806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21</w:t>
            </w:r>
          </w:p>
        </w:tc>
        <w:tc>
          <w:tcPr>
            <w:tcW w:w="780" w:type="pct"/>
            <w:tcBorders>
              <w:tl2br w:val="nil"/>
              <w:tr2bl w:val="nil"/>
            </w:tcBorders>
            <w:noWrap w:val="0"/>
            <w:tcMar>
              <w:top w:w="51" w:type="dxa"/>
              <w:left w:w="51" w:type="dxa"/>
              <w:bottom w:w="51" w:type="dxa"/>
              <w:right w:w="51" w:type="dxa"/>
            </w:tcMar>
            <w:vAlign w:val="center"/>
          </w:tcPr>
          <w:p w14:paraId="43D62FA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21栋砖混楼房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约21户65人，房屋侧向、背向公路。</w:t>
            </w:r>
          </w:p>
        </w:tc>
      </w:tr>
      <w:tr w14:paraId="7A9696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7D4C73B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三汇镇桂花村莲花坝居民点</w:t>
            </w:r>
          </w:p>
        </w:tc>
        <w:tc>
          <w:tcPr>
            <w:tcW w:w="232" w:type="pct"/>
            <w:tcBorders>
              <w:tl2br w:val="nil"/>
              <w:tr2bl w:val="nil"/>
            </w:tcBorders>
            <w:noWrap w:val="0"/>
            <w:tcMar>
              <w:top w:w="51" w:type="dxa"/>
              <w:left w:w="51" w:type="dxa"/>
              <w:bottom w:w="51" w:type="dxa"/>
              <w:right w:w="51" w:type="dxa"/>
            </w:tcMar>
            <w:vAlign w:val="center"/>
          </w:tcPr>
          <w:p w14:paraId="1A7A0C5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1C43056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K68+945-K69+200</w:t>
            </w:r>
          </w:p>
        </w:tc>
        <w:tc>
          <w:tcPr>
            <w:tcW w:w="248" w:type="pct"/>
            <w:tcBorders>
              <w:tl2br w:val="nil"/>
              <w:tr2bl w:val="nil"/>
            </w:tcBorders>
            <w:noWrap w:val="0"/>
            <w:tcMar>
              <w:top w:w="51" w:type="dxa"/>
              <w:left w:w="51" w:type="dxa"/>
              <w:bottom w:w="51" w:type="dxa"/>
              <w:right w:w="51" w:type="dxa"/>
            </w:tcMar>
            <w:vAlign w:val="center"/>
          </w:tcPr>
          <w:p w14:paraId="57A25F5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74D17FE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6256AB4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66B1AD0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356" w:type="pct"/>
            <w:tcBorders>
              <w:tl2br w:val="nil"/>
              <w:tr2bl w:val="nil"/>
            </w:tcBorders>
            <w:noWrap w:val="0"/>
            <w:tcMar>
              <w:top w:w="51" w:type="dxa"/>
              <w:left w:w="51" w:type="dxa"/>
              <w:bottom w:w="51" w:type="dxa"/>
              <w:right w:w="51" w:type="dxa"/>
            </w:tcMar>
            <w:vAlign w:val="center"/>
          </w:tcPr>
          <w:p w14:paraId="5B2CBE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274" w:type="pct"/>
            <w:tcBorders>
              <w:tl2br w:val="nil"/>
              <w:tr2bl w:val="nil"/>
            </w:tcBorders>
            <w:noWrap w:val="0"/>
            <w:tcMar>
              <w:top w:w="51" w:type="dxa"/>
              <w:left w:w="51" w:type="dxa"/>
              <w:bottom w:w="51" w:type="dxa"/>
              <w:right w:w="51" w:type="dxa"/>
            </w:tcMar>
            <w:vAlign w:val="center"/>
          </w:tcPr>
          <w:p w14:paraId="10F8855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70</w:t>
            </w:r>
          </w:p>
        </w:tc>
        <w:tc>
          <w:tcPr>
            <w:tcW w:w="266" w:type="pct"/>
            <w:tcBorders>
              <w:tl2br w:val="nil"/>
              <w:tr2bl w:val="nil"/>
            </w:tcBorders>
            <w:noWrap w:val="0"/>
            <w:tcMar>
              <w:top w:w="51" w:type="dxa"/>
              <w:left w:w="51" w:type="dxa"/>
              <w:bottom w:w="51" w:type="dxa"/>
              <w:right w:w="51" w:type="dxa"/>
            </w:tcMar>
            <w:vAlign w:val="center"/>
          </w:tcPr>
          <w:p w14:paraId="6451894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74" w:type="pct"/>
            <w:tcBorders>
              <w:tl2br w:val="nil"/>
              <w:tr2bl w:val="nil"/>
            </w:tcBorders>
            <w:noWrap w:val="0"/>
            <w:tcMar>
              <w:top w:w="51" w:type="dxa"/>
              <w:left w:w="51" w:type="dxa"/>
              <w:bottom w:w="51" w:type="dxa"/>
              <w:right w:w="51" w:type="dxa"/>
            </w:tcMar>
            <w:vAlign w:val="center"/>
          </w:tcPr>
          <w:p w14:paraId="7E83A55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82.75</w:t>
            </w:r>
          </w:p>
        </w:tc>
        <w:tc>
          <w:tcPr>
            <w:tcW w:w="266" w:type="pct"/>
            <w:tcBorders>
              <w:tl2br w:val="nil"/>
              <w:tr2bl w:val="nil"/>
            </w:tcBorders>
            <w:noWrap w:val="0"/>
            <w:tcMar>
              <w:top w:w="51" w:type="dxa"/>
              <w:left w:w="51" w:type="dxa"/>
              <w:bottom w:w="51" w:type="dxa"/>
              <w:right w:w="51" w:type="dxa"/>
            </w:tcMar>
            <w:vAlign w:val="center"/>
          </w:tcPr>
          <w:p w14:paraId="6173618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w:t>
            </w:r>
          </w:p>
        </w:tc>
        <w:tc>
          <w:tcPr>
            <w:tcW w:w="136" w:type="pct"/>
            <w:tcBorders>
              <w:tl2br w:val="nil"/>
              <w:tr2bl w:val="nil"/>
            </w:tcBorders>
            <w:noWrap w:val="0"/>
            <w:tcMar>
              <w:top w:w="51" w:type="dxa"/>
              <w:left w:w="51" w:type="dxa"/>
              <w:bottom w:w="51" w:type="dxa"/>
              <w:right w:w="51" w:type="dxa"/>
            </w:tcMar>
            <w:vAlign w:val="center"/>
          </w:tcPr>
          <w:p w14:paraId="47D8761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19</w:t>
            </w:r>
          </w:p>
        </w:tc>
        <w:tc>
          <w:tcPr>
            <w:tcW w:w="780" w:type="pct"/>
            <w:tcBorders>
              <w:tl2br w:val="nil"/>
              <w:tr2bl w:val="nil"/>
            </w:tcBorders>
            <w:noWrap w:val="0"/>
            <w:tcMar>
              <w:top w:w="51" w:type="dxa"/>
              <w:left w:w="51" w:type="dxa"/>
              <w:bottom w:w="51" w:type="dxa"/>
              <w:right w:w="51" w:type="dxa"/>
            </w:tcMar>
            <w:vAlign w:val="center"/>
          </w:tcPr>
          <w:p w14:paraId="1C71324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约20户70人，房屋侧向、背向公路。</w:t>
            </w:r>
          </w:p>
        </w:tc>
      </w:tr>
      <w:tr w14:paraId="64623A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6A936C4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三汇镇桂花村官山梁子居民点</w:t>
            </w:r>
          </w:p>
        </w:tc>
        <w:tc>
          <w:tcPr>
            <w:tcW w:w="232" w:type="pct"/>
            <w:tcBorders>
              <w:tl2br w:val="nil"/>
              <w:tr2bl w:val="nil"/>
            </w:tcBorders>
            <w:noWrap w:val="0"/>
            <w:tcMar>
              <w:top w:w="51" w:type="dxa"/>
              <w:left w:w="51" w:type="dxa"/>
              <w:bottom w:w="51" w:type="dxa"/>
              <w:right w:w="51" w:type="dxa"/>
            </w:tcMar>
            <w:vAlign w:val="center"/>
          </w:tcPr>
          <w:p w14:paraId="0BB29E5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52FD492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K69+660-K69+878</w:t>
            </w:r>
          </w:p>
        </w:tc>
        <w:tc>
          <w:tcPr>
            <w:tcW w:w="248" w:type="pct"/>
            <w:tcBorders>
              <w:tl2br w:val="nil"/>
              <w:tr2bl w:val="nil"/>
            </w:tcBorders>
            <w:noWrap w:val="0"/>
            <w:tcMar>
              <w:top w:w="51" w:type="dxa"/>
              <w:left w:w="51" w:type="dxa"/>
              <w:bottom w:w="51" w:type="dxa"/>
              <w:right w:w="51" w:type="dxa"/>
            </w:tcMar>
            <w:vAlign w:val="center"/>
          </w:tcPr>
          <w:p w14:paraId="06C8363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33D30E0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7098BF3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2783E15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356" w:type="pct"/>
            <w:tcBorders>
              <w:tl2br w:val="nil"/>
              <w:tr2bl w:val="nil"/>
            </w:tcBorders>
            <w:noWrap w:val="0"/>
            <w:tcMar>
              <w:top w:w="51" w:type="dxa"/>
              <w:left w:w="51" w:type="dxa"/>
              <w:bottom w:w="51" w:type="dxa"/>
              <w:right w:w="51" w:type="dxa"/>
            </w:tcMar>
            <w:vAlign w:val="center"/>
          </w:tcPr>
          <w:p w14:paraId="3AB4999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66BF31B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50</w:t>
            </w:r>
          </w:p>
        </w:tc>
        <w:tc>
          <w:tcPr>
            <w:tcW w:w="266" w:type="pct"/>
            <w:tcBorders>
              <w:tl2br w:val="nil"/>
              <w:tr2bl w:val="nil"/>
            </w:tcBorders>
            <w:noWrap w:val="0"/>
            <w:tcMar>
              <w:top w:w="51" w:type="dxa"/>
              <w:left w:w="51" w:type="dxa"/>
              <w:bottom w:w="51" w:type="dxa"/>
              <w:right w:w="51" w:type="dxa"/>
            </w:tcMar>
            <w:vAlign w:val="center"/>
          </w:tcPr>
          <w:p w14:paraId="5ED4D46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7264746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62.75</w:t>
            </w:r>
          </w:p>
        </w:tc>
        <w:tc>
          <w:tcPr>
            <w:tcW w:w="266" w:type="pct"/>
            <w:tcBorders>
              <w:tl2br w:val="nil"/>
              <w:tr2bl w:val="nil"/>
            </w:tcBorders>
            <w:noWrap w:val="0"/>
            <w:tcMar>
              <w:top w:w="51" w:type="dxa"/>
              <w:left w:w="51" w:type="dxa"/>
              <w:bottom w:w="51" w:type="dxa"/>
              <w:right w:w="51" w:type="dxa"/>
            </w:tcMar>
            <w:vAlign w:val="center"/>
          </w:tcPr>
          <w:p w14:paraId="600058A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3567299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w:t>
            </w:r>
          </w:p>
        </w:tc>
        <w:tc>
          <w:tcPr>
            <w:tcW w:w="780" w:type="pct"/>
            <w:tcBorders>
              <w:tl2br w:val="nil"/>
              <w:tr2bl w:val="nil"/>
            </w:tcBorders>
            <w:noWrap w:val="0"/>
            <w:tcMar>
              <w:top w:w="51" w:type="dxa"/>
              <w:left w:w="51" w:type="dxa"/>
              <w:bottom w:w="51" w:type="dxa"/>
              <w:right w:w="51" w:type="dxa"/>
            </w:tcMar>
            <w:vAlign w:val="center"/>
          </w:tcPr>
          <w:p w14:paraId="174F11A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约12户40人，房屋侧向、背向公路。</w:t>
            </w:r>
          </w:p>
        </w:tc>
      </w:tr>
      <w:tr w14:paraId="030BD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2E15E96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三汇镇桂花村蒋家石桥居民点</w:t>
            </w:r>
          </w:p>
        </w:tc>
        <w:tc>
          <w:tcPr>
            <w:tcW w:w="232" w:type="pct"/>
            <w:tcBorders>
              <w:tl2br w:val="nil"/>
              <w:tr2bl w:val="nil"/>
            </w:tcBorders>
            <w:noWrap w:val="0"/>
            <w:tcMar>
              <w:top w:w="51" w:type="dxa"/>
              <w:left w:w="51" w:type="dxa"/>
              <w:bottom w:w="51" w:type="dxa"/>
              <w:right w:w="51" w:type="dxa"/>
            </w:tcMar>
            <w:vAlign w:val="center"/>
          </w:tcPr>
          <w:p w14:paraId="3E4481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7BC7AED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K70+100-K70+260</w:t>
            </w:r>
          </w:p>
        </w:tc>
        <w:tc>
          <w:tcPr>
            <w:tcW w:w="248" w:type="pct"/>
            <w:tcBorders>
              <w:tl2br w:val="nil"/>
              <w:tr2bl w:val="nil"/>
            </w:tcBorders>
            <w:noWrap w:val="0"/>
            <w:tcMar>
              <w:top w:w="51" w:type="dxa"/>
              <w:left w:w="51" w:type="dxa"/>
              <w:bottom w:w="51" w:type="dxa"/>
              <w:right w:w="51" w:type="dxa"/>
            </w:tcMar>
            <w:vAlign w:val="center"/>
          </w:tcPr>
          <w:p w14:paraId="46F5ED9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35634CD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6C49F4C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187" w:type="pct"/>
            <w:tcBorders>
              <w:tl2br w:val="nil"/>
              <w:tr2bl w:val="nil"/>
            </w:tcBorders>
            <w:noWrap w:val="0"/>
            <w:tcMar>
              <w:top w:w="51" w:type="dxa"/>
              <w:left w:w="51" w:type="dxa"/>
              <w:bottom w:w="51" w:type="dxa"/>
              <w:right w:w="51" w:type="dxa"/>
            </w:tcMar>
            <w:vAlign w:val="center"/>
          </w:tcPr>
          <w:p w14:paraId="1087D3F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356" w:type="pct"/>
            <w:tcBorders>
              <w:tl2br w:val="nil"/>
              <w:tr2bl w:val="nil"/>
            </w:tcBorders>
            <w:noWrap w:val="0"/>
            <w:tcMar>
              <w:top w:w="51" w:type="dxa"/>
              <w:left w:w="51" w:type="dxa"/>
              <w:bottom w:w="51" w:type="dxa"/>
              <w:right w:w="51" w:type="dxa"/>
            </w:tcMar>
            <w:vAlign w:val="center"/>
          </w:tcPr>
          <w:p w14:paraId="2D85F8A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274" w:type="pct"/>
            <w:tcBorders>
              <w:tl2br w:val="nil"/>
              <w:tr2bl w:val="nil"/>
            </w:tcBorders>
            <w:noWrap w:val="0"/>
            <w:tcMar>
              <w:top w:w="51" w:type="dxa"/>
              <w:left w:w="51" w:type="dxa"/>
              <w:bottom w:w="51" w:type="dxa"/>
              <w:right w:w="51" w:type="dxa"/>
            </w:tcMar>
            <w:vAlign w:val="center"/>
          </w:tcPr>
          <w:p w14:paraId="17E9439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165</w:t>
            </w:r>
          </w:p>
        </w:tc>
        <w:tc>
          <w:tcPr>
            <w:tcW w:w="266" w:type="pct"/>
            <w:tcBorders>
              <w:tl2br w:val="nil"/>
              <w:tr2bl w:val="nil"/>
            </w:tcBorders>
            <w:noWrap w:val="0"/>
            <w:tcMar>
              <w:top w:w="51" w:type="dxa"/>
              <w:left w:w="51" w:type="dxa"/>
              <w:bottom w:w="51" w:type="dxa"/>
              <w:right w:w="51" w:type="dxa"/>
            </w:tcMar>
            <w:vAlign w:val="center"/>
          </w:tcPr>
          <w:p w14:paraId="45A9FE7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22.75</w:t>
            </w:r>
          </w:p>
        </w:tc>
        <w:tc>
          <w:tcPr>
            <w:tcW w:w="274" w:type="pct"/>
            <w:tcBorders>
              <w:tl2br w:val="nil"/>
              <w:tr2bl w:val="nil"/>
            </w:tcBorders>
            <w:noWrap w:val="0"/>
            <w:tcMar>
              <w:top w:w="51" w:type="dxa"/>
              <w:left w:w="51" w:type="dxa"/>
              <w:bottom w:w="51" w:type="dxa"/>
              <w:right w:w="51" w:type="dxa"/>
            </w:tcMar>
            <w:vAlign w:val="center"/>
          </w:tcPr>
          <w:p w14:paraId="2432248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177.75</w:t>
            </w:r>
          </w:p>
        </w:tc>
        <w:tc>
          <w:tcPr>
            <w:tcW w:w="266" w:type="pct"/>
            <w:tcBorders>
              <w:tl2br w:val="nil"/>
              <w:tr2bl w:val="nil"/>
            </w:tcBorders>
            <w:noWrap w:val="0"/>
            <w:tcMar>
              <w:top w:w="51" w:type="dxa"/>
              <w:left w:w="51" w:type="dxa"/>
              <w:bottom w:w="51" w:type="dxa"/>
              <w:right w:w="51" w:type="dxa"/>
            </w:tcMar>
            <w:vAlign w:val="center"/>
          </w:tcPr>
          <w:p w14:paraId="6F6B188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136" w:type="pct"/>
            <w:tcBorders>
              <w:tl2br w:val="nil"/>
              <w:tr2bl w:val="nil"/>
            </w:tcBorders>
            <w:noWrap w:val="0"/>
            <w:tcMar>
              <w:top w:w="51" w:type="dxa"/>
              <w:left w:w="51" w:type="dxa"/>
              <w:bottom w:w="51" w:type="dxa"/>
              <w:right w:w="51" w:type="dxa"/>
            </w:tcMar>
            <w:vAlign w:val="center"/>
          </w:tcPr>
          <w:p w14:paraId="18B0CF8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780" w:type="pct"/>
            <w:tcBorders>
              <w:tl2br w:val="nil"/>
              <w:tr2bl w:val="nil"/>
            </w:tcBorders>
            <w:noWrap w:val="0"/>
            <w:tcMar>
              <w:top w:w="51" w:type="dxa"/>
              <w:left w:w="51" w:type="dxa"/>
              <w:bottom w:w="51" w:type="dxa"/>
              <w:right w:w="51" w:type="dxa"/>
            </w:tcMar>
            <w:vAlign w:val="center"/>
          </w:tcPr>
          <w:p w14:paraId="35E54C9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约13户45人，房屋侧向、背向公路。</w:t>
            </w:r>
          </w:p>
        </w:tc>
      </w:tr>
      <w:tr w14:paraId="5FB640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289B26B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三汇镇桂花村吊脚楼居民点</w:t>
            </w:r>
          </w:p>
        </w:tc>
        <w:tc>
          <w:tcPr>
            <w:tcW w:w="232" w:type="pct"/>
            <w:tcBorders>
              <w:tl2br w:val="nil"/>
              <w:tr2bl w:val="nil"/>
            </w:tcBorders>
            <w:noWrap w:val="0"/>
            <w:tcMar>
              <w:top w:w="51" w:type="dxa"/>
              <w:left w:w="51" w:type="dxa"/>
              <w:bottom w:w="51" w:type="dxa"/>
              <w:right w:w="51" w:type="dxa"/>
            </w:tcMar>
            <w:vAlign w:val="center"/>
          </w:tcPr>
          <w:p w14:paraId="290FA2C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4C3F4A1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K70+100-K70+165</w:t>
            </w:r>
          </w:p>
        </w:tc>
        <w:tc>
          <w:tcPr>
            <w:tcW w:w="248" w:type="pct"/>
            <w:tcBorders>
              <w:tl2br w:val="nil"/>
              <w:tr2bl w:val="nil"/>
            </w:tcBorders>
            <w:noWrap w:val="0"/>
            <w:tcMar>
              <w:top w:w="51" w:type="dxa"/>
              <w:left w:w="51" w:type="dxa"/>
              <w:bottom w:w="51" w:type="dxa"/>
              <w:right w:w="51" w:type="dxa"/>
            </w:tcMar>
            <w:vAlign w:val="center"/>
          </w:tcPr>
          <w:p w14:paraId="2DE0EDE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2C76602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63B5457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52929CE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356" w:type="pct"/>
            <w:tcBorders>
              <w:tl2br w:val="nil"/>
              <w:tr2bl w:val="nil"/>
            </w:tcBorders>
            <w:noWrap w:val="0"/>
            <w:tcMar>
              <w:top w:w="51" w:type="dxa"/>
              <w:left w:w="51" w:type="dxa"/>
              <w:bottom w:w="51" w:type="dxa"/>
              <w:right w:w="51" w:type="dxa"/>
            </w:tcMar>
            <w:vAlign w:val="center"/>
          </w:tcPr>
          <w:p w14:paraId="0224E1E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274" w:type="pct"/>
            <w:tcBorders>
              <w:tl2br w:val="nil"/>
              <w:tr2bl w:val="nil"/>
            </w:tcBorders>
            <w:noWrap w:val="0"/>
            <w:tcMar>
              <w:top w:w="51" w:type="dxa"/>
              <w:left w:w="51" w:type="dxa"/>
              <w:bottom w:w="51" w:type="dxa"/>
              <w:right w:w="51" w:type="dxa"/>
            </w:tcMar>
            <w:vAlign w:val="center"/>
          </w:tcPr>
          <w:p w14:paraId="2E63CBE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40</w:t>
            </w:r>
          </w:p>
        </w:tc>
        <w:tc>
          <w:tcPr>
            <w:tcW w:w="266" w:type="pct"/>
            <w:tcBorders>
              <w:tl2br w:val="nil"/>
              <w:tr2bl w:val="nil"/>
            </w:tcBorders>
            <w:noWrap w:val="0"/>
            <w:tcMar>
              <w:top w:w="51" w:type="dxa"/>
              <w:left w:w="51" w:type="dxa"/>
              <w:bottom w:w="51" w:type="dxa"/>
              <w:right w:w="51" w:type="dxa"/>
            </w:tcMar>
            <w:vAlign w:val="center"/>
          </w:tcPr>
          <w:p w14:paraId="61D62D9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74" w:type="pct"/>
            <w:tcBorders>
              <w:tl2br w:val="nil"/>
              <w:tr2bl w:val="nil"/>
            </w:tcBorders>
            <w:noWrap w:val="0"/>
            <w:tcMar>
              <w:top w:w="51" w:type="dxa"/>
              <w:left w:w="51" w:type="dxa"/>
              <w:bottom w:w="51" w:type="dxa"/>
              <w:right w:w="51" w:type="dxa"/>
            </w:tcMar>
            <w:vAlign w:val="center"/>
          </w:tcPr>
          <w:p w14:paraId="45CE3E6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52.75</w:t>
            </w:r>
          </w:p>
        </w:tc>
        <w:tc>
          <w:tcPr>
            <w:tcW w:w="266" w:type="pct"/>
            <w:tcBorders>
              <w:tl2br w:val="nil"/>
              <w:tr2bl w:val="nil"/>
            </w:tcBorders>
            <w:noWrap w:val="0"/>
            <w:tcMar>
              <w:top w:w="51" w:type="dxa"/>
              <w:left w:w="51" w:type="dxa"/>
              <w:bottom w:w="51" w:type="dxa"/>
              <w:right w:w="51" w:type="dxa"/>
            </w:tcMar>
            <w:vAlign w:val="center"/>
          </w:tcPr>
          <w:p w14:paraId="66EB489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36" w:type="pct"/>
            <w:tcBorders>
              <w:tl2br w:val="nil"/>
              <w:tr2bl w:val="nil"/>
            </w:tcBorders>
            <w:noWrap w:val="0"/>
            <w:tcMar>
              <w:top w:w="51" w:type="dxa"/>
              <w:left w:w="51" w:type="dxa"/>
              <w:bottom w:w="51" w:type="dxa"/>
              <w:right w:w="51" w:type="dxa"/>
            </w:tcMar>
            <w:vAlign w:val="center"/>
          </w:tcPr>
          <w:p w14:paraId="610F307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780" w:type="pct"/>
            <w:tcBorders>
              <w:tl2br w:val="nil"/>
              <w:tr2bl w:val="nil"/>
            </w:tcBorders>
            <w:noWrap w:val="0"/>
            <w:tcMar>
              <w:top w:w="51" w:type="dxa"/>
              <w:left w:w="51" w:type="dxa"/>
              <w:bottom w:w="51" w:type="dxa"/>
              <w:right w:w="51" w:type="dxa"/>
            </w:tcMar>
            <w:vAlign w:val="center"/>
          </w:tcPr>
          <w:p w14:paraId="67EC802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约8户25人，房屋侧向、背向公路。</w:t>
            </w:r>
          </w:p>
        </w:tc>
      </w:tr>
      <w:tr w14:paraId="70EED4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31FB72A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三汇镇桂花村庙子湾居民点</w:t>
            </w:r>
          </w:p>
        </w:tc>
        <w:tc>
          <w:tcPr>
            <w:tcW w:w="232" w:type="pct"/>
            <w:tcBorders>
              <w:tl2br w:val="nil"/>
              <w:tr2bl w:val="nil"/>
            </w:tcBorders>
            <w:noWrap w:val="0"/>
            <w:tcMar>
              <w:top w:w="51" w:type="dxa"/>
              <w:left w:w="51" w:type="dxa"/>
              <w:bottom w:w="51" w:type="dxa"/>
              <w:right w:w="51" w:type="dxa"/>
            </w:tcMar>
            <w:vAlign w:val="center"/>
          </w:tcPr>
          <w:p w14:paraId="360F47B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5ACDBAE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K70+330-K71+200</w:t>
            </w:r>
          </w:p>
        </w:tc>
        <w:tc>
          <w:tcPr>
            <w:tcW w:w="248" w:type="pct"/>
            <w:tcBorders>
              <w:tl2br w:val="nil"/>
              <w:tr2bl w:val="nil"/>
            </w:tcBorders>
            <w:noWrap w:val="0"/>
            <w:tcMar>
              <w:top w:w="51" w:type="dxa"/>
              <w:left w:w="51" w:type="dxa"/>
              <w:bottom w:w="51" w:type="dxa"/>
              <w:right w:w="51" w:type="dxa"/>
            </w:tcMar>
            <w:vAlign w:val="center"/>
          </w:tcPr>
          <w:p w14:paraId="6EE78D0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15C22F5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1AD0247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w:t>
            </w:r>
          </w:p>
        </w:tc>
        <w:tc>
          <w:tcPr>
            <w:tcW w:w="187" w:type="pct"/>
            <w:tcBorders>
              <w:tl2br w:val="nil"/>
              <w:tr2bl w:val="nil"/>
            </w:tcBorders>
            <w:noWrap w:val="0"/>
            <w:tcMar>
              <w:top w:w="51" w:type="dxa"/>
              <w:left w:w="51" w:type="dxa"/>
              <w:bottom w:w="51" w:type="dxa"/>
              <w:right w:w="51" w:type="dxa"/>
            </w:tcMar>
            <w:vAlign w:val="center"/>
          </w:tcPr>
          <w:p w14:paraId="544C6F5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356" w:type="pct"/>
            <w:tcBorders>
              <w:tl2br w:val="nil"/>
              <w:tr2bl w:val="nil"/>
            </w:tcBorders>
            <w:noWrap w:val="0"/>
            <w:tcMar>
              <w:top w:w="51" w:type="dxa"/>
              <w:left w:w="51" w:type="dxa"/>
              <w:bottom w:w="51" w:type="dxa"/>
              <w:right w:w="51" w:type="dxa"/>
            </w:tcMar>
            <w:vAlign w:val="center"/>
          </w:tcPr>
          <w:p w14:paraId="234430F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w:t>
            </w:r>
          </w:p>
        </w:tc>
        <w:tc>
          <w:tcPr>
            <w:tcW w:w="274" w:type="pct"/>
            <w:tcBorders>
              <w:tl2br w:val="nil"/>
              <w:tr2bl w:val="nil"/>
            </w:tcBorders>
            <w:noWrap w:val="0"/>
            <w:tcMar>
              <w:top w:w="51" w:type="dxa"/>
              <w:left w:w="51" w:type="dxa"/>
              <w:bottom w:w="51" w:type="dxa"/>
              <w:right w:w="51" w:type="dxa"/>
            </w:tcMar>
            <w:vAlign w:val="center"/>
          </w:tcPr>
          <w:p w14:paraId="2819CC9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80</w:t>
            </w:r>
          </w:p>
        </w:tc>
        <w:tc>
          <w:tcPr>
            <w:tcW w:w="266" w:type="pct"/>
            <w:tcBorders>
              <w:tl2br w:val="nil"/>
              <w:tr2bl w:val="nil"/>
            </w:tcBorders>
            <w:noWrap w:val="0"/>
            <w:tcMar>
              <w:top w:w="51" w:type="dxa"/>
              <w:left w:w="51" w:type="dxa"/>
              <w:bottom w:w="51" w:type="dxa"/>
              <w:right w:w="51" w:type="dxa"/>
            </w:tcMar>
            <w:vAlign w:val="center"/>
          </w:tcPr>
          <w:p w14:paraId="3BD7B04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74" w:type="pct"/>
            <w:tcBorders>
              <w:tl2br w:val="nil"/>
              <w:tr2bl w:val="nil"/>
            </w:tcBorders>
            <w:noWrap w:val="0"/>
            <w:tcMar>
              <w:top w:w="51" w:type="dxa"/>
              <w:left w:w="51" w:type="dxa"/>
              <w:bottom w:w="51" w:type="dxa"/>
              <w:right w:w="51" w:type="dxa"/>
            </w:tcMar>
            <w:vAlign w:val="center"/>
          </w:tcPr>
          <w:p w14:paraId="2A44E11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92.75</w:t>
            </w:r>
          </w:p>
        </w:tc>
        <w:tc>
          <w:tcPr>
            <w:tcW w:w="266" w:type="pct"/>
            <w:tcBorders>
              <w:tl2br w:val="nil"/>
              <w:tr2bl w:val="nil"/>
            </w:tcBorders>
            <w:noWrap w:val="0"/>
            <w:tcMar>
              <w:top w:w="51" w:type="dxa"/>
              <w:left w:w="51" w:type="dxa"/>
              <w:bottom w:w="51" w:type="dxa"/>
              <w:right w:w="51" w:type="dxa"/>
            </w:tcMar>
            <w:vAlign w:val="center"/>
          </w:tcPr>
          <w:p w14:paraId="43FB342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136" w:type="pct"/>
            <w:tcBorders>
              <w:tl2br w:val="nil"/>
              <w:tr2bl w:val="nil"/>
            </w:tcBorders>
            <w:noWrap w:val="0"/>
            <w:tcMar>
              <w:top w:w="51" w:type="dxa"/>
              <w:left w:w="51" w:type="dxa"/>
              <w:bottom w:w="51" w:type="dxa"/>
              <w:right w:w="51" w:type="dxa"/>
            </w:tcMar>
            <w:vAlign w:val="center"/>
          </w:tcPr>
          <w:p w14:paraId="5C16CFC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35</w:t>
            </w:r>
          </w:p>
        </w:tc>
        <w:tc>
          <w:tcPr>
            <w:tcW w:w="780" w:type="pct"/>
            <w:tcBorders>
              <w:tl2br w:val="nil"/>
              <w:tr2bl w:val="nil"/>
            </w:tcBorders>
            <w:noWrap w:val="0"/>
            <w:tcMar>
              <w:top w:w="51" w:type="dxa"/>
              <w:left w:w="51" w:type="dxa"/>
              <w:bottom w:w="51" w:type="dxa"/>
              <w:right w:w="51" w:type="dxa"/>
            </w:tcMar>
            <w:vAlign w:val="center"/>
          </w:tcPr>
          <w:p w14:paraId="325698F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39栋砖混楼房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约39户130人，房屋侧向、背向公路。</w:t>
            </w:r>
          </w:p>
        </w:tc>
      </w:tr>
      <w:tr w14:paraId="03787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4AB40EB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三汇镇桂花村桂花桥居民点</w:t>
            </w:r>
          </w:p>
        </w:tc>
        <w:tc>
          <w:tcPr>
            <w:tcW w:w="232" w:type="pct"/>
            <w:tcBorders>
              <w:tl2br w:val="nil"/>
              <w:tr2bl w:val="nil"/>
            </w:tcBorders>
            <w:noWrap w:val="0"/>
            <w:tcMar>
              <w:top w:w="51" w:type="dxa"/>
              <w:left w:w="51" w:type="dxa"/>
              <w:bottom w:w="51" w:type="dxa"/>
              <w:right w:w="51" w:type="dxa"/>
            </w:tcMar>
            <w:vAlign w:val="center"/>
          </w:tcPr>
          <w:p w14:paraId="5EDDD5C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2399535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K71+100-K71+300</w:t>
            </w:r>
          </w:p>
        </w:tc>
        <w:tc>
          <w:tcPr>
            <w:tcW w:w="248" w:type="pct"/>
            <w:tcBorders>
              <w:tl2br w:val="nil"/>
              <w:tr2bl w:val="nil"/>
            </w:tcBorders>
            <w:noWrap w:val="0"/>
            <w:tcMar>
              <w:top w:w="51" w:type="dxa"/>
              <w:left w:w="51" w:type="dxa"/>
              <w:bottom w:w="51" w:type="dxa"/>
              <w:right w:w="51" w:type="dxa"/>
            </w:tcMar>
            <w:vAlign w:val="center"/>
          </w:tcPr>
          <w:p w14:paraId="651239E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42D9373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6E366F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004937C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356" w:type="pct"/>
            <w:tcBorders>
              <w:tl2br w:val="nil"/>
              <w:tr2bl w:val="nil"/>
            </w:tcBorders>
            <w:noWrap w:val="0"/>
            <w:tcMar>
              <w:top w:w="51" w:type="dxa"/>
              <w:left w:w="51" w:type="dxa"/>
              <w:bottom w:w="51" w:type="dxa"/>
              <w:right w:w="51" w:type="dxa"/>
            </w:tcMar>
            <w:vAlign w:val="center"/>
          </w:tcPr>
          <w:p w14:paraId="3D74379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3B9D6F6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135</w:t>
            </w:r>
          </w:p>
        </w:tc>
        <w:tc>
          <w:tcPr>
            <w:tcW w:w="266" w:type="pct"/>
            <w:tcBorders>
              <w:tl2br w:val="nil"/>
              <w:tr2bl w:val="nil"/>
            </w:tcBorders>
            <w:noWrap w:val="0"/>
            <w:tcMar>
              <w:top w:w="51" w:type="dxa"/>
              <w:left w:w="51" w:type="dxa"/>
              <w:bottom w:w="51" w:type="dxa"/>
              <w:right w:w="51" w:type="dxa"/>
            </w:tcMar>
            <w:vAlign w:val="center"/>
          </w:tcPr>
          <w:p w14:paraId="01F997F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6D6F919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147.75</w:t>
            </w:r>
          </w:p>
        </w:tc>
        <w:tc>
          <w:tcPr>
            <w:tcW w:w="266" w:type="pct"/>
            <w:tcBorders>
              <w:tl2br w:val="nil"/>
              <w:tr2bl w:val="nil"/>
            </w:tcBorders>
            <w:noWrap w:val="0"/>
            <w:tcMar>
              <w:top w:w="51" w:type="dxa"/>
              <w:left w:w="51" w:type="dxa"/>
              <w:bottom w:w="51" w:type="dxa"/>
              <w:right w:w="51" w:type="dxa"/>
            </w:tcMar>
            <w:vAlign w:val="center"/>
          </w:tcPr>
          <w:p w14:paraId="696463E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5E14DB0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w:t>
            </w:r>
          </w:p>
        </w:tc>
        <w:tc>
          <w:tcPr>
            <w:tcW w:w="780" w:type="pct"/>
            <w:tcBorders>
              <w:tl2br w:val="nil"/>
              <w:tr2bl w:val="nil"/>
            </w:tcBorders>
            <w:noWrap w:val="0"/>
            <w:tcMar>
              <w:top w:w="51" w:type="dxa"/>
              <w:left w:w="51" w:type="dxa"/>
              <w:bottom w:w="51" w:type="dxa"/>
              <w:right w:w="51" w:type="dxa"/>
            </w:tcMar>
            <w:vAlign w:val="center"/>
          </w:tcPr>
          <w:p w14:paraId="766C6BE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约20户70人，房屋正向公路。</w:t>
            </w:r>
          </w:p>
        </w:tc>
      </w:tr>
      <w:tr w14:paraId="6DCE19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4E19528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三汇镇1#桂花村油竹湾居民点</w:t>
            </w:r>
          </w:p>
        </w:tc>
        <w:tc>
          <w:tcPr>
            <w:tcW w:w="232" w:type="pct"/>
            <w:tcBorders>
              <w:tl2br w:val="nil"/>
              <w:tr2bl w:val="nil"/>
            </w:tcBorders>
            <w:noWrap w:val="0"/>
            <w:tcMar>
              <w:top w:w="51" w:type="dxa"/>
              <w:left w:w="51" w:type="dxa"/>
              <w:bottom w:w="51" w:type="dxa"/>
              <w:right w:w="51" w:type="dxa"/>
            </w:tcMar>
            <w:vAlign w:val="center"/>
          </w:tcPr>
          <w:p w14:paraId="1D159A1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A6ACA1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K71+500-K72+350</w:t>
            </w:r>
          </w:p>
        </w:tc>
        <w:tc>
          <w:tcPr>
            <w:tcW w:w="248" w:type="pct"/>
            <w:tcBorders>
              <w:tl2br w:val="nil"/>
              <w:tr2bl w:val="nil"/>
            </w:tcBorders>
            <w:noWrap w:val="0"/>
            <w:tcMar>
              <w:top w:w="51" w:type="dxa"/>
              <w:left w:w="51" w:type="dxa"/>
              <w:bottom w:w="51" w:type="dxa"/>
              <w:right w:w="51" w:type="dxa"/>
            </w:tcMar>
            <w:vAlign w:val="center"/>
          </w:tcPr>
          <w:p w14:paraId="5CF1FC3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4E643B5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4531350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187" w:type="pct"/>
            <w:tcBorders>
              <w:tl2br w:val="nil"/>
              <w:tr2bl w:val="nil"/>
            </w:tcBorders>
            <w:noWrap w:val="0"/>
            <w:tcMar>
              <w:top w:w="51" w:type="dxa"/>
              <w:left w:w="51" w:type="dxa"/>
              <w:bottom w:w="51" w:type="dxa"/>
              <w:right w:w="51" w:type="dxa"/>
            </w:tcMar>
            <w:vAlign w:val="center"/>
          </w:tcPr>
          <w:p w14:paraId="22A4378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w:t>
            </w:r>
          </w:p>
        </w:tc>
        <w:tc>
          <w:tcPr>
            <w:tcW w:w="356" w:type="pct"/>
            <w:tcBorders>
              <w:tl2br w:val="nil"/>
              <w:tr2bl w:val="nil"/>
            </w:tcBorders>
            <w:noWrap w:val="0"/>
            <w:tcMar>
              <w:top w:w="51" w:type="dxa"/>
              <w:left w:w="51" w:type="dxa"/>
              <w:bottom w:w="51" w:type="dxa"/>
              <w:right w:w="51" w:type="dxa"/>
            </w:tcMar>
            <w:vAlign w:val="center"/>
          </w:tcPr>
          <w:p w14:paraId="7B88BF2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10/30</w:t>
            </w:r>
          </w:p>
        </w:tc>
        <w:tc>
          <w:tcPr>
            <w:tcW w:w="274" w:type="pct"/>
            <w:tcBorders>
              <w:tl2br w:val="nil"/>
              <w:tr2bl w:val="nil"/>
            </w:tcBorders>
            <w:noWrap w:val="0"/>
            <w:tcMar>
              <w:top w:w="51" w:type="dxa"/>
              <w:left w:w="51" w:type="dxa"/>
              <w:bottom w:w="51" w:type="dxa"/>
              <w:right w:w="51" w:type="dxa"/>
            </w:tcMar>
            <w:vAlign w:val="center"/>
          </w:tcPr>
          <w:p w14:paraId="1CE0D4D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50</w:t>
            </w:r>
          </w:p>
        </w:tc>
        <w:tc>
          <w:tcPr>
            <w:tcW w:w="266" w:type="pct"/>
            <w:tcBorders>
              <w:tl2br w:val="nil"/>
              <w:tr2bl w:val="nil"/>
            </w:tcBorders>
            <w:noWrap w:val="0"/>
            <w:tcMar>
              <w:top w:w="51" w:type="dxa"/>
              <w:left w:w="51" w:type="dxa"/>
              <w:bottom w:w="51" w:type="dxa"/>
              <w:right w:w="51" w:type="dxa"/>
            </w:tcMar>
            <w:vAlign w:val="center"/>
          </w:tcPr>
          <w:p w14:paraId="16A001C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22.75/42.75</w:t>
            </w:r>
          </w:p>
        </w:tc>
        <w:tc>
          <w:tcPr>
            <w:tcW w:w="274" w:type="pct"/>
            <w:tcBorders>
              <w:tl2br w:val="nil"/>
              <w:tr2bl w:val="nil"/>
            </w:tcBorders>
            <w:noWrap w:val="0"/>
            <w:tcMar>
              <w:top w:w="51" w:type="dxa"/>
              <w:left w:w="51" w:type="dxa"/>
              <w:bottom w:w="51" w:type="dxa"/>
              <w:right w:w="51" w:type="dxa"/>
            </w:tcMar>
            <w:vAlign w:val="center"/>
          </w:tcPr>
          <w:p w14:paraId="68ABF8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62.75</w:t>
            </w:r>
          </w:p>
        </w:tc>
        <w:tc>
          <w:tcPr>
            <w:tcW w:w="266" w:type="pct"/>
            <w:tcBorders>
              <w:tl2br w:val="nil"/>
              <w:tr2bl w:val="nil"/>
            </w:tcBorders>
            <w:noWrap w:val="0"/>
            <w:tcMar>
              <w:top w:w="51" w:type="dxa"/>
              <w:left w:w="51" w:type="dxa"/>
              <w:bottom w:w="51" w:type="dxa"/>
              <w:right w:w="51" w:type="dxa"/>
            </w:tcMar>
            <w:vAlign w:val="center"/>
          </w:tcPr>
          <w:p w14:paraId="4ADED0A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136" w:type="pct"/>
            <w:tcBorders>
              <w:tl2br w:val="nil"/>
              <w:tr2bl w:val="nil"/>
            </w:tcBorders>
            <w:noWrap w:val="0"/>
            <w:tcMar>
              <w:top w:w="51" w:type="dxa"/>
              <w:left w:w="51" w:type="dxa"/>
              <w:bottom w:w="51" w:type="dxa"/>
              <w:right w:w="51" w:type="dxa"/>
            </w:tcMar>
            <w:vAlign w:val="center"/>
          </w:tcPr>
          <w:p w14:paraId="374E098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28</w:t>
            </w:r>
          </w:p>
        </w:tc>
        <w:tc>
          <w:tcPr>
            <w:tcW w:w="780" w:type="pct"/>
            <w:tcBorders>
              <w:tl2br w:val="nil"/>
              <w:tr2bl w:val="nil"/>
            </w:tcBorders>
            <w:noWrap w:val="0"/>
            <w:tcMar>
              <w:top w:w="51" w:type="dxa"/>
              <w:left w:w="51" w:type="dxa"/>
              <w:bottom w:w="51" w:type="dxa"/>
              <w:right w:w="51" w:type="dxa"/>
            </w:tcMar>
            <w:vAlign w:val="center"/>
          </w:tcPr>
          <w:p w14:paraId="168E781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31栋砖混楼房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约31户100人，房屋侧向、正向公路。</w:t>
            </w:r>
          </w:p>
        </w:tc>
      </w:tr>
      <w:tr w14:paraId="7F374D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6AECE2C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三汇镇2#桂花村油竹湾居民点</w:t>
            </w:r>
          </w:p>
        </w:tc>
        <w:tc>
          <w:tcPr>
            <w:tcW w:w="232" w:type="pct"/>
            <w:tcBorders>
              <w:tl2br w:val="nil"/>
              <w:tr2bl w:val="nil"/>
            </w:tcBorders>
            <w:noWrap w:val="0"/>
            <w:tcMar>
              <w:top w:w="51" w:type="dxa"/>
              <w:left w:w="51" w:type="dxa"/>
              <w:bottom w:w="51" w:type="dxa"/>
              <w:right w:w="51" w:type="dxa"/>
            </w:tcMar>
            <w:vAlign w:val="center"/>
          </w:tcPr>
          <w:p w14:paraId="3BB6704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7C2B115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K71+300-K71+500</w:t>
            </w:r>
          </w:p>
        </w:tc>
        <w:tc>
          <w:tcPr>
            <w:tcW w:w="248" w:type="pct"/>
            <w:tcBorders>
              <w:tl2br w:val="nil"/>
              <w:tr2bl w:val="nil"/>
            </w:tcBorders>
            <w:noWrap w:val="0"/>
            <w:tcMar>
              <w:top w:w="51" w:type="dxa"/>
              <w:left w:w="51" w:type="dxa"/>
              <w:bottom w:w="51" w:type="dxa"/>
              <w:right w:w="51" w:type="dxa"/>
            </w:tcMar>
            <w:vAlign w:val="center"/>
          </w:tcPr>
          <w:p w14:paraId="1B3E530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桥</w:t>
            </w:r>
          </w:p>
        </w:tc>
        <w:tc>
          <w:tcPr>
            <w:tcW w:w="312" w:type="pct"/>
            <w:tcBorders>
              <w:tl2br w:val="nil"/>
              <w:tr2bl w:val="nil"/>
            </w:tcBorders>
            <w:noWrap w:val="0"/>
            <w:tcMar>
              <w:top w:w="51" w:type="dxa"/>
              <w:left w:w="51" w:type="dxa"/>
              <w:bottom w:w="51" w:type="dxa"/>
              <w:right w:w="51" w:type="dxa"/>
            </w:tcMar>
            <w:vAlign w:val="center"/>
          </w:tcPr>
          <w:p w14:paraId="4F3CD53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5EB29E7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187" w:type="pct"/>
            <w:tcBorders>
              <w:tl2br w:val="nil"/>
              <w:tr2bl w:val="nil"/>
            </w:tcBorders>
            <w:noWrap w:val="0"/>
            <w:tcMar>
              <w:top w:w="51" w:type="dxa"/>
              <w:left w:w="51" w:type="dxa"/>
              <w:bottom w:w="51" w:type="dxa"/>
              <w:right w:w="51" w:type="dxa"/>
            </w:tcMar>
            <w:vAlign w:val="center"/>
          </w:tcPr>
          <w:p w14:paraId="2534727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356" w:type="pct"/>
            <w:tcBorders>
              <w:tl2br w:val="nil"/>
              <w:tr2bl w:val="nil"/>
            </w:tcBorders>
            <w:noWrap w:val="0"/>
            <w:tcMar>
              <w:top w:w="51" w:type="dxa"/>
              <w:left w:w="51" w:type="dxa"/>
              <w:bottom w:w="51" w:type="dxa"/>
              <w:right w:w="51" w:type="dxa"/>
            </w:tcMar>
            <w:vAlign w:val="center"/>
          </w:tcPr>
          <w:p w14:paraId="0DFEBD2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274" w:type="pct"/>
            <w:tcBorders>
              <w:tl2br w:val="nil"/>
              <w:tr2bl w:val="nil"/>
            </w:tcBorders>
            <w:noWrap w:val="0"/>
            <w:tcMar>
              <w:top w:w="51" w:type="dxa"/>
              <w:left w:w="51" w:type="dxa"/>
              <w:bottom w:w="51" w:type="dxa"/>
              <w:right w:w="51" w:type="dxa"/>
            </w:tcMar>
            <w:vAlign w:val="center"/>
          </w:tcPr>
          <w:p w14:paraId="35C7DAA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w:t>
            </w:r>
          </w:p>
        </w:tc>
        <w:tc>
          <w:tcPr>
            <w:tcW w:w="266" w:type="pct"/>
            <w:tcBorders>
              <w:tl2br w:val="nil"/>
              <w:tr2bl w:val="nil"/>
            </w:tcBorders>
            <w:noWrap w:val="0"/>
            <w:tcMar>
              <w:top w:w="51" w:type="dxa"/>
              <w:left w:w="51" w:type="dxa"/>
              <w:bottom w:w="51" w:type="dxa"/>
              <w:right w:w="51" w:type="dxa"/>
            </w:tcMar>
            <w:vAlign w:val="center"/>
          </w:tcPr>
          <w:p w14:paraId="391A364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74" w:type="pct"/>
            <w:tcBorders>
              <w:tl2br w:val="nil"/>
              <w:tr2bl w:val="nil"/>
            </w:tcBorders>
            <w:noWrap w:val="0"/>
            <w:tcMar>
              <w:top w:w="51" w:type="dxa"/>
              <w:left w:w="51" w:type="dxa"/>
              <w:bottom w:w="51" w:type="dxa"/>
              <w:right w:w="51" w:type="dxa"/>
            </w:tcMar>
            <w:vAlign w:val="center"/>
          </w:tcPr>
          <w:p w14:paraId="12201D4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54.75</w:t>
            </w:r>
          </w:p>
        </w:tc>
        <w:tc>
          <w:tcPr>
            <w:tcW w:w="266" w:type="pct"/>
            <w:tcBorders>
              <w:tl2br w:val="nil"/>
              <w:tr2bl w:val="nil"/>
            </w:tcBorders>
            <w:noWrap w:val="0"/>
            <w:tcMar>
              <w:top w:w="51" w:type="dxa"/>
              <w:left w:w="51" w:type="dxa"/>
              <w:bottom w:w="51" w:type="dxa"/>
              <w:right w:w="51" w:type="dxa"/>
            </w:tcMar>
            <w:vAlign w:val="center"/>
          </w:tcPr>
          <w:p w14:paraId="6442EF0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136" w:type="pct"/>
            <w:tcBorders>
              <w:tl2br w:val="nil"/>
              <w:tr2bl w:val="nil"/>
            </w:tcBorders>
            <w:noWrap w:val="0"/>
            <w:tcMar>
              <w:top w:w="51" w:type="dxa"/>
              <w:left w:w="51" w:type="dxa"/>
              <w:bottom w:w="51" w:type="dxa"/>
              <w:right w:w="51" w:type="dxa"/>
            </w:tcMar>
            <w:vAlign w:val="center"/>
          </w:tcPr>
          <w:p w14:paraId="3277600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780" w:type="pct"/>
            <w:tcBorders>
              <w:tl2br w:val="nil"/>
              <w:tr2bl w:val="nil"/>
            </w:tcBorders>
            <w:noWrap w:val="0"/>
            <w:tcMar>
              <w:top w:w="51" w:type="dxa"/>
              <w:left w:w="51" w:type="dxa"/>
              <w:bottom w:w="51" w:type="dxa"/>
              <w:right w:w="51" w:type="dxa"/>
            </w:tcMar>
            <w:vAlign w:val="center"/>
          </w:tcPr>
          <w:p w14:paraId="5C10E43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约10户40人，房屋侧向公路。</w:t>
            </w:r>
          </w:p>
        </w:tc>
      </w:tr>
      <w:tr w14:paraId="4D52B8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00B4E9F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三汇镇1#响水村陈家坝居民点</w:t>
            </w:r>
          </w:p>
        </w:tc>
        <w:tc>
          <w:tcPr>
            <w:tcW w:w="232" w:type="pct"/>
            <w:tcBorders>
              <w:tl2br w:val="nil"/>
              <w:tr2bl w:val="nil"/>
            </w:tcBorders>
            <w:noWrap w:val="0"/>
            <w:tcMar>
              <w:top w:w="51" w:type="dxa"/>
              <w:left w:w="51" w:type="dxa"/>
              <w:bottom w:w="51" w:type="dxa"/>
              <w:right w:w="51" w:type="dxa"/>
            </w:tcMar>
            <w:vAlign w:val="center"/>
          </w:tcPr>
          <w:p w14:paraId="7FEFC8E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3A9997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K72+450-K73+150</w:t>
            </w:r>
          </w:p>
        </w:tc>
        <w:tc>
          <w:tcPr>
            <w:tcW w:w="248" w:type="pct"/>
            <w:tcBorders>
              <w:tl2br w:val="nil"/>
              <w:tr2bl w:val="nil"/>
            </w:tcBorders>
            <w:noWrap w:val="0"/>
            <w:tcMar>
              <w:top w:w="51" w:type="dxa"/>
              <w:left w:w="51" w:type="dxa"/>
              <w:bottom w:w="51" w:type="dxa"/>
              <w:right w:w="51" w:type="dxa"/>
            </w:tcMar>
            <w:vAlign w:val="center"/>
          </w:tcPr>
          <w:p w14:paraId="1DCDE87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2D398CA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6634E99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w:t>
            </w:r>
          </w:p>
        </w:tc>
        <w:tc>
          <w:tcPr>
            <w:tcW w:w="187" w:type="pct"/>
            <w:tcBorders>
              <w:tl2br w:val="nil"/>
              <w:tr2bl w:val="nil"/>
            </w:tcBorders>
            <w:noWrap w:val="0"/>
            <w:tcMar>
              <w:top w:w="51" w:type="dxa"/>
              <w:left w:w="51" w:type="dxa"/>
              <w:bottom w:w="51" w:type="dxa"/>
              <w:right w:w="51" w:type="dxa"/>
            </w:tcMar>
            <w:vAlign w:val="center"/>
          </w:tcPr>
          <w:p w14:paraId="5791D5C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-15</w:t>
            </w:r>
          </w:p>
        </w:tc>
        <w:tc>
          <w:tcPr>
            <w:tcW w:w="356" w:type="pct"/>
            <w:tcBorders>
              <w:tl2br w:val="nil"/>
              <w:tr2bl w:val="nil"/>
            </w:tcBorders>
            <w:noWrap w:val="0"/>
            <w:tcMar>
              <w:top w:w="51" w:type="dxa"/>
              <w:left w:w="51" w:type="dxa"/>
              <w:bottom w:w="51" w:type="dxa"/>
              <w:right w:w="51" w:type="dxa"/>
            </w:tcMar>
            <w:vAlign w:val="center"/>
          </w:tcPr>
          <w:p w14:paraId="0519C96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25</w:t>
            </w:r>
          </w:p>
        </w:tc>
        <w:tc>
          <w:tcPr>
            <w:tcW w:w="274" w:type="pct"/>
            <w:tcBorders>
              <w:tl2br w:val="nil"/>
              <w:tr2bl w:val="nil"/>
            </w:tcBorders>
            <w:noWrap w:val="0"/>
            <w:tcMar>
              <w:top w:w="51" w:type="dxa"/>
              <w:left w:w="51" w:type="dxa"/>
              <w:bottom w:w="51" w:type="dxa"/>
              <w:right w:w="51" w:type="dxa"/>
            </w:tcMar>
            <w:vAlign w:val="center"/>
          </w:tcPr>
          <w:p w14:paraId="00A4255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55</w:t>
            </w:r>
          </w:p>
        </w:tc>
        <w:tc>
          <w:tcPr>
            <w:tcW w:w="266" w:type="pct"/>
            <w:tcBorders>
              <w:tl2br w:val="nil"/>
              <w:tr2bl w:val="nil"/>
            </w:tcBorders>
            <w:noWrap w:val="0"/>
            <w:tcMar>
              <w:top w:w="51" w:type="dxa"/>
              <w:left w:w="51" w:type="dxa"/>
              <w:bottom w:w="51" w:type="dxa"/>
              <w:right w:w="51" w:type="dxa"/>
            </w:tcMar>
            <w:vAlign w:val="center"/>
          </w:tcPr>
          <w:p w14:paraId="4ACD882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37.75</w:t>
            </w:r>
          </w:p>
        </w:tc>
        <w:tc>
          <w:tcPr>
            <w:tcW w:w="274" w:type="pct"/>
            <w:tcBorders>
              <w:tl2br w:val="nil"/>
              <w:tr2bl w:val="nil"/>
            </w:tcBorders>
            <w:noWrap w:val="0"/>
            <w:tcMar>
              <w:top w:w="51" w:type="dxa"/>
              <w:left w:w="51" w:type="dxa"/>
              <w:bottom w:w="51" w:type="dxa"/>
              <w:right w:w="51" w:type="dxa"/>
            </w:tcMar>
            <w:vAlign w:val="center"/>
          </w:tcPr>
          <w:p w14:paraId="50F0656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67.75</w:t>
            </w:r>
          </w:p>
        </w:tc>
        <w:tc>
          <w:tcPr>
            <w:tcW w:w="266" w:type="pct"/>
            <w:tcBorders>
              <w:tl2br w:val="nil"/>
              <w:tr2bl w:val="nil"/>
            </w:tcBorders>
            <w:noWrap w:val="0"/>
            <w:tcMar>
              <w:top w:w="51" w:type="dxa"/>
              <w:left w:w="51" w:type="dxa"/>
              <w:bottom w:w="51" w:type="dxa"/>
              <w:right w:w="51" w:type="dxa"/>
            </w:tcMar>
            <w:vAlign w:val="center"/>
          </w:tcPr>
          <w:p w14:paraId="192A1AB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w:t>
            </w:r>
          </w:p>
        </w:tc>
        <w:tc>
          <w:tcPr>
            <w:tcW w:w="136" w:type="pct"/>
            <w:tcBorders>
              <w:tl2br w:val="nil"/>
              <w:tr2bl w:val="nil"/>
            </w:tcBorders>
            <w:noWrap w:val="0"/>
            <w:tcMar>
              <w:top w:w="51" w:type="dxa"/>
              <w:left w:w="51" w:type="dxa"/>
              <w:bottom w:w="51" w:type="dxa"/>
              <w:right w:w="51" w:type="dxa"/>
            </w:tcMar>
            <w:vAlign w:val="center"/>
          </w:tcPr>
          <w:p w14:paraId="2F2039F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w:t>
            </w:r>
          </w:p>
        </w:tc>
        <w:tc>
          <w:tcPr>
            <w:tcW w:w="780" w:type="pct"/>
            <w:tcBorders>
              <w:tl2br w:val="nil"/>
              <w:tr2bl w:val="nil"/>
            </w:tcBorders>
            <w:noWrap w:val="0"/>
            <w:tcMar>
              <w:top w:w="51" w:type="dxa"/>
              <w:left w:w="51" w:type="dxa"/>
              <w:bottom w:w="51" w:type="dxa"/>
              <w:right w:w="51" w:type="dxa"/>
            </w:tcMar>
            <w:vAlign w:val="center"/>
          </w:tcPr>
          <w:p w14:paraId="3BE44D6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25栋砖混楼房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约25户80人，房屋侧向、背向公路。</w:t>
            </w:r>
          </w:p>
        </w:tc>
      </w:tr>
      <w:tr w14:paraId="388A1F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06A18E9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三汇镇2#响水村陈家坝居民点</w:t>
            </w:r>
          </w:p>
        </w:tc>
        <w:tc>
          <w:tcPr>
            <w:tcW w:w="232" w:type="pct"/>
            <w:tcBorders>
              <w:tl2br w:val="nil"/>
              <w:tr2bl w:val="nil"/>
            </w:tcBorders>
            <w:noWrap w:val="0"/>
            <w:tcMar>
              <w:top w:w="51" w:type="dxa"/>
              <w:left w:w="51" w:type="dxa"/>
              <w:bottom w:w="51" w:type="dxa"/>
              <w:right w:w="51" w:type="dxa"/>
            </w:tcMar>
            <w:vAlign w:val="center"/>
          </w:tcPr>
          <w:p w14:paraId="237D1DE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74925E4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K73+400-K73+550</w:t>
            </w:r>
          </w:p>
        </w:tc>
        <w:tc>
          <w:tcPr>
            <w:tcW w:w="248" w:type="pct"/>
            <w:tcBorders>
              <w:tl2br w:val="nil"/>
              <w:tr2bl w:val="nil"/>
            </w:tcBorders>
            <w:noWrap w:val="0"/>
            <w:tcMar>
              <w:top w:w="51" w:type="dxa"/>
              <w:left w:w="51" w:type="dxa"/>
              <w:bottom w:w="51" w:type="dxa"/>
              <w:right w:w="51" w:type="dxa"/>
            </w:tcMar>
            <w:vAlign w:val="center"/>
          </w:tcPr>
          <w:p w14:paraId="700CFD9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7AA7067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22AB4F9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187" w:type="pct"/>
            <w:tcBorders>
              <w:tl2br w:val="nil"/>
              <w:tr2bl w:val="nil"/>
            </w:tcBorders>
            <w:noWrap w:val="0"/>
            <w:tcMar>
              <w:top w:w="51" w:type="dxa"/>
              <w:left w:w="51" w:type="dxa"/>
              <w:bottom w:w="51" w:type="dxa"/>
              <w:right w:w="51" w:type="dxa"/>
            </w:tcMar>
            <w:vAlign w:val="center"/>
          </w:tcPr>
          <w:p w14:paraId="455032B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356" w:type="pct"/>
            <w:tcBorders>
              <w:tl2br w:val="nil"/>
              <w:tr2bl w:val="nil"/>
            </w:tcBorders>
            <w:noWrap w:val="0"/>
            <w:tcMar>
              <w:top w:w="51" w:type="dxa"/>
              <w:left w:w="51" w:type="dxa"/>
              <w:bottom w:w="51" w:type="dxa"/>
              <w:right w:w="51" w:type="dxa"/>
            </w:tcMar>
            <w:vAlign w:val="center"/>
          </w:tcPr>
          <w:p w14:paraId="13752B6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w:t>
            </w:r>
          </w:p>
        </w:tc>
        <w:tc>
          <w:tcPr>
            <w:tcW w:w="274" w:type="pct"/>
            <w:tcBorders>
              <w:tl2br w:val="nil"/>
              <w:tr2bl w:val="nil"/>
            </w:tcBorders>
            <w:noWrap w:val="0"/>
            <w:tcMar>
              <w:top w:w="51" w:type="dxa"/>
              <w:left w:w="51" w:type="dxa"/>
              <w:bottom w:w="51" w:type="dxa"/>
              <w:right w:w="51" w:type="dxa"/>
            </w:tcMar>
            <w:vAlign w:val="center"/>
          </w:tcPr>
          <w:p w14:paraId="7984A07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w:t>
            </w:r>
          </w:p>
        </w:tc>
        <w:tc>
          <w:tcPr>
            <w:tcW w:w="266" w:type="pct"/>
            <w:tcBorders>
              <w:tl2br w:val="nil"/>
              <w:tr2bl w:val="nil"/>
            </w:tcBorders>
            <w:noWrap w:val="0"/>
            <w:tcMar>
              <w:top w:w="51" w:type="dxa"/>
              <w:left w:w="51" w:type="dxa"/>
              <w:bottom w:w="51" w:type="dxa"/>
              <w:right w:w="51" w:type="dxa"/>
            </w:tcMar>
            <w:vAlign w:val="center"/>
          </w:tcPr>
          <w:p w14:paraId="5488286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74" w:type="pct"/>
            <w:tcBorders>
              <w:tl2br w:val="nil"/>
              <w:tr2bl w:val="nil"/>
            </w:tcBorders>
            <w:noWrap w:val="0"/>
            <w:tcMar>
              <w:top w:w="51" w:type="dxa"/>
              <w:left w:w="51" w:type="dxa"/>
              <w:bottom w:w="51" w:type="dxa"/>
              <w:right w:w="51" w:type="dxa"/>
            </w:tcMar>
            <w:vAlign w:val="center"/>
          </w:tcPr>
          <w:p w14:paraId="7F976A4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66" w:type="pct"/>
            <w:tcBorders>
              <w:tl2br w:val="nil"/>
              <w:tr2bl w:val="nil"/>
            </w:tcBorders>
            <w:noWrap w:val="0"/>
            <w:tcMar>
              <w:top w:w="51" w:type="dxa"/>
              <w:left w:w="51" w:type="dxa"/>
              <w:bottom w:w="51" w:type="dxa"/>
              <w:right w:w="51" w:type="dxa"/>
            </w:tcMar>
            <w:vAlign w:val="center"/>
          </w:tcPr>
          <w:p w14:paraId="5451B61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36" w:type="pct"/>
            <w:tcBorders>
              <w:tl2br w:val="nil"/>
              <w:tr2bl w:val="nil"/>
            </w:tcBorders>
            <w:noWrap w:val="0"/>
            <w:tcMar>
              <w:top w:w="51" w:type="dxa"/>
              <w:left w:w="51" w:type="dxa"/>
              <w:bottom w:w="51" w:type="dxa"/>
              <w:right w:w="51" w:type="dxa"/>
            </w:tcMar>
            <w:vAlign w:val="center"/>
          </w:tcPr>
          <w:p w14:paraId="6AF3BE0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w:t>
            </w:r>
          </w:p>
        </w:tc>
        <w:tc>
          <w:tcPr>
            <w:tcW w:w="780" w:type="pct"/>
            <w:tcBorders>
              <w:tl2br w:val="nil"/>
              <w:tr2bl w:val="nil"/>
            </w:tcBorders>
            <w:noWrap w:val="0"/>
            <w:tcMar>
              <w:top w:w="51" w:type="dxa"/>
              <w:left w:w="51" w:type="dxa"/>
              <w:bottom w:w="51" w:type="dxa"/>
              <w:right w:w="51" w:type="dxa"/>
            </w:tcMar>
            <w:vAlign w:val="center"/>
          </w:tcPr>
          <w:p w14:paraId="53699B5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15栋砖混楼房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约15户40人，房屋侧向、背向公路。</w:t>
            </w:r>
          </w:p>
        </w:tc>
      </w:tr>
      <w:tr w14:paraId="1BD7D2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135517A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三汇镇响水村双龙屋基居民点</w:t>
            </w:r>
          </w:p>
        </w:tc>
        <w:tc>
          <w:tcPr>
            <w:tcW w:w="232" w:type="pct"/>
            <w:tcBorders>
              <w:tl2br w:val="nil"/>
              <w:tr2bl w:val="nil"/>
            </w:tcBorders>
            <w:noWrap w:val="0"/>
            <w:tcMar>
              <w:top w:w="51" w:type="dxa"/>
              <w:left w:w="51" w:type="dxa"/>
              <w:bottom w:w="51" w:type="dxa"/>
              <w:right w:w="51" w:type="dxa"/>
            </w:tcMar>
            <w:vAlign w:val="center"/>
          </w:tcPr>
          <w:p w14:paraId="57F8990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3C57A48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K73+530-K73+750</w:t>
            </w:r>
          </w:p>
        </w:tc>
        <w:tc>
          <w:tcPr>
            <w:tcW w:w="248" w:type="pct"/>
            <w:tcBorders>
              <w:tl2br w:val="nil"/>
              <w:tr2bl w:val="nil"/>
            </w:tcBorders>
            <w:noWrap w:val="0"/>
            <w:tcMar>
              <w:top w:w="51" w:type="dxa"/>
              <w:left w:w="51" w:type="dxa"/>
              <w:bottom w:w="51" w:type="dxa"/>
              <w:right w:w="51" w:type="dxa"/>
            </w:tcMar>
            <w:vAlign w:val="center"/>
          </w:tcPr>
          <w:p w14:paraId="0713650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5740323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4AFD123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4FE3BA7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19</w:t>
            </w:r>
          </w:p>
        </w:tc>
        <w:tc>
          <w:tcPr>
            <w:tcW w:w="356" w:type="pct"/>
            <w:tcBorders>
              <w:tl2br w:val="nil"/>
              <w:tr2bl w:val="nil"/>
            </w:tcBorders>
            <w:noWrap w:val="0"/>
            <w:tcMar>
              <w:top w:w="51" w:type="dxa"/>
              <w:left w:w="51" w:type="dxa"/>
              <w:bottom w:w="51" w:type="dxa"/>
              <w:right w:w="51" w:type="dxa"/>
            </w:tcMar>
            <w:vAlign w:val="center"/>
          </w:tcPr>
          <w:p w14:paraId="450102E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25FCE65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100</w:t>
            </w:r>
          </w:p>
        </w:tc>
        <w:tc>
          <w:tcPr>
            <w:tcW w:w="266" w:type="pct"/>
            <w:tcBorders>
              <w:tl2br w:val="nil"/>
              <w:tr2bl w:val="nil"/>
            </w:tcBorders>
            <w:noWrap w:val="0"/>
            <w:tcMar>
              <w:top w:w="51" w:type="dxa"/>
              <w:left w:w="51" w:type="dxa"/>
              <w:bottom w:w="51" w:type="dxa"/>
              <w:right w:w="51" w:type="dxa"/>
            </w:tcMar>
            <w:vAlign w:val="center"/>
          </w:tcPr>
          <w:p w14:paraId="0BB47AE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7264CDC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112.75</w:t>
            </w:r>
          </w:p>
        </w:tc>
        <w:tc>
          <w:tcPr>
            <w:tcW w:w="266" w:type="pct"/>
            <w:tcBorders>
              <w:tl2br w:val="nil"/>
              <w:tr2bl w:val="nil"/>
            </w:tcBorders>
            <w:noWrap w:val="0"/>
            <w:tcMar>
              <w:top w:w="51" w:type="dxa"/>
              <w:left w:w="51" w:type="dxa"/>
              <w:bottom w:w="51" w:type="dxa"/>
              <w:right w:w="51" w:type="dxa"/>
            </w:tcMar>
            <w:vAlign w:val="center"/>
          </w:tcPr>
          <w:p w14:paraId="14FCC8E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2A932B0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w:t>
            </w:r>
          </w:p>
        </w:tc>
        <w:tc>
          <w:tcPr>
            <w:tcW w:w="780" w:type="pct"/>
            <w:tcBorders>
              <w:tl2br w:val="nil"/>
              <w:tr2bl w:val="nil"/>
            </w:tcBorders>
            <w:noWrap w:val="0"/>
            <w:tcMar>
              <w:top w:w="51" w:type="dxa"/>
              <w:left w:w="51" w:type="dxa"/>
              <w:bottom w:w="51" w:type="dxa"/>
              <w:right w:w="51" w:type="dxa"/>
            </w:tcMar>
            <w:vAlign w:val="center"/>
          </w:tcPr>
          <w:p w14:paraId="4CFD01A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约8户22人，房屋侧向、背向公路。</w:t>
            </w:r>
          </w:p>
        </w:tc>
      </w:tr>
      <w:tr w14:paraId="1004E0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2944DB9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三汇镇响水村蔡家垭口居民点</w:t>
            </w:r>
          </w:p>
        </w:tc>
        <w:tc>
          <w:tcPr>
            <w:tcW w:w="232" w:type="pct"/>
            <w:tcBorders>
              <w:tl2br w:val="nil"/>
              <w:tr2bl w:val="nil"/>
            </w:tcBorders>
            <w:noWrap w:val="0"/>
            <w:tcMar>
              <w:top w:w="51" w:type="dxa"/>
              <w:left w:w="51" w:type="dxa"/>
              <w:bottom w:w="51" w:type="dxa"/>
              <w:right w:w="51" w:type="dxa"/>
            </w:tcMar>
            <w:vAlign w:val="center"/>
          </w:tcPr>
          <w:p w14:paraId="45CAECD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0E57BB9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K73+700-K74+500</w:t>
            </w:r>
          </w:p>
        </w:tc>
        <w:tc>
          <w:tcPr>
            <w:tcW w:w="248" w:type="pct"/>
            <w:tcBorders>
              <w:tl2br w:val="nil"/>
              <w:tr2bl w:val="nil"/>
            </w:tcBorders>
            <w:noWrap w:val="0"/>
            <w:tcMar>
              <w:top w:w="51" w:type="dxa"/>
              <w:left w:w="51" w:type="dxa"/>
              <w:bottom w:w="51" w:type="dxa"/>
              <w:right w:w="51" w:type="dxa"/>
            </w:tcMar>
            <w:vAlign w:val="center"/>
          </w:tcPr>
          <w:p w14:paraId="1F89F83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31D9382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7484F1A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0F73588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w:t>
            </w:r>
          </w:p>
        </w:tc>
        <w:tc>
          <w:tcPr>
            <w:tcW w:w="356" w:type="pct"/>
            <w:tcBorders>
              <w:tl2br w:val="nil"/>
              <w:tr2bl w:val="nil"/>
            </w:tcBorders>
            <w:noWrap w:val="0"/>
            <w:tcMar>
              <w:top w:w="51" w:type="dxa"/>
              <w:left w:w="51" w:type="dxa"/>
              <w:bottom w:w="51" w:type="dxa"/>
              <w:right w:w="51" w:type="dxa"/>
            </w:tcMar>
            <w:vAlign w:val="center"/>
          </w:tcPr>
          <w:p w14:paraId="21F32C2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274" w:type="pct"/>
            <w:tcBorders>
              <w:tl2br w:val="nil"/>
              <w:tr2bl w:val="nil"/>
            </w:tcBorders>
            <w:noWrap w:val="0"/>
            <w:tcMar>
              <w:top w:w="51" w:type="dxa"/>
              <w:left w:w="51" w:type="dxa"/>
              <w:bottom w:w="51" w:type="dxa"/>
              <w:right w:w="51" w:type="dxa"/>
            </w:tcMar>
            <w:vAlign w:val="center"/>
          </w:tcPr>
          <w:p w14:paraId="219968C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w:t>
            </w:r>
          </w:p>
        </w:tc>
        <w:tc>
          <w:tcPr>
            <w:tcW w:w="266" w:type="pct"/>
            <w:tcBorders>
              <w:tl2br w:val="nil"/>
              <w:tr2bl w:val="nil"/>
            </w:tcBorders>
            <w:noWrap w:val="0"/>
            <w:tcMar>
              <w:top w:w="51" w:type="dxa"/>
              <w:left w:w="51" w:type="dxa"/>
              <w:bottom w:w="51" w:type="dxa"/>
              <w:right w:w="51" w:type="dxa"/>
            </w:tcMar>
            <w:vAlign w:val="center"/>
          </w:tcPr>
          <w:p w14:paraId="6A271EA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74" w:type="pct"/>
            <w:tcBorders>
              <w:tl2br w:val="nil"/>
              <w:tr2bl w:val="nil"/>
            </w:tcBorders>
            <w:noWrap w:val="0"/>
            <w:tcMar>
              <w:top w:w="51" w:type="dxa"/>
              <w:left w:w="51" w:type="dxa"/>
              <w:bottom w:w="51" w:type="dxa"/>
              <w:right w:w="51" w:type="dxa"/>
            </w:tcMar>
            <w:vAlign w:val="center"/>
          </w:tcPr>
          <w:p w14:paraId="3A9C524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66" w:type="pct"/>
            <w:tcBorders>
              <w:tl2br w:val="nil"/>
              <w:tr2bl w:val="nil"/>
            </w:tcBorders>
            <w:noWrap w:val="0"/>
            <w:tcMar>
              <w:top w:w="51" w:type="dxa"/>
              <w:left w:w="51" w:type="dxa"/>
              <w:bottom w:w="51" w:type="dxa"/>
              <w:right w:w="51" w:type="dxa"/>
            </w:tcMar>
            <w:vAlign w:val="center"/>
          </w:tcPr>
          <w:p w14:paraId="20CCC79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136" w:type="pct"/>
            <w:tcBorders>
              <w:tl2br w:val="nil"/>
              <w:tr2bl w:val="nil"/>
            </w:tcBorders>
            <w:noWrap w:val="0"/>
            <w:tcMar>
              <w:top w:w="51" w:type="dxa"/>
              <w:left w:w="51" w:type="dxa"/>
              <w:bottom w:w="51" w:type="dxa"/>
              <w:right w:w="51" w:type="dxa"/>
            </w:tcMar>
            <w:vAlign w:val="center"/>
          </w:tcPr>
          <w:p w14:paraId="7D9BA13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17</w:t>
            </w:r>
          </w:p>
        </w:tc>
        <w:tc>
          <w:tcPr>
            <w:tcW w:w="780" w:type="pct"/>
            <w:tcBorders>
              <w:tl2br w:val="nil"/>
              <w:tr2bl w:val="nil"/>
            </w:tcBorders>
            <w:noWrap w:val="0"/>
            <w:tcMar>
              <w:top w:w="51" w:type="dxa"/>
              <w:left w:w="51" w:type="dxa"/>
              <w:bottom w:w="51" w:type="dxa"/>
              <w:right w:w="51" w:type="dxa"/>
            </w:tcMar>
            <w:vAlign w:val="center"/>
          </w:tcPr>
          <w:p w14:paraId="5B4AD43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约20户65人，房屋侧向、背向公路。</w:t>
            </w:r>
          </w:p>
        </w:tc>
      </w:tr>
      <w:tr w14:paraId="2555E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00BC5C2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三汇镇大田村小屋基居民点</w:t>
            </w:r>
          </w:p>
        </w:tc>
        <w:tc>
          <w:tcPr>
            <w:tcW w:w="232" w:type="pct"/>
            <w:tcBorders>
              <w:tl2br w:val="nil"/>
              <w:tr2bl w:val="nil"/>
            </w:tcBorders>
            <w:noWrap w:val="0"/>
            <w:tcMar>
              <w:top w:w="51" w:type="dxa"/>
              <w:left w:w="51" w:type="dxa"/>
              <w:bottom w:w="51" w:type="dxa"/>
              <w:right w:w="51" w:type="dxa"/>
            </w:tcMar>
            <w:vAlign w:val="center"/>
          </w:tcPr>
          <w:p w14:paraId="734DBFC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2DFC00D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K74+650-K74+900</w:t>
            </w:r>
          </w:p>
        </w:tc>
        <w:tc>
          <w:tcPr>
            <w:tcW w:w="248" w:type="pct"/>
            <w:tcBorders>
              <w:tl2br w:val="nil"/>
              <w:tr2bl w:val="nil"/>
            </w:tcBorders>
            <w:noWrap w:val="0"/>
            <w:tcMar>
              <w:top w:w="51" w:type="dxa"/>
              <w:left w:w="51" w:type="dxa"/>
              <w:bottom w:w="51" w:type="dxa"/>
              <w:right w:w="51" w:type="dxa"/>
            </w:tcMar>
            <w:vAlign w:val="center"/>
          </w:tcPr>
          <w:p w14:paraId="008AB31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54DC0CC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77AF2BA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15</w:t>
            </w:r>
          </w:p>
        </w:tc>
        <w:tc>
          <w:tcPr>
            <w:tcW w:w="187" w:type="pct"/>
            <w:tcBorders>
              <w:tl2br w:val="nil"/>
              <w:tr2bl w:val="nil"/>
            </w:tcBorders>
            <w:noWrap w:val="0"/>
            <w:tcMar>
              <w:top w:w="51" w:type="dxa"/>
              <w:left w:w="51" w:type="dxa"/>
              <w:bottom w:w="51" w:type="dxa"/>
              <w:right w:w="51" w:type="dxa"/>
            </w:tcMar>
            <w:vAlign w:val="center"/>
          </w:tcPr>
          <w:p w14:paraId="7D9D96A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18</w:t>
            </w:r>
          </w:p>
        </w:tc>
        <w:tc>
          <w:tcPr>
            <w:tcW w:w="356" w:type="pct"/>
            <w:tcBorders>
              <w:tl2br w:val="nil"/>
              <w:tr2bl w:val="nil"/>
            </w:tcBorders>
            <w:noWrap w:val="0"/>
            <w:tcMar>
              <w:top w:w="51" w:type="dxa"/>
              <w:left w:w="51" w:type="dxa"/>
              <w:bottom w:w="51" w:type="dxa"/>
              <w:right w:w="51" w:type="dxa"/>
            </w:tcMar>
            <w:vAlign w:val="center"/>
          </w:tcPr>
          <w:p w14:paraId="668BD04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w:t>
            </w:r>
          </w:p>
        </w:tc>
        <w:tc>
          <w:tcPr>
            <w:tcW w:w="274" w:type="pct"/>
            <w:tcBorders>
              <w:tl2br w:val="nil"/>
              <w:tr2bl w:val="nil"/>
            </w:tcBorders>
            <w:noWrap w:val="0"/>
            <w:tcMar>
              <w:top w:w="51" w:type="dxa"/>
              <w:left w:w="51" w:type="dxa"/>
              <w:bottom w:w="51" w:type="dxa"/>
              <w:right w:w="51" w:type="dxa"/>
            </w:tcMar>
            <w:vAlign w:val="center"/>
          </w:tcPr>
          <w:p w14:paraId="14CB4C4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60</w:t>
            </w:r>
          </w:p>
        </w:tc>
        <w:tc>
          <w:tcPr>
            <w:tcW w:w="266" w:type="pct"/>
            <w:tcBorders>
              <w:tl2br w:val="nil"/>
              <w:tr2bl w:val="nil"/>
            </w:tcBorders>
            <w:noWrap w:val="0"/>
            <w:tcMar>
              <w:top w:w="51" w:type="dxa"/>
              <w:left w:w="51" w:type="dxa"/>
              <w:bottom w:w="51" w:type="dxa"/>
              <w:right w:w="51" w:type="dxa"/>
            </w:tcMar>
            <w:vAlign w:val="center"/>
          </w:tcPr>
          <w:p w14:paraId="435FA10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74" w:type="pct"/>
            <w:tcBorders>
              <w:tl2br w:val="nil"/>
              <w:tr2bl w:val="nil"/>
            </w:tcBorders>
            <w:noWrap w:val="0"/>
            <w:tcMar>
              <w:top w:w="51" w:type="dxa"/>
              <w:left w:w="51" w:type="dxa"/>
              <w:bottom w:w="51" w:type="dxa"/>
              <w:right w:w="51" w:type="dxa"/>
            </w:tcMar>
            <w:vAlign w:val="center"/>
          </w:tcPr>
          <w:p w14:paraId="280A30B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72.75</w:t>
            </w:r>
          </w:p>
        </w:tc>
        <w:tc>
          <w:tcPr>
            <w:tcW w:w="266" w:type="pct"/>
            <w:tcBorders>
              <w:tl2br w:val="nil"/>
              <w:tr2bl w:val="nil"/>
            </w:tcBorders>
            <w:noWrap w:val="0"/>
            <w:tcMar>
              <w:top w:w="51" w:type="dxa"/>
              <w:left w:w="51" w:type="dxa"/>
              <w:bottom w:w="51" w:type="dxa"/>
              <w:right w:w="51" w:type="dxa"/>
            </w:tcMar>
            <w:vAlign w:val="center"/>
          </w:tcPr>
          <w:p w14:paraId="7192591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136" w:type="pct"/>
            <w:tcBorders>
              <w:tl2br w:val="nil"/>
              <w:tr2bl w:val="nil"/>
            </w:tcBorders>
            <w:noWrap w:val="0"/>
            <w:tcMar>
              <w:top w:w="51" w:type="dxa"/>
              <w:left w:w="51" w:type="dxa"/>
              <w:bottom w:w="51" w:type="dxa"/>
              <w:right w:w="51" w:type="dxa"/>
            </w:tcMar>
            <w:vAlign w:val="center"/>
          </w:tcPr>
          <w:p w14:paraId="5400A50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780" w:type="pct"/>
            <w:tcBorders>
              <w:tl2br w:val="nil"/>
              <w:tr2bl w:val="nil"/>
            </w:tcBorders>
            <w:noWrap w:val="0"/>
            <w:tcMar>
              <w:top w:w="51" w:type="dxa"/>
              <w:left w:w="51" w:type="dxa"/>
              <w:bottom w:w="51" w:type="dxa"/>
              <w:right w:w="51" w:type="dxa"/>
            </w:tcMar>
            <w:vAlign w:val="center"/>
          </w:tcPr>
          <w:p w14:paraId="693D2C7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14栋砖混楼房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约14户40人，房屋侧向、背向公路。</w:t>
            </w:r>
          </w:p>
        </w:tc>
      </w:tr>
      <w:tr w14:paraId="7B8F8C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150E6DA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三汇镇大田村柏树园居民点</w:t>
            </w:r>
          </w:p>
        </w:tc>
        <w:tc>
          <w:tcPr>
            <w:tcW w:w="232" w:type="pct"/>
            <w:tcBorders>
              <w:tl2br w:val="nil"/>
              <w:tr2bl w:val="nil"/>
            </w:tcBorders>
            <w:noWrap w:val="0"/>
            <w:tcMar>
              <w:top w:w="51" w:type="dxa"/>
              <w:left w:w="51" w:type="dxa"/>
              <w:bottom w:w="51" w:type="dxa"/>
              <w:right w:w="51" w:type="dxa"/>
            </w:tcMar>
            <w:vAlign w:val="center"/>
          </w:tcPr>
          <w:p w14:paraId="76FDC75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A8382A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K74+900-K75+300</w:t>
            </w:r>
          </w:p>
        </w:tc>
        <w:tc>
          <w:tcPr>
            <w:tcW w:w="248" w:type="pct"/>
            <w:tcBorders>
              <w:tl2br w:val="nil"/>
              <w:tr2bl w:val="nil"/>
            </w:tcBorders>
            <w:noWrap w:val="0"/>
            <w:tcMar>
              <w:top w:w="51" w:type="dxa"/>
              <w:left w:w="51" w:type="dxa"/>
              <w:bottom w:w="51" w:type="dxa"/>
              <w:right w:w="51" w:type="dxa"/>
            </w:tcMar>
            <w:vAlign w:val="center"/>
          </w:tcPr>
          <w:p w14:paraId="0EC02E3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路堑</w:t>
            </w:r>
          </w:p>
        </w:tc>
        <w:tc>
          <w:tcPr>
            <w:tcW w:w="312" w:type="pct"/>
            <w:tcBorders>
              <w:tl2br w:val="nil"/>
              <w:tr2bl w:val="nil"/>
            </w:tcBorders>
            <w:noWrap w:val="0"/>
            <w:tcMar>
              <w:top w:w="51" w:type="dxa"/>
              <w:left w:w="51" w:type="dxa"/>
              <w:bottom w:w="51" w:type="dxa"/>
              <w:right w:w="51" w:type="dxa"/>
            </w:tcMar>
            <w:vAlign w:val="center"/>
          </w:tcPr>
          <w:p w14:paraId="6BB2371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6F540FD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46524D8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356" w:type="pct"/>
            <w:tcBorders>
              <w:tl2br w:val="nil"/>
              <w:tr2bl w:val="nil"/>
            </w:tcBorders>
            <w:noWrap w:val="0"/>
            <w:tcMar>
              <w:top w:w="51" w:type="dxa"/>
              <w:left w:w="51" w:type="dxa"/>
              <w:bottom w:w="51" w:type="dxa"/>
              <w:right w:w="51" w:type="dxa"/>
            </w:tcMar>
            <w:vAlign w:val="center"/>
          </w:tcPr>
          <w:p w14:paraId="4D8E69B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424A918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80</w:t>
            </w:r>
          </w:p>
        </w:tc>
        <w:tc>
          <w:tcPr>
            <w:tcW w:w="266" w:type="pct"/>
            <w:tcBorders>
              <w:tl2br w:val="nil"/>
              <w:tr2bl w:val="nil"/>
            </w:tcBorders>
            <w:noWrap w:val="0"/>
            <w:tcMar>
              <w:top w:w="51" w:type="dxa"/>
              <w:left w:w="51" w:type="dxa"/>
              <w:bottom w:w="51" w:type="dxa"/>
              <w:right w:w="51" w:type="dxa"/>
            </w:tcMar>
            <w:vAlign w:val="center"/>
          </w:tcPr>
          <w:p w14:paraId="54A1EBB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257D740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92.75</w:t>
            </w:r>
          </w:p>
        </w:tc>
        <w:tc>
          <w:tcPr>
            <w:tcW w:w="266" w:type="pct"/>
            <w:tcBorders>
              <w:tl2br w:val="nil"/>
              <w:tr2bl w:val="nil"/>
            </w:tcBorders>
            <w:noWrap w:val="0"/>
            <w:tcMar>
              <w:top w:w="51" w:type="dxa"/>
              <w:left w:w="51" w:type="dxa"/>
              <w:bottom w:w="51" w:type="dxa"/>
              <w:right w:w="51" w:type="dxa"/>
            </w:tcMar>
            <w:vAlign w:val="center"/>
          </w:tcPr>
          <w:p w14:paraId="235C34B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6979079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780" w:type="pct"/>
            <w:tcBorders>
              <w:tl2br w:val="nil"/>
              <w:tr2bl w:val="nil"/>
            </w:tcBorders>
            <w:noWrap w:val="0"/>
            <w:tcMar>
              <w:top w:w="51" w:type="dxa"/>
              <w:left w:w="51" w:type="dxa"/>
              <w:bottom w:w="51" w:type="dxa"/>
              <w:right w:w="51" w:type="dxa"/>
            </w:tcMar>
            <w:vAlign w:val="center"/>
          </w:tcPr>
          <w:p w14:paraId="2570714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约10户28人，房屋侧向、背向公路。</w:t>
            </w:r>
          </w:p>
        </w:tc>
      </w:tr>
      <w:tr w14:paraId="156166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7A75680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三汇镇大田村老院子居民点</w:t>
            </w:r>
          </w:p>
        </w:tc>
        <w:tc>
          <w:tcPr>
            <w:tcW w:w="232" w:type="pct"/>
            <w:tcBorders>
              <w:tl2br w:val="nil"/>
              <w:tr2bl w:val="nil"/>
            </w:tcBorders>
            <w:noWrap w:val="0"/>
            <w:tcMar>
              <w:top w:w="51" w:type="dxa"/>
              <w:left w:w="51" w:type="dxa"/>
              <w:bottom w:w="51" w:type="dxa"/>
              <w:right w:w="51" w:type="dxa"/>
            </w:tcMar>
            <w:vAlign w:val="center"/>
          </w:tcPr>
          <w:p w14:paraId="4EB3A02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75AA007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K75+310-K75+350</w:t>
            </w:r>
          </w:p>
        </w:tc>
        <w:tc>
          <w:tcPr>
            <w:tcW w:w="248" w:type="pct"/>
            <w:tcBorders>
              <w:tl2br w:val="nil"/>
              <w:tr2bl w:val="nil"/>
            </w:tcBorders>
            <w:noWrap w:val="0"/>
            <w:tcMar>
              <w:top w:w="51" w:type="dxa"/>
              <w:left w:w="51" w:type="dxa"/>
              <w:bottom w:w="51" w:type="dxa"/>
              <w:right w:w="51" w:type="dxa"/>
            </w:tcMar>
            <w:vAlign w:val="center"/>
          </w:tcPr>
          <w:p w14:paraId="2FDA85E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20FCB0F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4FE9283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28B580B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14</w:t>
            </w:r>
          </w:p>
        </w:tc>
        <w:tc>
          <w:tcPr>
            <w:tcW w:w="356" w:type="pct"/>
            <w:tcBorders>
              <w:tl2br w:val="nil"/>
              <w:tr2bl w:val="nil"/>
            </w:tcBorders>
            <w:noWrap w:val="0"/>
            <w:tcMar>
              <w:top w:w="51" w:type="dxa"/>
              <w:left w:w="51" w:type="dxa"/>
              <w:bottom w:w="51" w:type="dxa"/>
              <w:right w:w="51" w:type="dxa"/>
            </w:tcMar>
            <w:vAlign w:val="center"/>
          </w:tcPr>
          <w:p w14:paraId="3F04685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29AA098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115</w:t>
            </w:r>
          </w:p>
        </w:tc>
        <w:tc>
          <w:tcPr>
            <w:tcW w:w="266" w:type="pct"/>
            <w:tcBorders>
              <w:tl2br w:val="nil"/>
              <w:tr2bl w:val="nil"/>
            </w:tcBorders>
            <w:noWrap w:val="0"/>
            <w:tcMar>
              <w:top w:w="51" w:type="dxa"/>
              <w:left w:w="51" w:type="dxa"/>
              <w:bottom w:w="51" w:type="dxa"/>
              <w:right w:w="51" w:type="dxa"/>
            </w:tcMar>
            <w:vAlign w:val="center"/>
          </w:tcPr>
          <w:p w14:paraId="77F3961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4950F3E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127.75</w:t>
            </w:r>
          </w:p>
        </w:tc>
        <w:tc>
          <w:tcPr>
            <w:tcW w:w="266" w:type="pct"/>
            <w:tcBorders>
              <w:tl2br w:val="nil"/>
              <w:tr2bl w:val="nil"/>
            </w:tcBorders>
            <w:noWrap w:val="0"/>
            <w:tcMar>
              <w:top w:w="51" w:type="dxa"/>
              <w:left w:w="51" w:type="dxa"/>
              <w:bottom w:w="51" w:type="dxa"/>
              <w:right w:w="51" w:type="dxa"/>
            </w:tcMar>
            <w:vAlign w:val="center"/>
          </w:tcPr>
          <w:p w14:paraId="6685627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0E2BBCC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780" w:type="pct"/>
            <w:tcBorders>
              <w:tl2br w:val="nil"/>
              <w:tr2bl w:val="nil"/>
            </w:tcBorders>
            <w:noWrap w:val="0"/>
            <w:tcMar>
              <w:top w:w="51" w:type="dxa"/>
              <w:left w:w="51" w:type="dxa"/>
              <w:bottom w:w="51" w:type="dxa"/>
              <w:right w:w="51" w:type="dxa"/>
            </w:tcMar>
            <w:vAlign w:val="center"/>
          </w:tcPr>
          <w:p w14:paraId="1D46C91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约7户20人，房屋侧向、背向公路。</w:t>
            </w:r>
          </w:p>
        </w:tc>
      </w:tr>
      <w:tr w14:paraId="304F1D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767002D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三汇镇大田村华家屋基居民点</w:t>
            </w:r>
          </w:p>
        </w:tc>
        <w:tc>
          <w:tcPr>
            <w:tcW w:w="232" w:type="pct"/>
            <w:tcBorders>
              <w:tl2br w:val="nil"/>
              <w:tr2bl w:val="nil"/>
            </w:tcBorders>
            <w:noWrap w:val="0"/>
            <w:tcMar>
              <w:top w:w="51" w:type="dxa"/>
              <w:left w:w="51" w:type="dxa"/>
              <w:bottom w:w="51" w:type="dxa"/>
              <w:right w:w="51" w:type="dxa"/>
            </w:tcMar>
            <w:vAlign w:val="center"/>
          </w:tcPr>
          <w:p w14:paraId="5D7A2DE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79989BC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K75+600-K75+800</w:t>
            </w:r>
          </w:p>
        </w:tc>
        <w:tc>
          <w:tcPr>
            <w:tcW w:w="248" w:type="pct"/>
            <w:tcBorders>
              <w:tl2br w:val="nil"/>
              <w:tr2bl w:val="nil"/>
            </w:tcBorders>
            <w:noWrap w:val="0"/>
            <w:tcMar>
              <w:top w:w="51" w:type="dxa"/>
              <w:left w:w="51" w:type="dxa"/>
              <w:bottom w:w="51" w:type="dxa"/>
              <w:right w:w="51" w:type="dxa"/>
            </w:tcMar>
            <w:vAlign w:val="center"/>
          </w:tcPr>
          <w:p w14:paraId="6CEE72D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路堑</w:t>
            </w:r>
          </w:p>
        </w:tc>
        <w:tc>
          <w:tcPr>
            <w:tcW w:w="312" w:type="pct"/>
            <w:tcBorders>
              <w:tl2br w:val="nil"/>
              <w:tr2bl w:val="nil"/>
            </w:tcBorders>
            <w:noWrap w:val="0"/>
            <w:tcMar>
              <w:top w:w="51" w:type="dxa"/>
              <w:left w:w="51" w:type="dxa"/>
              <w:bottom w:w="51" w:type="dxa"/>
              <w:right w:w="51" w:type="dxa"/>
            </w:tcMar>
            <w:vAlign w:val="center"/>
          </w:tcPr>
          <w:p w14:paraId="22A0505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2E10069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75665CB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14</w:t>
            </w:r>
          </w:p>
        </w:tc>
        <w:tc>
          <w:tcPr>
            <w:tcW w:w="356" w:type="pct"/>
            <w:tcBorders>
              <w:tl2br w:val="nil"/>
              <w:tr2bl w:val="nil"/>
            </w:tcBorders>
            <w:noWrap w:val="0"/>
            <w:tcMar>
              <w:top w:w="51" w:type="dxa"/>
              <w:left w:w="51" w:type="dxa"/>
              <w:bottom w:w="51" w:type="dxa"/>
              <w:right w:w="51" w:type="dxa"/>
            </w:tcMar>
            <w:vAlign w:val="center"/>
          </w:tcPr>
          <w:p w14:paraId="1BEB981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53CBA2A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55</w:t>
            </w:r>
          </w:p>
        </w:tc>
        <w:tc>
          <w:tcPr>
            <w:tcW w:w="266" w:type="pct"/>
            <w:tcBorders>
              <w:tl2br w:val="nil"/>
              <w:tr2bl w:val="nil"/>
            </w:tcBorders>
            <w:noWrap w:val="0"/>
            <w:tcMar>
              <w:top w:w="51" w:type="dxa"/>
              <w:left w:w="51" w:type="dxa"/>
              <w:bottom w:w="51" w:type="dxa"/>
              <w:right w:w="51" w:type="dxa"/>
            </w:tcMar>
            <w:vAlign w:val="center"/>
          </w:tcPr>
          <w:p w14:paraId="676A0A1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28F9583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67.75</w:t>
            </w:r>
          </w:p>
        </w:tc>
        <w:tc>
          <w:tcPr>
            <w:tcW w:w="266" w:type="pct"/>
            <w:tcBorders>
              <w:tl2br w:val="nil"/>
              <w:tr2bl w:val="nil"/>
            </w:tcBorders>
            <w:noWrap w:val="0"/>
            <w:tcMar>
              <w:top w:w="51" w:type="dxa"/>
              <w:left w:w="51" w:type="dxa"/>
              <w:bottom w:w="51" w:type="dxa"/>
              <w:right w:w="51" w:type="dxa"/>
            </w:tcMar>
            <w:vAlign w:val="center"/>
          </w:tcPr>
          <w:p w14:paraId="6A5BA17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2B4FDA0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28</w:t>
            </w:r>
          </w:p>
        </w:tc>
        <w:tc>
          <w:tcPr>
            <w:tcW w:w="780" w:type="pct"/>
            <w:tcBorders>
              <w:tl2br w:val="nil"/>
              <w:tr2bl w:val="nil"/>
            </w:tcBorders>
            <w:noWrap w:val="0"/>
            <w:tcMar>
              <w:top w:w="51" w:type="dxa"/>
              <w:left w:w="51" w:type="dxa"/>
              <w:bottom w:w="51" w:type="dxa"/>
              <w:right w:w="51" w:type="dxa"/>
            </w:tcMar>
            <w:vAlign w:val="center"/>
          </w:tcPr>
          <w:p w14:paraId="74F21EE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28栋砖混楼房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约28户60人，房屋侧向、背向公路。</w:t>
            </w:r>
          </w:p>
        </w:tc>
      </w:tr>
      <w:tr w14:paraId="567DB8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2926D90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三汇镇大田村狮子寨居民点</w:t>
            </w:r>
          </w:p>
        </w:tc>
        <w:tc>
          <w:tcPr>
            <w:tcW w:w="232" w:type="pct"/>
            <w:tcBorders>
              <w:tl2br w:val="nil"/>
              <w:tr2bl w:val="nil"/>
            </w:tcBorders>
            <w:noWrap w:val="0"/>
            <w:tcMar>
              <w:top w:w="51" w:type="dxa"/>
              <w:left w:w="51" w:type="dxa"/>
              <w:bottom w:w="51" w:type="dxa"/>
              <w:right w:w="51" w:type="dxa"/>
            </w:tcMar>
            <w:vAlign w:val="center"/>
          </w:tcPr>
          <w:p w14:paraId="6BCC51D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7960B36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K76+110-K76+160</w:t>
            </w:r>
          </w:p>
        </w:tc>
        <w:tc>
          <w:tcPr>
            <w:tcW w:w="248" w:type="pct"/>
            <w:tcBorders>
              <w:tl2br w:val="nil"/>
              <w:tr2bl w:val="nil"/>
            </w:tcBorders>
            <w:noWrap w:val="0"/>
            <w:tcMar>
              <w:top w:w="51" w:type="dxa"/>
              <w:left w:w="51" w:type="dxa"/>
              <w:bottom w:w="51" w:type="dxa"/>
              <w:right w:w="51" w:type="dxa"/>
            </w:tcMar>
            <w:vAlign w:val="center"/>
          </w:tcPr>
          <w:p w14:paraId="724ED64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26B78B1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1324F60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68E2CF7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356" w:type="pct"/>
            <w:tcBorders>
              <w:tl2br w:val="nil"/>
              <w:tr2bl w:val="nil"/>
            </w:tcBorders>
            <w:noWrap w:val="0"/>
            <w:tcMar>
              <w:top w:w="51" w:type="dxa"/>
              <w:left w:w="51" w:type="dxa"/>
              <w:bottom w:w="51" w:type="dxa"/>
              <w:right w:w="51" w:type="dxa"/>
            </w:tcMar>
            <w:vAlign w:val="center"/>
          </w:tcPr>
          <w:p w14:paraId="26E8EFB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67FE05D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60</w:t>
            </w:r>
          </w:p>
        </w:tc>
        <w:tc>
          <w:tcPr>
            <w:tcW w:w="266" w:type="pct"/>
            <w:tcBorders>
              <w:tl2br w:val="nil"/>
              <w:tr2bl w:val="nil"/>
            </w:tcBorders>
            <w:noWrap w:val="0"/>
            <w:tcMar>
              <w:top w:w="51" w:type="dxa"/>
              <w:left w:w="51" w:type="dxa"/>
              <w:bottom w:w="51" w:type="dxa"/>
              <w:right w:w="51" w:type="dxa"/>
            </w:tcMar>
            <w:vAlign w:val="center"/>
          </w:tcPr>
          <w:p w14:paraId="57DBC07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2E42563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72.75</w:t>
            </w:r>
          </w:p>
        </w:tc>
        <w:tc>
          <w:tcPr>
            <w:tcW w:w="266" w:type="pct"/>
            <w:tcBorders>
              <w:tl2br w:val="nil"/>
              <w:tr2bl w:val="nil"/>
            </w:tcBorders>
            <w:noWrap w:val="0"/>
            <w:tcMar>
              <w:top w:w="51" w:type="dxa"/>
              <w:left w:w="51" w:type="dxa"/>
              <w:bottom w:w="51" w:type="dxa"/>
              <w:right w:w="51" w:type="dxa"/>
            </w:tcMar>
            <w:vAlign w:val="center"/>
          </w:tcPr>
          <w:p w14:paraId="1564638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4BFE26D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780" w:type="pct"/>
            <w:tcBorders>
              <w:tl2br w:val="nil"/>
              <w:tr2bl w:val="nil"/>
            </w:tcBorders>
            <w:noWrap w:val="0"/>
            <w:tcMar>
              <w:top w:w="51" w:type="dxa"/>
              <w:left w:w="51" w:type="dxa"/>
              <w:bottom w:w="51" w:type="dxa"/>
              <w:right w:w="51" w:type="dxa"/>
            </w:tcMar>
            <w:vAlign w:val="center"/>
          </w:tcPr>
          <w:p w14:paraId="5837FFD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约6户10人，房屋侧向、背向公路。</w:t>
            </w:r>
          </w:p>
        </w:tc>
      </w:tr>
      <w:tr w14:paraId="477F66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17E8152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三汇镇大田村瓦房沟居民点</w:t>
            </w:r>
          </w:p>
        </w:tc>
        <w:tc>
          <w:tcPr>
            <w:tcW w:w="232" w:type="pct"/>
            <w:tcBorders>
              <w:tl2br w:val="nil"/>
              <w:tr2bl w:val="nil"/>
            </w:tcBorders>
            <w:noWrap w:val="0"/>
            <w:tcMar>
              <w:top w:w="51" w:type="dxa"/>
              <w:left w:w="51" w:type="dxa"/>
              <w:bottom w:w="51" w:type="dxa"/>
              <w:right w:w="51" w:type="dxa"/>
            </w:tcMar>
            <w:vAlign w:val="center"/>
          </w:tcPr>
          <w:p w14:paraId="3558AF4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539F94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K76+540-K76+600</w:t>
            </w:r>
          </w:p>
        </w:tc>
        <w:tc>
          <w:tcPr>
            <w:tcW w:w="248" w:type="pct"/>
            <w:tcBorders>
              <w:tl2br w:val="nil"/>
              <w:tr2bl w:val="nil"/>
            </w:tcBorders>
            <w:noWrap w:val="0"/>
            <w:tcMar>
              <w:top w:w="51" w:type="dxa"/>
              <w:left w:w="51" w:type="dxa"/>
              <w:bottom w:w="51" w:type="dxa"/>
              <w:right w:w="51" w:type="dxa"/>
            </w:tcMar>
            <w:vAlign w:val="center"/>
          </w:tcPr>
          <w:p w14:paraId="651CCDD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6EE2EE0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097A54D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187" w:type="pct"/>
            <w:tcBorders>
              <w:tl2br w:val="nil"/>
              <w:tr2bl w:val="nil"/>
            </w:tcBorders>
            <w:noWrap w:val="0"/>
            <w:tcMar>
              <w:top w:w="51" w:type="dxa"/>
              <w:left w:w="51" w:type="dxa"/>
              <w:bottom w:w="51" w:type="dxa"/>
              <w:right w:w="51" w:type="dxa"/>
            </w:tcMar>
            <w:vAlign w:val="center"/>
          </w:tcPr>
          <w:p w14:paraId="75F3D4F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356" w:type="pct"/>
            <w:tcBorders>
              <w:tl2br w:val="nil"/>
              <w:tr2bl w:val="nil"/>
            </w:tcBorders>
            <w:noWrap w:val="0"/>
            <w:tcMar>
              <w:top w:w="51" w:type="dxa"/>
              <w:left w:w="51" w:type="dxa"/>
              <w:bottom w:w="51" w:type="dxa"/>
              <w:right w:w="51" w:type="dxa"/>
            </w:tcMar>
            <w:vAlign w:val="center"/>
          </w:tcPr>
          <w:p w14:paraId="6826853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w:t>
            </w:r>
          </w:p>
        </w:tc>
        <w:tc>
          <w:tcPr>
            <w:tcW w:w="274" w:type="pct"/>
            <w:tcBorders>
              <w:tl2br w:val="nil"/>
              <w:tr2bl w:val="nil"/>
            </w:tcBorders>
            <w:noWrap w:val="0"/>
            <w:tcMar>
              <w:top w:w="51" w:type="dxa"/>
              <w:left w:w="51" w:type="dxa"/>
              <w:bottom w:w="51" w:type="dxa"/>
              <w:right w:w="51" w:type="dxa"/>
            </w:tcMar>
            <w:vAlign w:val="center"/>
          </w:tcPr>
          <w:p w14:paraId="3D40F03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w:t>
            </w:r>
          </w:p>
        </w:tc>
        <w:tc>
          <w:tcPr>
            <w:tcW w:w="266" w:type="pct"/>
            <w:tcBorders>
              <w:tl2br w:val="nil"/>
              <w:tr2bl w:val="nil"/>
            </w:tcBorders>
            <w:noWrap w:val="0"/>
            <w:tcMar>
              <w:top w:w="51" w:type="dxa"/>
              <w:left w:w="51" w:type="dxa"/>
              <w:bottom w:w="51" w:type="dxa"/>
              <w:right w:w="51" w:type="dxa"/>
            </w:tcMar>
            <w:vAlign w:val="center"/>
          </w:tcPr>
          <w:p w14:paraId="27D9D20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74" w:type="pct"/>
            <w:tcBorders>
              <w:tl2br w:val="nil"/>
              <w:tr2bl w:val="nil"/>
            </w:tcBorders>
            <w:noWrap w:val="0"/>
            <w:tcMar>
              <w:top w:w="51" w:type="dxa"/>
              <w:left w:w="51" w:type="dxa"/>
              <w:bottom w:w="51" w:type="dxa"/>
              <w:right w:w="51" w:type="dxa"/>
            </w:tcMar>
            <w:vAlign w:val="center"/>
          </w:tcPr>
          <w:p w14:paraId="03F793F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66" w:type="pct"/>
            <w:tcBorders>
              <w:tl2br w:val="nil"/>
              <w:tr2bl w:val="nil"/>
            </w:tcBorders>
            <w:noWrap w:val="0"/>
            <w:tcMar>
              <w:top w:w="51" w:type="dxa"/>
              <w:left w:w="51" w:type="dxa"/>
              <w:bottom w:w="51" w:type="dxa"/>
              <w:right w:w="51" w:type="dxa"/>
            </w:tcMar>
            <w:vAlign w:val="center"/>
          </w:tcPr>
          <w:p w14:paraId="195BFDD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36" w:type="pct"/>
            <w:tcBorders>
              <w:tl2br w:val="nil"/>
              <w:tr2bl w:val="nil"/>
            </w:tcBorders>
            <w:noWrap w:val="0"/>
            <w:tcMar>
              <w:top w:w="51" w:type="dxa"/>
              <w:left w:w="51" w:type="dxa"/>
              <w:bottom w:w="51" w:type="dxa"/>
              <w:right w:w="51" w:type="dxa"/>
            </w:tcMar>
            <w:vAlign w:val="center"/>
          </w:tcPr>
          <w:p w14:paraId="4CCD9EA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780" w:type="pct"/>
            <w:tcBorders>
              <w:tl2br w:val="nil"/>
              <w:tr2bl w:val="nil"/>
            </w:tcBorders>
            <w:noWrap w:val="0"/>
            <w:tcMar>
              <w:top w:w="51" w:type="dxa"/>
              <w:left w:w="51" w:type="dxa"/>
              <w:bottom w:w="51" w:type="dxa"/>
              <w:right w:w="51" w:type="dxa"/>
            </w:tcMar>
            <w:vAlign w:val="center"/>
          </w:tcPr>
          <w:p w14:paraId="196D9AE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约8户25人，房屋侧向、背向公路。</w:t>
            </w:r>
          </w:p>
        </w:tc>
      </w:tr>
      <w:tr w14:paraId="796CAD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265A98D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小沔镇斑竹村卢家院子居民点</w:t>
            </w:r>
          </w:p>
        </w:tc>
        <w:tc>
          <w:tcPr>
            <w:tcW w:w="232" w:type="pct"/>
            <w:tcBorders>
              <w:tl2br w:val="nil"/>
              <w:tr2bl w:val="nil"/>
            </w:tcBorders>
            <w:noWrap w:val="0"/>
            <w:tcMar>
              <w:top w:w="51" w:type="dxa"/>
              <w:left w:w="51" w:type="dxa"/>
              <w:bottom w:w="51" w:type="dxa"/>
              <w:right w:w="51" w:type="dxa"/>
            </w:tcMar>
            <w:vAlign w:val="center"/>
          </w:tcPr>
          <w:p w14:paraId="01AC2EF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2A4D8E2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K77+000-K77+100</w:t>
            </w:r>
          </w:p>
        </w:tc>
        <w:tc>
          <w:tcPr>
            <w:tcW w:w="248" w:type="pct"/>
            <w:tcBorders>
              <w:tl2br w:val="nil"/>
              <w:tr2bl w:val="nil"/>
            </w:tcBorders>
            <w:noWrap w:val="0"/>
            <w:tcMar>
              <w:top w:w="51" w:type="dxa"/>
              <w:left w:w="51" w:type="dxa"/>
              <w:bottom w:w="51" w:type="dxa"/>
              <w:right w:w="51" w:type="dxa"/>
            </w:tcMar>
            <w:vAlign w:val="center"/>
          </w:tcPr>
          <w:p w14:paraId="08502F7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332B299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0CAE910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6B08828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356" w:type="pct"/>
            <w:tcBorders>
              <w:tl2br w:val="nil"/>
              <w:tr2bl w:val="nil"/>
            </w:tcBorders>
            <w:noWrap w:val="0"/>
            <w:tcMar>
              <w:top w:w="51" w:type="dxa"/>
              <w:left w:w="51" w:type="dxa"/>
              <w:bottom w:w="51" w:type="dxa"/>
              <w:right w:w="51" w:type="dxa"/>
            </w:tcMar>
            <w:vAlign w:val="center"/>
          </w:tcPr>
          <w:p w14:paraId="6272D00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6B9AC8F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w:t>
            </w:r>
          </w:p>
        </w:tc>
        <w:tc>
          <w:tcPr>
            <w:tcW w:w="266" w:type="pct"/>
            <w:tcBorders>
              <w:tl2br w:val="nil"/>
              <w:tr2bl w:val="nil"/>
            </w:tcBorders>
            <w:noWrap w:val="0"/>
            <w:tcMar>
              <w:top w:w="51" w:type="dxa"/>
              <w:left w:w="51" w:type="dxa"/>
              <w:bottom w:w="51" w:type="dxa"/>
              <w:right w:w="51" w:type="dxa"/>
            </w:tcMar>
            <w:vAlign w:val="center"/>
          </w:tcPr>
          <w:p w14:paraId="2BDF865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7F21B9A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66" w:type="pct"/>
            <w:tcBorders>
              <w:tl2br w:val="nil"/>
              <w:tr2bl w:val="nil"/>
            </w:tcBorders>
            <w:noWrap w:val="0"/>
            <w:tcMar>
              <w:top w:w="51" w:type="dxa"/>
              <w:left w:w="51" w:type="dxa"/>
              <w:bottom w:w="51" w:type="dxa"/>
              <w:right w:w="51" w:type="dxa"/>
            </w:tcMar>
            <w:vAlign w:val="center"/>
          </w:tcPr>
          <w:p w14:paraId="0C6323F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2984C5C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w:t>
            </w:r>
          </w:p>
        </w:tc>
        <w:tc>
          <w:tcPr>
            <w:tcW w:w="780" w:type="pct"/>
            <w:tcBorders>
              <w:tl2br w:val="nil"/>
              <w:tr2bl w:val="nil"/>
            </w:tcBorders>
            <w:noWrap w:val="0"/>
            <w:tcMar>
              <w:top w:w="51" w:type="dxa"/>
              <w:left w:w="51" w:type="dxa"/>
              <w:bottom w:w="51" w:type="dxa"/>
              <w:right w:w="51" w:type="dxa"/>
            </w:tcMar>
            <w:vAlign w:val="center"/>
          </w:tcPr>
          <w:p w14:paraId="477BF92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约9户40人，房屋侧向、正向公路。</w:t>
            </w:r>
          </w:p>
        </w:tc>
      </w:tr>
      <w:tr w14:paraId="6CC62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4F135F4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小沔镇斑竹村马鞍桥居民点</w:t>
            </w:r>
          </w:p>
        </w:tc>
        <w:tc>
          <w:tcPr>
            <w:tcW w:w="232" w:type="pct"/>
            <w:tcBorders>
              <w:tl2br w:val="nil"/>
              <w:tr2bl w:val="nil"/>
            </w:tcBorders>
            <w:noWrap w:val="0"/>
            <w:tcMar>
              <w:top w:w="51" w:type="dxa"/>
              <w:left w:w="51" w:type="dxa"/>
              <w:bottom w:w="51" w:type="dxa"/>
              <w:right w:w="51" w:type="dxa"/>
            </w:tcMar>
            <w:vAlign w:val="center"/>
          </w:tcPr>
          <w:p w14:paraId="2DAB68F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6DB52F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K77+250-K77+600</w:t>
            </w:r>
          </w:p>
        </w:tc>
        <w:tc>
          <w:tcPr>
            <w:tcW w:w="248" w:type="pct"/>
            <w:tcBorders>
              <w:tl2br w:val="nil"/>
              <w:tr2bl w:val="nil"/>
            </w:tcBorders>
            <w:noWrap w:val="0"/>
            <w:tcMar>
              <w:top w:w="51" w:type="dxa"/>
              <w:left w:w="51" w:type="dxa"/>
              <w:bottom w:w="51" w:type="dxa"/>
              <w:right w:w="51" w:type="dxa"/>
            </w:tcMar>
            <w:vAlign w:val="center"/>
          </w:tcPr>
          <w:p w14:paraId="478DE31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608DD92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73E55D7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87" w:type="pct"/>
            <w:tcBorders>
              <w:tl2br w:val="nil"/>
              <w:tr2bl w:val="nil"/>
            </w:tcBorders>
            <w:noWrap w:val="0"/>
            <w:tcMar>
              <w:top w:w="51" w:type="dxa"/>
              <w:left w:w="51" w:type="dxa"/>
              <w:bottom w:w="51" w:type="dxa"/>
              <w:right w:w="51" w:type="dxa"/>
            </w:tcMar>
            <w:vAlign w:val="center"/>
          </w:tcPr>
          <w:p w14:paraId="53B7604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356" w:type="pct"/>
            <w:tcBorders>
              <w:tl2br w:val="nil"/>
              <w:tr2bl w:val="nil"/>
            </w:tcBorders>
            <w:noWrap w:val="0"/>
            <w:tcMar>
              <w:top w:w="51" w:type="dxa"/>
              <w:left w:w="51" w:type="dxa"/>
              <w:bottom w:w="51" w:type="dxa"/>
              <w:right w:w="51" w:type="dxa"/>
            </w:tcMar>
            <w:vAlign w:val="center"/>
          </w:tcPr>
          <w:p w14:paraId="78CE5F1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47BF0A3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w:t>
            </w:r>
          </w:p>
        </w:tc>
        <w:tc>
          <w:tcPr>
            <w:tcW w:w="266" w:type="pct"/>
            <w:tcBorders>
              <w:tl2br w:val="nil"/>
              <w:tr2bl w:val="nil"/>
            </w:tcBorders>
            <w:noWrap w:val="0"/>
            <w:tcMar>
              <w:top w:w="51" w:type="dxa"/>
              <w:left w:w="51" w:type="dxa"/>
              <w:bottom w:w="51" w:type="dxa"/>
              <w:right w:w="51" w:type="dxa"/>
            </w:tcMar>
            <w:vAlign w:val="center"/>
          </w:tcPr>
          <w:p w14:paraId="014FE9E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74" w:type="pct"/>
            <w:tcBorders>
              <w:tl2br w:val="nil"/>
              <w:tr2bl w:val="nil"/>
            </w:tcBorders>
            <w:noWrap w:val="0"/>
            <w:tcMar>
              <w:top w:w="51" w:type="dxa"/>
              <w:left w:w="51" w:type="dxa"/>
              <w:bottom w:w="51" w:type="dxa"/>
              <w:right w:w="51" w:type="dxa"/>
            </w:tcMar>
            <w:vAlign w:val="center"/>
          </w:tcPr>
          <w:p w14:paraId="6070DBA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54.75</w:t>
            </w:r>
          </w:p>
        </w:tc>
        <w:tc>
          <w:tcPr>
            <w:tcW w:w="266" w:type="pct"/>
            <w:tcBorders>
              <w:tl2br w:val="nil"/>
              <w:tr2bl w:val="nil"/>
            </w:tcBorders>
            <w:noWrap w:val="0"/>
            <w:tcMar>
              <w:top w:w="51" w:type="dxa"/>
              <w:left w:w="51" w:type="dxa"/>
              <w:bottom w:w="51" w:type="dxa"/>
              <w:right w:w="51" w:type="dxa"/>
            </w:tcMar>
            <w:vAlign w:val="center"/>
          </w:tcPr>
          <w:p w14:paraId="3811FF5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36" w:type="pct"/>
            <w:tcBorders>
              <w:tl2br w:val="nil"/>
              <w:tr2bl w:val="nil"/>
            </w:tcBorders>
            <w:noWrap w:val="0"/>
            <w:tcMar>
              <w:top w:w="51" w:type="dxa"/>
              <w:left w:w="51" w:type="dxa"/>
              <w:bottom w:w="51" w:type="dxa"/>
              <w:right w:w="51" w:type="dxa"/>
            </w:tcMar>
            <w:vAlign w:val="center"/>
          </w:tcPr>
          <w:p w14:paraId="64DCC7C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w:t>
            </w:r>
          </w:p>
        </w:tc>
        <w:tc>
          <w:tcPr>
            <w:tcW w:w="780" w:type="pct"/>
            <w:tcBorders>
              <w:tl2br w:val="nil"/>
              <w:tr2bl w:val="nil"/>
            </w:tcBorders>
            <w:noWrap w:val="0"/>
            <w:tcMar>
              <w:top w:w="51" w:type="dxa"/>
              <w:left w:w="51" w:type="dxa"/>
              <w:bottom w:w="51" w:type="dxa"/>
              <w:right w:w="51" w:type="dxa"/>
            </w:tcMar>
            <w:vAlign w:val="center"/>
          </w:tcPr>
          <w:p w14:paraId="3D6324C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约12户45人，房屋侧向、背向公路。</w:t>
            </w:r>
          </w:p>
        </w:tc>
      </w:tr>
      <w:tr w14:paraId="084862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72FE630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小沔镇斑竹村石梁子居民点</w:t>
            </w:r>
          </w:p>
        </w:tc>
        <w:tc>
          <w:tcPr>
            <w:tcW w:w="232" w:type="pct"/>
            <w:tcBorders>
              <w:tl2br w:val="nil"/>
              <w:tr2bl w:val="nil"/>
            </w:tcBorders>
            <w:noWrap w:val="0"/>
            <w:tcMar>
              <w:top w:w="51" w:type="dxa"/>
              <w:left w:w="51" w:type="dxa"/>
              <w:bottom w:w="51" w:type="dxa"/>
              <w:right w:w="51" w:type="dxa"/>
            </w:tcMar>
            <w:vAlign w:val="center"/>
          </w:tcPr>
          <w:p w14:paraId="6135D62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主线、小沔枢纽互通</w:t>
            </w:r>
          </w:p>
        </w:tc>
        <w:tc>
          <w:tcPr>
            <w:tcW w:w="608" w:type="pct"/>
            <w:tcBorders>
              <w:tl2br w:val="nil"/>
              <w:tr2bl w:val="nil"/>
            </w:tcBorders>
            <w:noWrap w:val="0"/>
            <w:tcMar>
              <w:top w:w="51" w:type="dxa"/>
              <w:left w:w="51" w:type="dxa"/>
              <w:bottom w:w="51" w:type="dxa"/>
              <w:right w:w="51" w:type="dxa"/>
            </w:tcMar>
            <w:vAlign w:val="center"/>
          </w:tcPr>
          <w:p w14:paraId="4CF6710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K77+250-K77+600</w:t>
            </w:r>
          </w:p>
        </w:tc>
        <w:tc>
          <w:tcPr>
            <w:tcW w:w="248" w:type="pct"/>
            <w:tcBorders>
              <w:tl2br w:val="nil"/>
              <w:tr2bl w:val="nil"/>
            </w:tcBorders>
            <w:noWrap w:val="0"/>
            <w:tcMar>
              <w:top w:w="51" w:type="dxa"/>
              <w:left w:w="51" w:type="dxa"/>
              <w:bottom w:w="51" w:type="dxa"/>
              <w:right w:w="51" w:type="dxa"/>
            </w:tcMar>
            <w:vAlign w:val="center"/>
          </w:tcPr>
          <w:p w14:paraId="429FAD9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484DE8D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主线路左/匝道D右</w:t>
            </w:r>
          </w:p>
        </w:tc>
        <w:tc>
          <w:tcPr>
            <w:tcW w:w="338" w:type="pct"/>
            <w:tcBorders>
              <w:tl2br w:val="nil"/>
              <w:tr2bl w:val="nil"/>
            </w:tcBorders>
            <w:noWrap w:val="0"/>
            <w:tcMar>
              <w:top w:w="51" w:type="dxa"/>
              <w:left w:w="51" w:type="dxa"/>
              <w:bottom w:w="51" w:type="dxa"/>
              <w:right w:w="51" w:type="dxa"/>
            </w:tcMar>
            <w:vAlign w:val="center"/>
          </w:tcPr>
          <w:p w14:paraId="4AB0018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187" w:type="pct"/>
            <w:tcBorders>
              <w:tl2br w:val="nil"/>
              <w:tr2bl w:val="nil"/>
            </w:tcBorders>
            <w:noWrap w:val="0"/>
            <w:tcMar>
              <w:top w:w="51" w:type="dxa"/>
              <w:left w:w="51" w:type="dxa"/>
              <w:bottom w:w="51" w:type="dxa"/>
              <w:right w:w="51" w:type="dxa"/>
            </w:tcMar>
            <w:vAlign w:val="center"/>
          </w:tcPr>
          <w:p w14:paraId="3DAB62E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w:t>
            </w:r>
          </w:p>
        </w:tc>
        <w:tc>
          <w:tcPr>
            <w:tcW w:w="356" w:type="pct"/>
            <w:tcBorders>
              <w:tl2br w:val="nil"/>
              <w:tr2bl w:val="nil"/>
            </w:tcBorders>
            <w:noWrap w:val="0"/>
            <w:tcMar>
              <w:top w:w="51" w:type="dxa"/>
              <w:left w:w="51" w:type="dxa"/>
              <w:bottom w:w="51" w:type="dxa"/>
              <w:right w:w="51" w:type="dxa"/>
            </w:tcMar>
            <w:vAlign w:val="center"/>
          </w:tcPr>
          <w:p w14:paraId="3C5E851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38</w:t>
            </w:r>
          </w:p>
        </w:tc>
        <w:tc>
          <w:tcPr>
            <w:tcW w:w="274" w:type="pct"/>
            <w:tcBorders>
              <w:tl2br w:val="nil"/>
              <w:tr2bl w:val="nil"/>
            </w:tcBorders>
            <w:noWrap w:val="0"/>
            <w:tcMar>
              <w:top w:w="51" w:type="dxa"/>
              <w:left w:w="51" w:type="dxa"/>
              <w:bottom w:w="51" w:type="dxa"/>
              <w:right w:w="51" w:type="dxa"/>
            </w:tcMar>
            <w:vAlign w:val="center"/>
          </w:tcPr>
          <w:p w14:paraId="5DF7579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w:t>
            </w:r>
          </w:p>
        </w:tc>
        <w:tc>
          <w:tcPr>
            <w:tcW w:w="266" w:type="pct"/>
            <w:tcBorders>
              <w:tl2br w:val="nil"/>
              <w:tr2bl w:val="nil"/>
            </w:tcBorders>
            <w:noWrap w:val="0"/>
            <w:tcMar>
              <w:top w:w="51" w:type="dxa"/>
              <w:left w:w="51" w:type="dxa"/>
              <w:bottom w:w="51" w:type="dxa"/>
              <w:right w:w="51" w:type="dxa"/>
            </w:tcMar>
            <w:vAlign w:val="center"/>
          </w:tcPr>
          <w:p w14:paraId="5FB011C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50.75</w:t>
            </w:r>
          </w:p>
        </w:tc>
        <w:tc>
          <w:tcPr>
            <w:tcW w:w="274" w:type="pct"/>
            <w:tcBorders>
              <w:tl2br w:val="nil"/>
              <w:tr2bl w:val="nil"/>
            </w:tcBorders>
            <w:noWrap w:val="0"/>
            <w:tcMar>
              <w:top w:w="51" w:type="dxa"/>
              <w:left w:w="51" w:type="dxa"/>
              <w:bottom w:w="51" w:type="dxa"/>
              <w:right w:w="51" w:type="dxa"/>
            </w:tcMar>
            <w:vAlign w:val="center"/>
          </w:tcPr>
          <w:p w14:paraId="6F9923B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66" w:type="pct"/>
            <w:tcBorders>
              <w:tl2br w:val="nil"/>
              <w:tr2bl w:val="nil"/>
            </w:tcBorders>
            <w:noWrap w:val="0"/>
            <w:tcMar>
              <w:top w:w="51" w:type="dxa"/>
              <w:left w:w="51" w:type="dxa"/>
              <w:bottom w:w="51" w:type="dxa"/>
              <w:right w:w="51" w:type="dxa"/>
            </w:tcMar>
            <w:vAlign w:val="center"/>
          </w:tcPr>
          <w:p w14:paraId="08E279C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w:t>
            </w:r>
          </w:p>
        </w:tc>
        <w:tc>
          <w:tcPr>
            <w:tcW w:w="136" w:type="pct"/>
            <w:tcBorders>
              <w:tl2br w:val="nil"/>
              <w:tr2bl w:val="nil"/>
            </w:tcBorders>
            <w:noWrap w:val="0"/>
            <w:tcMar>
              <w:top w:w="51" w:type="dxa"/>
              <w:left w:w="51" w:type="dxa"/>
              <w:bottom w:w="51" w:type="dxa"/>
              <w:right w:w="51" w:type="dxa"/>
            </w:tcMar>
            <w:vAlign w:val="center"/>
          </w:tcPr>
          <w:p w14:paraId="7B71DF6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16</w:t>
            </w:r>
          </w:p>
        </w:tc>
        <w:tc>
          <w:tcPr>
            <w:tcW w:w="780" w:type="pct"/>
            <w:tcBorders>
              <w:tl2br w:val="nil"/>
              <w:tr2bl w:val="nil"/>
            </w:tcBorders>
            <w:noWrap w:val="0"/>
            <w:tcMar>
              <w:top w:w="51" w:type="dxa"/>
              <w:left w:w="51" w:type="dxa"/>
              <w:bottom w:w="51" w:type="dxa"/>
              <w:right w:w="51" w:type="dxa"/>
            </w:tcMar>
            <w:vAlign w:val="center"/>
          </w:tcPr>
          <w:p w14:paraId="0BF67A1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17栋砖混楼房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约17户60人，房屋侧向、背向公路。</w:t>
            </w:r>
          </w:p>
        </w:tc>
      </w:tr>
      <w:tr w14:paraId="72A4FF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594A738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小沔镇斑竹村新竹湾居民点</w:t>
            </w:r>
          </w:p>
        </w:tc>
        <w:tc>
          <w:tcPr>
            <w:tcW w:w="232" w:type="pct"/>
            <w:tcBorders>
              <w:tl2br w:val="nil"/>
              <w:tr2bl w:val="nil"/>
            </w:tcBorders>
            <w:noWrap w:val="0"/>
            <w:tcMar>
              <w:top w:w="51" w:type="dxa"/>
              <w:left w:w="51" w:type="dxa"/>
              <w:bottom w:w="51" w:type="dxa"/>
              <w:right w:w="51" w:type="dxa"/>
            </w:tcMar>
            <w:vAlign w:val="center"/>
          </w:tcPr>
          <w:p w14:paraId="74E936C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6F0D65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K77+570-K77+880</w:t>
            </w:r>
          </w:p>
        </w:tc>
        <w:tc>
          <w:tcPr>
            <w:tcW w:w="248" w:type="pct"/>
            <w:tcBorders>
              <w:tl2br w:val="nil"/>
              <w:tr2bl w:val="nil"/>
            </w:tcBorders>
            <w:noWrap w:val="0"/>
            <w:tcMar>
              <w:top w:w="51" w:type="dxa"/>
              <w:left w:w="51" w:type="dxa"/>
              <w:bottom w:w="51" w:type="dxa"/>
              <w:right w:w="51" w:type="dxa"/>
            </w:tcMar>
            <w:vAlign w:val="center"/>
          </w:tcPr>
          <w:p w14:paraId="72747A8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2BBC370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7C9ED24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5789884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356" w:type="pct"/>
            <w:tcBorders>
              <w:tl2br w:val="nil"/>
              <w:tr2bl w:val="nil"/>
            </w:tcBorders>
            <w:noWrap w:val="0"/>
            <w:tcMar>
              <w:top w:w="51" w:type="dxa"/>
              <w:left w:w="51" w:type="dxa"/>
              <w:bottom w:w="51" w:type="dxa"/>
              <w:right w:w="51" w:type="dxa"/>
            </w:tcMar>
            <w:vAlign w:val="center"/>
          </w:tcPr>
          <w:p w14:paraId="5042A65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w:t>
            </w:r>
          </w:p>
        </w:tc>
        <w:tc>
          <w:tcPr>
            <w:tcW w:w="274" w:type="pct"/>
            <w:tcBorders>
              <w:tl2br w:val="nil"/>
              <w:tr2bl w:val="nil"/>
            </w:tcBorders>
            <w:noWrap w:val="0"/>
            <w:tcMar>
              <w:top w:w="51" w:type="dxa"/>
              <w:left w:w="51" w:type="dxa"/>
              <w:bottom w:w="51" w:type="dxa"/>
              <w:right w:w="51" w:type="dxa"/>
            </w:tcMar>
            <w:vAlign w:val="center"/>
          </w:tcPr>
          <w:p w14:paraId="4C8D29A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w:t>
            </w:r>
          </w:p>
        </w:tc>
        <w:tc>
          <w:tcPr>
            <w:tcW w:w="266" w:type="pct"/>
            <w:tcBorders>
              <w:tl2br w:val="nil"/>
              <w:tr2bl w:val="nil"/>
            </w:tcBorders>
            <w:noWrap w:val="0"/>
            <w:tcMar>
              <w:top w:w="51" w:type="dxa"/>
              <w:left w:w="51" w:type="dxa"/>
              <w:bottom w:w="51" w:type="dxa"/>
              <w:right w:w="51" w:type="dxa"/>
            </w:tcMar>
            <w:vAlign w:val="center"/>
          </w:tcPr>
          <w:p w14:paraId="10791C0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74" w:type="pct"/>
            <w:tcBorders>
              <w:tl2br w:val="nil"/>
              <w:tr2bl w:val="nil"/>
            </w:tcBorders>
            <w:noWrap w:val="0"/>
            <w:tcMar>
              <w:top w:w="51" w:type="dxa"/>
              <w:left w:w="51" w:type="dxa"/>
              <w:bottom w:w="51" w:type="dxa"/>
              <w:right w:w="51" w:type="dxa"/>
            </w:tcMar>
            <w:vAlign w:val="center"/>
          </w:tcPr>
          <w:p w14:paraId="26661E7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54.75</w:t>
            </w:r>
          </w:p>
        </w:tc>
        <w:tc>
          <w:tcPr>
            <w:tcW w:w="266" w:type="pct"/>
            <w:tcBorders>
              <w:tl2br w:val="nil"/>
              <w:tr2bl w:val="nil"/>
            </w:tcBorders>
            <w:noWrap w:val="0"/>
            <w:tcMar>
              <w:top w:w="51" w:type="dxa"/>
              <w:left w:w="51" w:type="dxa"/>
              <w:bottom w:w="51" w:type="dxa"/>
              <w:right w:w="51" w:type="dxa"/>
            </w:tcMar>
            <w:vAlign w:val="center"/>
          </w:tcPr>
          <w:p w14:paraId="38D033E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36" w:type="pct"/>
            <w:tcBorders>
              <w:tl2br w:val="nil"/>
              <w:tr2bl w:val="nil"/>
            </w:tcBorders>
            <w:noWrap w:val="0"/>
            <w:tcMar>
              <w:top w:w="51" w:type="dxa"/>
              <w:left w:w="51" w:type="dxa"/>
              <w:bottom w:w="51" w:type="dxa"/>
              <w:right w:w="51" w:type="dxa"/>
            </w:tcMar>
            <w:vAlign w:val="center"/>
          </w:tcPr>
          <w:p w14:paraId="397CE3C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18</w:t>
            </w:r>
          </w:p>
        </w:tc>
        <w:tc>
          <w:tcPr>
            <w:tcW w:w="780" w:type="pct"/>
            <w:tcBorders>
              <w:tl2br w:val="nil"/>
              <w:tr2bl w:val="nil"/>
            </w:tcBorders>
            <w:noWrap w:val="0"/>
            <w:tcMar>
              <w:top w:w="51" w:type="dxa"/>
              <w:left w:w="51" w:type="dxa"/>
              <w:bottom w:w="51" w:type="dxa"/>
              <w:right w:w="51" w:type="dxa"/>
            </w:tcMar>
            <w:vAlign w:val="center"/>
          </w:tcPr>
          <w:p w14:paraId="372DAD1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约20户55人，房屋侧向、正向公路。</w:t>
            </w:r>
          </w:p>
        </w:tc>
      </w:tr>
      <w:tr w14:paraId="6E90C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65DCFD7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小沔镇1#斑竹村长五间居民点</w:t>
            </w:r>
          </w:p>
        </w:tc>
        <w:tc>
          <w:tcPr>
            <w:tcW w:w="232" w:type="pct"/>
            <w:tcBorders>
              <w:tl2br w:val="nil"/>
              <w:tr2bl w:val="nil"/>
            </w:tcBorders>
            <w:noWrap w:val="0"/>
            <w:tcMar>
              <w:top w:w="51" w:type="dxa"/>
              <w:left w:w="51" w:type="dxa"/>
              <w:bottom w:w="51" w:type="dxa"/>
              <w:right w:w="51" w:type="dxa"/>
            </w:tcMar>
            <w:vAlign w:val="center"/>
          </w:tcPr>
          <w:p w14:paraId="662A250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主线及匝道B</w:t>
            </w:r>
          </w:p>
        </w:tc>
        <w:tc>
          <w:tcPr>
            <w:tcW w:w="608" w:type="pct"/>
            <w:tcBorders>
              <w:tl2br w:val="nil"/>
              <w:tr2bl w:val="nil"/>
            </w:tcBorders>
            <w:noWrap w:val="0"/>
            <w:tcMar>
              <w:top w:w="51" w:type="dxa"/>
              <w:left w:w="51" w:type="dxa"/>
              <w:bottom w:w="51" w:type="dxa"/>
              <w:right w:w="51" w:type="dxa"/>
            </w:tcMar>
            <w:vAlign w:val="center"/>
          </w:tcPr>
          <w:p w14:paraId="01C5412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48" w:type="pct"/>
            <w:tcBorders>
              <w:tl2br w:val="nil"/>
              <w:tr2bl w:val="nil"/>
            </w:tcBorders>
            <w:noWrap w:val="0"/>
            <w:tcMar>
              <w:top w:w="51" w:type="dxa"/>
              <w:left w:w="51" w:type="dxa"/>
              <w:bottom w:w="51" w:type="dxa"/>
              <w:right w:w="51" w:type="dxa"/>
            </w:tcMar>
            <w:vAlign w:val="center"/>
          </w:tcPr>
          <w:p w14:paraId="4F5C4E2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05200CB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0CCB065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2E5F22E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356" w:type="pct"/>
            <w:tcBorders>
              <w:tl2br w:val="nil"/>
              <w:tr2bl w:val="nil"/>
            </w:tcBorders>
            <w:noWrap w:val="0"/>
            <w:tcMar>
              <w:top w:w="51" w:type="dxa"/>
              <w:left w:w="51" w:type="dxa"/>
              <w:bottom w:w="51" w:type="dxa"/>
              <w:right w:w="51" w:type="dxa"/>
            </w:tcMar>
            <w:vAlign w:val="center"/>
          </w:tcPr>
          <w:p w14:paraId="781D36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25</w:t>
            </w:r>
          </w:p>
        </w:tc>
        <w:tc>
          <w:tcPr>
            <w:tcW w:w="274" w:type="pct"/>
            <w:tcBorders>
              <w:tl2br w:val="nil"/>
              <w:tr2bl w:val="nil"/>
            </w:tcBorders>
            <w:noWrap w:val="0"/>
            <w:tcMar>
              <w:top w:w="51" w:type="dxa"/>
              <w:left w:w="51" w:type="dxa"/>
              <w:bottom w:w="51" w:type="dxa"/>
              <w:right w:w="51" w:type="dxa"/>
            </w:tcMar>
            <w:vAlign w:val="center"/>
          </w:tcPr>
          <w:p w14:paraId="79FD882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w:t>
            </w:r>
          </w:p>
        </w:tc>
        <w:tc>
          <w:tcPr>
            <w:tcW w:w="266" w:type="pct"/>
            <w:tcBorders>
              <w:tl2br w:val="nil"/>
              <w:tr2bl w:val="nil"/>
            </w:tcBorders>
            <w:noWrap w:val="0"/>
            <w:tcMar>
              <w:top w:w="51" w:type="dxa"/>
              <w:left w:w="51" w:type="dxa"/>
              <w:bottom w:w="51" w:type="dxa"/>
              <w:right w:w="51" w:type="dxa"/>
            </w:tcMar>
            <w:vAlign w:val="center"/>
          </w:tcPr>
          <w:p w14:paraId="504DF74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37.75</w:t>
            </w:r>
          </w:p>
        </w:tc>
        <w:tc>
          <w:tcPr>
            <w:tcW w:w="274" w:type="pct"/>
            <w:tcBorders>
              <w:tl2br w:val="nil"/>
              <w:tr2bl w:val="nil"/>
            </w:tcBorders>
            <w:noWrap w:val="0"/>
            <w:tcMar>
              <w:top w:w="51" w:type="dxa"/>
              <w:left w:w="51" w:type="dxa"/>
              <w:bottom w:w="51" w:type="dxa"/>
              <w:right w:w="51" w:type="dxa"/>
            </w:tcMar>
            <w:vAlign w:val="center"/>
          </w:tcPr>
          <w:p w14:paraId="4821F68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66" w:type="pct"/>
            <w:tcBorders>
              <w:tl2br w:val="nil"/>
              <w:tr2bl w:val="nil"/>
            </w:tcBorders>
            <w:noWrap w:val="0"/>
            <w:tcMar>
              <w:top w:w="51" w:type="dxa"/>
              <w:left w:w="51" w:type="dxa"/>
              <w:bottom w:w="51" w:type="dxa"/>
              <w:right w:w="51" w:type="dxa"/>
            </w:tcMar>
            <w:vAlign w:val="center"/>
          </w:tcPr>
          <w:p w14:paraId="168620D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136" w:type="pct"/>
            <w:tcBorders>
              <w:tl2br w:val="nil"/>
              <w:tr2bl w:val="nil"/>
            </w:tcBorders>
            <w:noWrap w:val="0"/>
            <w:tcMar>
              <w:top w:w="51" w:type="dxa"/>
              <w:left w:w="51" w:type="dxa"/>
              <w:bottom w:w="51" w:type="dxa"/>
              <w:right w:w="51" w:type="dxa"/>
            </w:tcMar>
            <w:vAlign w:val="center"/>
          </w:tcPr>
          <w:p w14:paraId="7228178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w:t>
            </w:r>
          </w:p>
        </w:tc>
        <w:tc>
          <w:tcPr>
            <w:tcW w:w="780" w:type="pct"/>
            <w:tcBorders>
              <w:tl2br w:val="nil"/>
              <w:tr2bl w:val="nil"/>
            </w:tcBorders>
            <w:noWrap w:val="0"/>
            <w:tcMar>
              <w:top w:w="51" w:type="dxa"/>
              <w:left w:w="51" w:type="dxa"/>
              <w:bottom w:w="51" w:type="dxa"/>
              <w:right w:w="51" w:type="dxa"/>
            </w:tcMar>
            <w:vAlign w:val="center"/>
          </w:tcPr>
          <w:p w14:paraId="1DEF185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17栋砖混楼房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约17户50人，房屋侧向、背向公路。</w:t>
            </w:r>
          </w:p>
        </w:tc>
      </w:tr>
      <w:tr w14:paraId="405D26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1906B1C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小沔镇2#斑竹村长五间居民点</w:t>
            </w:r>
          </w:p>
        </w:tc>
        <w:tc>
          <w:tcPr>
            <w:tcW w:w="232" w:type="pct"/>
            <w:tcBorders>
              <w:tl2br w:val="nil"/>
              <w:tr2bl w:val="nil"/>
            </w:tcBorders>
            <w:noWrap w:val="0"/>
            <w:tcMar>
              <w:top w:w="51" w:type="dxa"/>
              <w:left w:w="51" w:type="dxa"/>
              <w:bottom w:w="51" w:type="dxa"/>
              <w:right w:w="51" w:type="dxa"/>
            </w:tcMar>
            <w:vAlign w:val="center"/>
          </w:tcPr>
          <w:p w14:paraId="48FE683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主线及匝道D</w:t>
            </w:r>
          </w:p>
        </w:tc>
        <w:tc>
          <w:tcPr>
            <w:tcW w:w="608" w:type="pct"/>
            <w:tcBorders>
              <w:tl2br w:val="nil"/>
              <w:tr2bl w:val="nil"/>
            </w:tcBorders>
            <w:noWrap w:val="0"/>
            <w:tcMar>
              <w:top w:w="51" w:type="dxa"/>
              <w:left w:w="51" w:type="dxa"/>
              <w:bottom w:w="51" w:type="dxa"/>
              <w:right w:w="51" w:type="dxa"/>
            </w:tcMar>
            <w:vAlign w:val="center"/>
          </w:tcPr>
          <w:p w14:paraId="69B22DB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248" w:type="pct"/>
            <w:tcBorders>
              <w:tl2br w:val="nil"/>
              <w:tr2bl w:val="nil"/>
            </w:tcBorders>
            <w:noWrap w:val="0"/>
            <w:tcMar>
              <w:top w:w="51" w:type="dxa"/>
              <w:left w:w="51" w:type="dxa"/>
              <w:bottom w:w="51" w:type="dxa"/>
              <w:right w:w="51" w:type="dxa"/>
            </w:tcMar>
            <w:vAlign w:val="center"/>
          </w:tcPr>
          <w:p w14:paraId="3A6BA43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0C4B005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44C7A67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6E9A192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356" w:type="pct"/>
            <w:tcBorders>
              <w:tl2br w:val="nil"/>
              <w:tr2bl w:val="nil"/>
            </w:tcBorders>
            <w:noWrap w:val="0"/>
            <w:tcMar>
              <w:top w:w="51" w:type="dxa"/>
              <w:left w:w="51" w:type="dxa"/>
              <w:bottom w:w="51" w:type="dxa"/>
              <w:right w:w="51" w:type="dxa"/>
            </w:tcMar>
            <w:vAlign w:val="center"/>
          </w:tcPr>
          <w:p w14:paraId="082447C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274" w:type="pct"/>
            <w:tcBorders>
              <w:tl2br w:val="nil"/>
              <w:tr2bl w:val="nil"/>
            </w:tcBorders>
            <w:noWrap w:val="0"/>
            <w:tcMar>
              <w:top w:w="51" w:type="dxa"/>
              <w:left w:w="51" w:type="dxa"/>
              <w:bottom w:w="51" w:type="dxa"/>
              <w:right w:w="51" w:type="dxa"/>
            </w:tcMar>
            <w:vAlign w:val="center"/>
          </w:tcPr>
          <w:p w14:paraId="606F0FD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50</w:t>
            </w:r>
          </w:p>
        </w:tc>
        <w:tc>
          <w:tcPr>
            <w:tcW w:w="266" w:type="pct"/>
            <w:tcBorders>
              <w:tl2br w:val="nil"/>
              <w:tr2bl w:val="nil"/>
            </w:tcBorders>
            <w:noWrap w:val="0"/>
            <w:tcMar>
              <w:top w:w="51" w:type="dxa"/>
              <w:left w:w="51" w:type="dxa"/>
              <w:bottom w:w="51" w:type="dxa"/>
              <w:right w:w="51" w:type="dxa"/>
            </w:tcMar>
            <w:vAlign w:val="center"/>
          </w:tcPr>
          <w:p w14:paraId="5E07477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74" w:type="pct"/>
            <w:tcBorders>
              <w:tl2br w:val="nil"/>
              <w:tr2bl w:val="nil"/>
            </w:tcBorders>
            <w:noWrap w:val="0"/>
            <w:tcMar>
              <w:top w:w="51" w:type="dxa"/>
              <w:left w:w="51" w:type="dxa"/>
              <w:bottom w:w="51" w:type="dxa"/>
              <w:right w:w="51" w:type="dxa"/>
            </w:tcMar>
            <w:vAlign w:val="center"/>
          </w:tcPr>
          <w:p w14:paraId="11CD8F3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62.75</w:t>
            </w:r>
          </w:p>
        </w:tc>
        <w:tc>
          <w:tcPr>
            <w:tcW w:w="266" w:type="pct"/>
            <w:tcBorders>
              <w:tl2br w:val="nil"/>
              <w:tr2bl w:val="nil"/>
            </w:tcBorders>
            <w:noWrap w:val="0"/>
            <w:tcMar>
              <w:top w:w="51" w:type="dxa"/>
              <w:left w:w="51" w:type="dxa"/>
              <w:bottom w:w="51" w:type="dxa"/>
              <w:right w:w="51" w:type="dxa"/>
            </w:tcMar>
            <w:vAlign w:val="center"/>
          </w:tcPr>
          <w:p w14:paraId="6029984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136" w:type="pct"/>
            <w:tcBorders>
              <w:tl2br w:val="nil"/>
              <w:tr2bl w:val="nil"/>
            </w:tcBorders>
            <w:noWrap w:val="0"/>
            <w:tcMar>
              <w:top w:w="51" w:type="dxa"/>
              <w:left w:w="51" w:type="dxa"/>
              <w:bottom w:w="51" w:type="dxa"/>
              <w:right w:w="51" w:type="dxa"/>
            </w:tcMar>
            <w:vAlign w:val="center"/>
          </w:tcPr>
          <w:p w14:paraId="4E85F23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780" w:type="pct"/>
            <w:tcBorders>
              <w:tl2br w:val="nil"/>
              <w:tr2bl w:val="nil"/>
            </w:tcBorders>
            <w:noWrap w:val="0"/>
            <w:tcMar>
              <w:top w:w="51" w:type="dxa"/>
              <w:left w:w="51" w:type="dxa"/>
              <w:bottom w:w="51" w:type="dxa"/>
              <w:right w:w="51" w:type="dxa"/>
            </w:tcMar>
            <w:vAlign w:val="center"/>
          </w:tcPr>
          <w:p w14:paraId="00C30E0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15栋砖混楼房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约15户40人，房屋侧向、背向公路。</w:t>
            </w:r>
          </w:p>
        </w:tc>
      </w:tr>
      <w:tr w14:paraId="3D77D0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163F851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小沔镇1#石窝村八角庙居民点</w:t>
            </w:r>
          </w:p>
        </w:tc>
        <w:tc>
          <w:tcPr>
            <w:tcW w:w="232" w:type="pct"/>
            <w:tcBorders>
              <w:tl2br w:val="nil"/>
              <w:tr2bl w:val="nil"/>
            </w:tcBorders>
            <w:noWrap w:val="0"/>
            <w:tcMar>
              <w:top w:w="51" w:type="dxa"/>
              <w:left w:w="51" w:type="dxa"/>
              <w:bottom w:w="51" w:type="dxa"/>
              <w:right w:w="51" w:type="dxa"/>
            </w:tcMar>
            <w:vAlign w:val="center"/>
          </w:tcPr>
          <w:p w14:paraId="627FE65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69CE0FD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K79+110-K79+760</w:t>
            </w:r>
          </w:p>
        </w:tc>
        <w:tc>
          <w:tcPr>
            <w:tcW w:w="248" w:type="pct"/>
            <w:tcBorders>
              <w:tl2br w:val="nil"/>
              <w:tr2bl w:val="nil"/>
            </w:tcBorders>
            <w:noWrap w:val="0"/>
            <w:tcMar>
              <w:top w:w="51" w:type="dxa"/>
              <w:left w:w="51" w:type="dxa"/>
              <w:bottom w:w="51" w:type="dxa"/>
              <w:right w:w="51" w:type="dxa"/>
            </w:tcMar>
            <w:vAlign w:val="center"/>
          </w:tcPr>
          <w:p w14:paraId="2788C02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448DFCB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338" w:type="pct"/>
            <w:tcBorders>
              <w:tl2br w:val="nil"/>
              <w:tr2bl w:val="nil"/>
            </w:tcBorders>
            <w:noWrap w:val="0"/>
            <w:tcMar>
              <w:top w:w="51" w:type="dxa"/>
              <w:left w:w="51" w:type="dxa"/>
              <w:bottom w:w="51" w:type="dxa"/>
              <w:right w:w="51" w:type="dxa"/>
            </w:tcMar>
            <w:vAlign w:val="center"/>
          </w:tcPr>
          <w:p w14:paraId="6E44B0E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75DDEA7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356" w:type="pct"/>
            <w:tcBorders>
              <w:tl2br w:val="nil"/>
              <w:tr2bl w:val="nil"/>
            </w:tcBorders>
            <w:noWrap w:val="0"/>
            <w:tcMar>
              <w:top w:w="51" w:type="dxa"/>
              <w:left w:w="51" w:type="dxa"/>
              <w:bottom w:w="51" w:type="dxa"/>
              <w:right w:w="51" w:type="dxa"/>
            </w:tcMar>
            <w:vAlign w:val="center"/>
          </w:tcPr>
          <w:p w14:paraId="292A647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274" w:type="pct"/>
            <w:tcBorders>
              <w:tl2br w:val="nil"/>
              <w:tr2bl w:val="nil"/>
            </w:tcBorders>
            <w:noWrap w:val="0"/>
            <w:tcMar>
              <w:top w:w="51" w:type="dxa"/>
              <w:left w:w="51" w:type="dxa"/>
              <w:bottom w:w="51" w:type="dxa"/>
              <w:right w:w="51" w:type="dxa"/>
            </w:tcMar>
            <w:vAlign w:val="center"/>
          </w:tcPr>
          <w:p w14:paraId="5A94DE1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50</w:t>
            </w:r>
          </w:p>
        </w:tc>
        <w:tc>
          <w:tcPr>
            <w:tcW w:w="266" w:type="pct"/>
            <w:tcBorders>
              <w:tl2br w:val="nil"/>
              <w:tr2bl w:val="nil"/>
            </w:tcBorders>
            <w:noWrap w:val="0"/>
            <w:tcMar>
              <w:top w:w="51" w:type="dxa"/>
              <w:left w:w="51" w:type="dxa"/>
              <w:bottom w:w="51" w:type="dxa"/>
              <w:right w:w="51" w:type="dxa"/>
            </w:tcMar>
            <w:vAlign w:val="center"/>
          </w:tcPr>
          <w:p w14:paraId="044E4A4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74" w:type="pct"/>
            <w:tcBorders>
              <w:tl2br w:val="nil"/>
              <w:tr2bl w:val="nil"/>
            </w:tcBorders>
            <w:noWrap w:val="0"/>
            <w:tcMar>
              <w:top w:w="51" w:type="dxa"/>
              <w:left w:w="51" w:type="dxa"/>
              <w:bottom w:w="51" w:type="dxa"/>
              <w:right w:w="51" w:type="dxa"/>
            </w:tcMar>
            <w:vAlign w:val="center"/>
          </w:tcPr>
          <w:p w14:paraId="10F2D6F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62.75</w:t>
            </w:r>
          </w:p>
        </w:tc>
        <w:tc>
          <w:tcPr>
            <w:tcW w:w="266" w:type="pct"/>
            <w:tcBorders>
              <w:tl2br w:val="nil"/>
              <w:tr2bl w:val="nil"/>
            </w:tcBorders>
            <w:noWrap w:val="0"/>
            <w:tcMar>
              <w:top w:w="51" w:type="dxa"/>
              <w:left w:w="51" w:type="dxa"/>
              <w:bottom w:w="51" w:type="dxa"/>
              <w:right w:w="51" w:type="dxa"/>
            </w:tcMar>
            <w:vAlign w:val="center"/>
          </w:tcPr>
          <w:p w14:paraId="2FF3E2A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136" w:type="pct"/>
            <w:tcBorders>
              <w:tl2br w:val="nil"/>
              <w:tr2bl w:val="nil"/>
            </w:tcBorders>
            <w:noWrap w:val="0"/>
            <w:tcMar>
              <w:top w:w="51" w:type="dxa"/>
              <w:left w:w="51" w:type="dxa"/>
              <w:bottom w:w="51" w:type="dxa"/>
              <w:right w:w="51" w:type="dxa"/>
            </w:tcMar>
            <w:vAlign w:val="center"/>
          </w:tcPr>
          <w:p w14:paraId="403ABA4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26</w:t>
            </w:r>
          </w:p>
        </w:tc>
        <w:tc>
          <w:tcPr>
            <w:tcW w:w="780" w:type="pct"/>
            <w:tcBorders>
              <w:tl2br w:val="nil"/>
              <w:tr2bl w:val="nil"/>
            </w:tcBorders>
            <w:noWrap w:val="0"/>
            <w:tcMar>
              <w:top w:w="51" w:type="dxa"/>
              <w:left w:w="51" w:type="dxa"/>
              <w:bottom w:w="51" w:type="dxa"/>
              <w:right w:w="51" w:type="dxa"/>
            </w:tcMar>
            <w:vAlign w:val="center"/>
          </w:tcPr>
          <w:p w14:paraId="115C796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31栋砖混楼房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约31户100人，房屋侧向、背向公路。</w:t>
            </w:r>
          </w:p>
        </w:tc>
      </w:tr>
      <w:tr w14:paraId="3D36B7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717" w:type="pct"/>
            <w:tcBorders>
              <w:tl2br w:val="nil"/>
              <w:tr2bl w:val="nil"/>
            </w:tcBorders>
            <w:noWrap w:val="0"/>
            <w:tcMar>
              <w:top w:w="51" w:type="dxa"/>
              <w:left w:w="51" w:type="dxa"/>
              <w:bottom w:w="51" w:type="dxa"/>
              <w:right w:w="51" w:type="dxa"/>
            </w:tcMar>
            <w:vAlign w:val="center"/>
          </w:tcPr>
          <w:p w14:paraId="1C483C6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小沔镇2#石窝村八角庙居民点</w:t>
            </w:r>
          </w:p>
        </w:tc>
        <w:tc>
          <w:tcPr>
            <w:tcW w:w="232" w:type="pct"/>
            <w:tcBorders>
              <w:tl2br w:val="nil"/>
              <w:tr2bl w:val="nil"/>
            </w:tcBorders>
            <w:noWrap w:val="0"/>
            <w:tcMar>
              <w:top w:w="51" w:type="dxa"/>
              <w:left w:w="51" w:type="dxa"/>
              <w:bottom w:w="51" w:type="dxa"/>
              <w:right w:w="51" w:type="dxa"/>
            </w:tcMar>
            <w:vAlign w:val="center"/>
          </w:tcPr>
          <w:p w14:paraId="7CAAAE7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w:t>
            </w:r>
          </w:p>
        </w:tc>
        <w:tc>
          <w:tcPr>
            <w:tcW w:w="608" w:type="pct"/>
            <w:tcBorders>
              <w:tl2br w:val="nil"/>
              <w:tr2bl w:val="nil"/>
            </w:tcBorders>
            <w:noWrap w:val="0"/>
            <w:tcMar>
              <w:top w:w="51" w:type="dxa"/>
              <w:left w:w="51" w:type="dxa"/>
              <w:bottom w:w="51" w:type="dxa"/>
              <w:right w:w="51" w:type="dxa"/>
            </w:tcMar>
            <w:vAlign w:val="center"/>
          </w:tcPr>
          <w:p w14:paraId="131D692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K79+110-K79+760</w:t>
            </w:r>
          </w:p>
        </w:tc>
        <w:tc>
          <w:tcPr>
            <w:tcW w:w="248" w:type="pct"/>
            <w:tcBorders>
              <w:tl2br w:val="nil"/>
              <w:tr2bl w:val="nil"/>
            </w:tcBorders>
            <w:noWrap w:val="0"/>
            <w:tcMar>
              <w:top w:w="51" w:type="dxa"/>
              <w:left w:w="51" w:type="dxa"/>
              <w:bottom w:w="51" w:type="dxa"/>
              <w:right w:w="51" w:type="dxa"/>
            </w:tcMar>
            <w:vAlign w:val="center"/>
          </w:tcPr>
          <w:p w14:paraId="68197E2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路堤</w:t>
            </w:r>
          </w:p>
        </w:tc>
        <w:tc>
          <w:tcPr>
            <w:tcW w:w="312" w:type="pct"/>
            <w:tcBorders>
              <w:tl2br w:val="nil"/>
              <w:tr2bl w:val="nil"/>
            </w:tcBorders>
            <w:noWrap w:val="0"/>
            <w:tcMar>
              <w:top w:w="51" w:type="dxa"/>
              <w:left w:w="51" w:type="dxa"/>
              <w:bottom w:w="51" w:type="dxa"/>
              <w:right w:w="51" w:type="dxa"/>
            </w:tcMar>
            <w:vAlign w:val="center"/>
          </w:tcPr>
          <w:p w14:paraId="3B372AB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338" w:type="pct"/>
            <w:tcBorders>
              <w:tl2br w:val="nil"/>
              <w:tr2bl w:val="nil"/>
            </w:tcBorders>
            <w:noWrap w:val="0"/>
            <w:tcMar>
              <w:top w:w="51" w:type="dxa"/>
              <w:left w:w="51" w:type="dxa"/>
              <w:bottom w:w="51" w:type="dxa"/>
              <w:right w:w="51" w:type="dxa"/>
            </w:tcMar>
            <w:vAlign w:val="center"/>
          </w:tcPr>
          <w:p w14:paraId="1F9E91E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187" w:type="pct"/>
            <w:tcBorders>
              <w:tl2br w:val="nil"/>
              <w:tr2bl w:val="nil"/>
            </w:tcBorders>
            <w:noWrap w:val="0"/>
            <w:tcMar>
              <w:top w:w="51" w:type="dxa"/>
              <w:left w:w="51" w:type="dxa"/>
              <w:bottom w:w="51" w:type="dxa"/>
              <w:right w:w="51" w:type="dxa"/>
            </w:tcMar>
            <w:vAlign w:val="center"/>
          </w:tcPr>
          <w:p w14:paraId="2AAFAFF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356" w:type="pct"/>
            <w:tcBorders>
              <w:tl2br w:val="nil"/>
              <w:tr2bl w:val="nil"/>
            </w:tcBorders>
            <w:noWrap w:val="0"/>
            <w:tcMar>
              <w:top w:w="51" w:type="dxa"/>
              <w:left w:w="51" w:type="dxa"/>
              <w:bottom w:w="51" w:type="dxa"/>
              <w:right w:w="51" w:type="dxa"/>
            </w:tcMar>
            <w:vAlign w:val="center"/>
          </w:tcPr>
          <w:p w14:paraId="11F1D0C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35</w:t>
            </w:r>
          </w:p>
        </w:tc>
        <w:tc>
          <w:tcPr>
            <w:tcW w:w="274" w:type="pct"/>
            <w:tcBorders>
              <w:tl2br w:val="nil"/>
              <w:tr2bl w:val="nil"/>
            </w:tcBorders>
            <w:noWrap w:val="0"/>
            <w:tcMar>
              <w:top w:w="51" w:type="dxa"/>
              <w:left w:w="51" w:type="dxa"/>
              <w:bottom w:w="51" w:type="dxa"/>
              <w:right w:w="51" w:type="dxa"/>
            </w:tcMar>
            <w:vAlign w:val="center"/>
          </w:tcPr>
          <w:p w14:paraId="1747EF7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100</w:t>
            </w:r>
          </w:p>
        </w:tc>
        <w:tc>
          <w:tcPr>
            <w:tcW w:w="266" w:type="pct"/>
            <w:tcBorders>
              <w:tl2br w:val="nil"/>
              <w:tr2bl w:val="nil"/>
            </w:tcBorders>
            <w:noWrap w:val="0"/>
            <w:tcMar>
              <w:top w:w="51" w:type="dxa"/>
              <w:left w:w="51" w:type="dxa"/>
              <w:bottom w:w="51" w:type="dxa"/>
              <w:right w:w="51" w:type="dxa"/>
            </w:tcMar>
            <w:vAlign w:val="center"/>
          </w:tcPr>
          <w:p w14:paraId="64FC6FC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47.75</w:t>
            </w:r>
          </w:p>
        </w:tc>
        <w:tc>
          <w:tcPr>
            <w:tcW w:w="274" w:type="pct"/>
            <w:tcBorders>
              <w:tl2br w:val="nil"/>
              <w:tr2bl w:val="nil"/>
            </w:tcBorders>
            <w:noWrap w:val="0"/>
            <w:tcMar>
              <w:top w:w="51" w:type="dxa"/>
              <w:left w:w="51" w:type="dxa"/>
              <w:bottom w:w="51" w:type="dxa"/>
              <w:right w:w="51" w:type="dxa"/>
            </w:tcMar>
            <w:vAlign w:val="center"/>
          </w:tcPr>
          <w:p w14:paraId="23F46F1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112.75</w:t>
            </w:r>
          </w:p>
        </w:tc>
        <w:tc>
          <w:tcPr>
            <w:tcW w:w="266" w:type="pct"/>
            <w:tcBorders>
              <w:tl2br w:val="nil"/>
              <w:tr2bl w:val="nil"/>
            </w:tcBorders>
            <w:noWrap w:val="0"/>
            <w:tcMar>
              <w:top w:w="51" w:type="dxa"/>
              <w:left w:w="51" w:type="dxa"/>
              <w:bottom w:w="51" w:type="dxa"/>
              <w:right w:w="51" w:type="dxa"/>
            </w:tcMar>
            <w:vAlign w:val="center"/>
          </w:tcPr>
          <w:p w14:paraId="38355FB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136" w:type="pct"/>
            <w:tcBorders>
              <w:tl2br w:val="nil"/>
              <w:tr2bl w:val="nil"/>
            </w:tcBorders>
            <w:noWrap w:val="0"/>
            <w:tcMar>
              <w:top w:w="51" w:type="dxa"/>
              <w:left w:w="51" w:type="dxa"/>
              <w:bottom w:w="51" w:type="dxa"/>
              <w:right w:w="51" w:type="dxa"/>
            </w:tcMar>
            <w:vAlign w:val="center"/>
          </w:tcPr>
          <w:p w14:paraId="19310A9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780" w:type="pct"/>
            <w:tcBorders>
              <w:tl2br w:val="nil"/>
              <w:tr2bl w:val="nil"/>
            </w:tcBorders>
            <w:noWrap w:val="0"/>
            <w:tcMar>
              <w:top w:w="51" w:type="dxa"/>
              <w:left w:w="51" w:type="dxa"/>
              <w:bottom w:w="51" w:type="dxa"/>
              <w:right w:w="51" w:type="dxa"/>
            </w:tcMar>
            <w:vAlign w:val="center"/>
          </w:tcPr>
          <w:p w14:paraId="6498817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13栋砖混楼房</w:t>
            </w:r>
            <w:r>
              <w:rPr>
                <w:rFonts w:hint="eastAsia" w:ascii="Times New Roman" w:hAnsi="Times New Roman" w:eastAsia="宋体" w:cs="Times New Roman"/>
                <w:snapToGrid w:val="0"/>
                <w:color w:val="auto"/>
                <w:kern w:val="0"/>
                <w:sz w:val="21"/>
                <w:szCs w:val="21"/>
                <w:highlight w:val="none"/>
                <w:lang w:val="en-US" w:eastAsia="zh-CN" w:bidi="ar-SA"/>
              </w:rPr>
              <w:t>，主要以1</w:t>
            </w:r>
            <w:r>
              <w:rPr>
                <w:rFonts w:hint="default" w:ascii="Times New Roman" w:hAnsi="Times New Roman" w:eastAsia="宋体"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snapToGrid w:val="0"/>
                <w:color w:val="auto"/>
                <w:kern w:val="0"/>
                <w:sz w:val="21"/>
                <w:szCs w:val="21"/>
                <w:highlight w:val="none"/>
                <w:lang w:val="en-US" w:eastAsia="zh-CN" w:bidi="ar-SA"/>
              </w:rPr>
              <w:t>层</w:t>
            </w:r>
            <w:r>
              <w:rPr>
                <w:rFonts w:hint="eastAsia" w:ascii="Times New Roman" w:hAnsi="Times New Roman" w:eastAsia="宋体" w:cs="Times New Roman"/>
                <w:snapToGrid w:val="0"/>
                <w:color w:val="auto"/>
                <w:kern w:val="0"/>
                <w:sz w:val="21"/>
                <w:szCs w:val="21"/>
                <w:highlight w:val="none"/>
                <w:lang w:val="en-US" w:eastAsia="zh-CN" w:bidi="ar-SA"/>
              </w:rPr>
              <w:t>为主，</w:t>
            </w:r>
            <w:r>
              <w:rPr>
                <w:rFonts w:hint="default" w:ascii="Times New Roman" w:hAnsi="Times New Roman" w:eastAsia="宋体" w:cs="Times New Roman"/>
                <w:snapToGrid w:val="0"/>
                <w:color w:val="auto"/>
                <w:kern w:val="0"/>
                <w:sz w:val="21"/>
                <w:szCs w:val="21"/>
                <w:highlight w:val="none"/>
                <w:lang w:val="en-US" w:eastAsia="zh-CN" w:bidi="ar-SA"/>
              </w:rPr>
              <w:t>约13户40人，房屋侧向、北向公路。</w:t>
            </w:r>
          </w:p>
        </w:tc>
      </w:tr>
    </w:tbl>
    <w:p w14:paraId="04AEF46B">
      <w:pPr>
        <w:pStyle w:val="24"/>
        <w:ind w:firstLine="0" w:firstLineChars="0"/>
        <w:rPr>
          <w:rFonts w:hint="default" w:ascii="Times New Roman" w:hAnsi="Times New Roman" w:cs="Times New Roman"/>
          <w:color w:val="auto"/>
          <w:szCs w:val="24"/>
        </w:rPr>
      </w:pPr>
    </w:p>
    <w:p w14:paraId="268F7AE0">
      <w:pPr>
        <w:pStyle w:val="24"/>
        <w:ind w:firstLine="480"/>
        <w:rPr>
          <w:rFonts w:hint="default" w:ascii="Times New Roman" w:hAnsi="Times New Roman" w:cs="Times New Roman"/>
          <w:color w:val="auto"/>
          <w:szCs w:val="24"/>
        </w:rPr>
        <w:sectPr>
          <w:pgSz w:w="16838" w:h="11906" w:orient="landscape"/>
          <w:pgMar w:top="993" w:right="720" w:bottom="1134" w:left="720" w:header="0" w:footer="283" w:gutter="0"/>
          <w:pgBorders>
            <w:top w:val="none" w:sz="0" w:space="0"/>
            <w:left w:val="none" w:sz="0" w:space="0"/>
            <w:bottom w:val="none" w:sz="0" w:space="0"/>
            <w:right w:val="none" w:sz="0" w:space="0"/>
          </w:pgBorders>
          <w:pgNumType w:fmt="decimal"/>
          <w:cols w:space="720" w:num="1"/>
          <w:docGrid w:type="linesAndChars" w:linePitch="326" w:charSpace="0"/>
        </w:sectPr>
      </w:pPr>
    </w:p>
    <w:p w14:paraId="374833B4">
      <w:pPr>
        <w:pStyle w:val="3"/>
        <w:numPr>
          <w:ilvl w:val="1"/>
          <w:numId w:val="0"/>
        </w:numPr>
        <w:ind w:left="578" w:leftChars="0" w:hanging="578" w:firstLineChars="0"/>
        <w:rPr>
          <w:rFonts w:hint="default" w:ascii="Times New Roman" w:hAnsi="Times New Roman" w:cs="Times New Roman"/>
          <w:color w:val="auto"/>
        </w:rPr>
      </w:pPr>
      <w:bookmarkStart w:id="24" w:name="_Toc12052"/>
      <w:bookmarkStart w:id="25" w:name="_Toc4626"/>
      <w:bookmarkStart w:id="26" w:name="_Toc949"/>
      <w:bookmarkStart w:id="27" w:name="_Toc419186354"/>
      <w:bookmarkStart w:id="28" w:name="_Toc18528"/>
      <w:bookmarkStart w:id="29" w:name="_Toc24398"/>
      <w:bookmarkStart w:id="30" w:name="_Toc419185795"/>
      <w:r>
        <w:rPr>
          <w:rFonts w:hint="eastAsia" w:ascii="Times New Roman" w:hAnsi="Times New Roman" w:eastAsia="宋体" w:cs="Times New Roman"/>
          <w:b/>
          <w:bCs/>
          <w:color w:val="auto"/>
          <w:kern w:val="2"/>
          <w:sz w:val="32"/>
          <w:szCs w:val="32"/>
          <w:lang w:val="en-US" w:eastAsia="zh-CN" w:bidi="ar-SA"/>
        </w:rPr>
        <w:t>1.7</w:t>
      </w:r>
      <w:r>
        <w:rPr>
          <w:rFonts w:hint="default" w:ascii="Times New Roman" w:hAnsi="Times New Roman" w:cs="Times New Roman"/>
          <w:color w:val="auto"/>
        </w:rPr>
        <w:t>调查工作程序</w:t>
      </w:r>
      <w:bookmarkEnd w:id="24"/>
      <w:bookmarkEnd w:id="25"/>
      <w:bookmarkEnd w:id="26"/>
      <w:bookmarkEnd w:id="27"/>
      <w:bookmarkEnd w:id="28"/>
      <w:bookmarkEnd w:id="29"/>
      <w:bookmarkEnd w:id="30"/>
    </w:p>
    <w:p w14:paraId="72744CD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调查工作程序见下图。</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6E817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062392BD">
            <w:pPr>
              <w:pStyle w:val="24"/>
              <w:ind w:left="0" w:leftChars="0" w:firstLine="0" w:firstLineChars="0"/>
              <w:jc w:val="center"/>
              <w:rPr>
                <w:rFonts w:hint="eastAsia" w:ascii="Times New Roman" w:hAnsi="Times New Roman" w:eastAsia="宋体" w:cs="Times New Roman"/>
                <w:color w:val="auto"/>
                <w:kern w:val="0"/>
                <w:szCs w:val="24"/>
                <w:vertAlign w:val="baseline"/>
                <w:lang w:eastAsia="zh-CN"/>
              </w:rPr>
            </w:pPr>
            <w:r>
              <w:rPr>
                <w:rFonts w:hint="eastAsia" w:ascii="Times New Roman" w:hAnsi="Times New Roman" w:eastAsia="宋体" w:cs="Times New Roman"/>
                <w:color w:val="auto"/>
                <w:kern w:val="0"/>
                <w:szCs w:val="24"/>
                <w:vertAlign w:val="baseline"/>
                <w:lang w:eastAsia="zh-CN"/>
              </w:rPr>
              <w:drawing>
                <wp:inline distT="0" distB="0" distL="114300" distR="114300">
                  <wp:extent cx="5112385" cy="7620635"/>
                  <wp:effectExtent l="0" t="0" r="12065" b="18415"/>
                  <wp:docPr id="7" name="图片 7" descr="调查流程图 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调查流程图 图1"/>
                          <pic:cNvPicPr>
                            <a:picLocks noChangeAspect="1"/>
                          </pic:cNvPicPr>
                        </pic:nvPicPr>
                        <pic:blipFill>
                          <a:blip r:embed="rId24"/>
                          <a:stretch>
                            <a:fillRect/>
                          </a:stretch>
                        </pic:blipFill>
                        <pic:spPr>
                          <a:xfrm>
                            <a:off x="0" y="0"/>
                            <a:ext cx="5112385" cy="7620635"/>
                          </a:xfrm>
                          <a:prstGeom prst="rect">
                            <a:avLst/>
                          </a:prstGeom>
                        </pic:spPr>
                      </pic:pic>
                    </a:graphicData>
                  </a:graphic>
                </wp:inline>
              </w:drawing>
            </w:r>
          </w:p>
        </w:tc>
      </w:tr>
      <w:tr w14:paraId="11532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683A11CC">
            <w:pPr>
              <w:pStyle w:val="9"/>
              <w:rPr>
                <w:rFonts w:hint="eastAsia" w:ascii="Times New Roman" w:hAnsi="Times New Roman" w:eastAsia="宋体" w:cs="Times New Roman"/>
                <w:color w:val="auto"/>
                <w:kern w:val="0"/>
                <w:szCs w:val="24"/>
                <w:vertAlign w:val="baseline"/>
                <w:lang w:eastAsia="zh-CN"/>
              </w:rPr>
            </w:pPr>
            <w:r>
              <w:rPr>
                <w:rFonts w:hint="default" w:ascii="Times New Roman" w:hAnsi="Times New Roman" w:cs="Times New Roman"/>
                <w:color w:val="auto"/>
              </w:rPr>
              <w:t>图</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1.7</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t>竣工环境保护验收调查工作流程图</w:t>
            </w:r>
          </w:p>
        </w:tc>
      </w:tr>
    </w:tbl>
    <w:p w14:paraId="2B547581">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default" w:ascii="Times New Roman" w:hAnsi="Times New Roman" w:eastAsia="宋体" w:cs="Times New Roman"/>
          <w:color w:val="auto"/>
          <w:sz w:val="36"/>
          <w:szCs w:val="36"/>
        </w:rPr>
      </w:pPr>
      <w:bookmarkStart w:id="31" w:name="_Toc20870"/>
      <w:bookmarkStart w:id="32" w:name="_Toc4116"/>
      <w:r>
        <w:rPr>
          <w:rFonts w:hint="eastAsia" w:ascii="Times New Roman" w:hAnsi="Times New Roman" w:eastAsia="宋体" w:cs="Times New Roman"/>
          <w:color w:val="auto"/>
          <w:sz w:val="36"/>
          <w:szCs w:val="36"/>
          <w:lang w:val="en-US" w:eastAsia="zh-CN"/>
        </w:rPr>
        <w:t>2.</w:t>
      </w:r>
      <w:bookmarkEnd w:id="31"/>
      <w:r>
        <w:rPr>
          <w:rFonts w:hint="default" w:ascii="Times New Roman" w:hAnsi="Times New Roman" w:eastAsia="宋体" w:cs="Times New Roman"/>
          <w:color w:val="auto"/>
          <w:sz w:val="36"/>
          <w:szCs w:val="36"/>
        </w:rPr>
        <w:t>工程建设概况</w:t>
      </w:r>
      <w:bookmarkEnd w:id="32"/>
    </w:p>
    <w:p w14:paraId="3E0FCAF0">
      <w:pPr>
        <w:pStyle w:val="3"/>
        <w:pageBreakBefore w:val="0"/>
        <w:widowControl w:val="0"/>
        <w:numPr>
          <w:ilvl w:val="1"/>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eastAsia="宋体" w:cs="Times New Roman"/>
          <w:color w:val="auto"/>
        </w:rPr>
      </w:pPr>
      <w:bookmarkStart w:id="33" w:name="_Toc14975"/>
      <w:r>
        <w:rPr>
          <w:rFonts w:hint="default" w:ascii="Times New Roman" w:hAnsi="Times New Roman" w:eastAsia="宋体" w:cs="Times New Roman"/>
          <w:color w:val="auto"/>
        </w:rPr>
        <w:t>2.1 建设过程回顾</w:t>
      </w:r>
      <w:bookmarkEnd w:id="33"/>
    </w:p>
    <w:p w14:paraId="2035AE22">
      <w:pPr>
        <w:pStyle w:val="24"/>
        <w:pageBreakBefore w:val="0"/>
        <w:widowControl w:val="0"/>
        <w:kinsoku/>
        <w:wordWrap/>
        <w:overflowPunct/>
        <w:topLinePunct w:val="0"/>
        <w:autoSpaceDE/>
        <w:autoSpaceDN/>
        <w:bidi w:val="0"/>
        <w:adjustRightInd w:val="0"/>
        <w:snapToGrid w:val="0"/>
        <w:ind w:firstLine="480"/>
        <w:textAlignment w:val="auto"/>
        <w:rPr>
          <w:color w:val="auto"/>
        </w:rPr>
      </w:pPr>
      <w:r>
        <w:rPr>
          <w:rFonts w:hint="default" w:ascii="Times New Roman" w:hAnsi="Times New Roman" w:eastAsia="宋体" w:cs="Times New Roman"/>
          <w:color w:val="auto"/>
          <w:szCs w:val="24"/>
        </w:rPr>
        <w:t>广安市过境高速公路东环线及渝广高速支线（重庆合川境）为新建双向四车道高速公路。原建设单位委托编制的《广安市过境高速公路东环线及渝广高速支线（重庆合川境）环境影响报告书》于2015年10月获原重庆市合川区环境保护局批复（渝(合)环准〔2015〕152号）。</w:t>
      </w:r>
      <w:r>
        <w:rPr>
          <w:rFonts w:hint="default" w:ascii="Times New Roman" w:hAnsi="Times New Roman" w:eastAsia="宋体" w:cs="Times New Roman"/>
          <w:b w:val="0"/>
          <w:color w:val="auto"/>
          <w:sz w:val="24"/>
          <w:highlight w:val="none"/>
          <w:lang w:val="en-US" w:eastAsia="zh-CN"/>
        </w:rPr>
        <w:t>项目于2018年9月开工建设，2020年12月主体及辅助工程完工并通车运行。</w:t>
      </w:r>
      <w:r>
        <w:rPr>
          <w:rFonts w:hint="default" w:ascii="Times New Roman" w:hAnsi="Times New Roman" w:eastAsia="宋体" w:cs="Times New Roman"/>
          <w:color w:val="auto"/>
          <w:szCs w:val="24"/>
        </w:rPr>
        <w:t>建设过程中，线路较原环评方案发生重大变动（线路横向位移</w:t>
      </w:r>
      <w:r>
        <w:rPr>
          <w:rFonts w:hint="eastAsia" w:cs="Times New Roman"/>
          <w:color w:val="auto"/>
          <w:szCs w:val="24"/>
          <w:lang w:eastAsia="zh-CN"/>
        </w:rPr>
        <w:t>超过</w:t>
      </w:r>
      <w:r>
        <w:rPr>
          <w:rFonts w:hint="default" w:ascii="Times New Roman" w:hAnsi="Times New Roman" w:eastAsia="宋体" w:cs="Times New Roman"/>
          <w:color w:val="auto"/>
          <w:szCs w:val="24"/>
        </w:rPr>
        <w:t>200米的长度累计达原线路长度的77.96%），建设单位依法重新报批并取得《重庆市建设项目环境影响评价文件批准书》（渝(合)环准〔2026〕12号）。因未在重大变动后重新报批及“未验先投”，建设单位接受了重庆市合川区生态环境局的行政处罚（合环罚〔2025〕59号），现已完成罚款缴纳。</w:t>
      </w:r>
    </w:p>
    <w:p w14:paraId="59177F10">
      <w:pPr>
        <w:pStyle w:val="24"/>
        <w:pageBreakBefore w:val="0"/>
        <w:widowControl w:val="0"/>
        <w:kinsoku/>
        <w:wordWrap/>
        <w:overflowPunct/>
        <w:topLinePunct w:val="0"/>
        <w:autoSpaceDE/>
        <w:autoSpaceDN/>
        <w:bidi w:val="0"/>
        <w:adjustRightInd w:val="0"/>
        <w:snapToGrid w:val="0"/>
        <w:ind w:firstLine="480"/>
        <w:textAlignment w:val="auto"/>
        <w:rPr>
          <w:rFonts w:hint="default" w:eastAsia="宋体"/>
          <w:color w:val="auto"/>
          <w:lang w:val="en-US" w:eastAsia="zh-CN"/>
        </w:rPr>
      </w:pPr>
      <w:r>
        <w:rPr>
          <w:rFonts w:hint="eastAsia"/>
          <w:color w:val="auto"/>
          <w:lang w:val="en-US" w:eastAsia="zh-CN"/>
        </w:rPr>
        <w:t>项目于2026年完成重新报批，并取得《广安市过境高速公路东环线及渝广高速支线项目》（渝（合）环准〔2026〕12号）批复。</w:t>
      </w:r>
    </w:p>
    <w:p w14:paraId="0C3B2BB5">
      <w:pPr>
        <w:pStyle w:val="3"/>
        <w:numPr>
          <w:ilvl w:val="1"/>
          <w:numId w:val="0"/>
        </w:numPr>
        <w:ind w:left="578" w:leftChars="0" w:hanging="578" w:firstLineChars="0"/>
        <w:rPr>
          <w:rFonts w:hint="default" w:ascii="Times New Roman" w:hAnsi="Times New Roman" w:eastAsia="宋体" w:cs="Times New Roman"/>
          <w:color w:val="auto"/>
        </w:rPr>
      </w:pPr>
      <w:bookmarkStart w:id="34" w:name="_Toc22645"/>
      <w:r>
        <w:rPr>
          <w:rFonts w:hint="default" w:ascii="Times New Roman" w:hAnsi="Times New Roman" w:eastAsia="宋体" w:cs="Times New Roman"/>
          <w:color w:val="auto"/>
        </w:rPr>
        <w:t>2.2 地理位置与路线走向</w:t>
      </w:r>
      <w:bookmarkEnd w:id="34"/>
    </w:p>
    <w:p w14:paraId="3DCF1D60">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本项目位于重庆市合川区境内。路线总体呈南北走向，起于合川区三汇镇斑竹院子（川渝界，接四川境段），经三汇镇桂花村、响水村、大田村及小沔镇竹湾村、石窝村，止于小沔镇东北侧石窝村，设小沔枢纽互通与G85渝广高速相接，并设置小沔收费站连接地方公路。项目地理位置及路线走向详见附图。</w:t>
      </w:r>
    </w:p>
    <w:p w14:paraId="5CF2B149">
      <w:pPr>
        <w:pStyle w:val="3"/>
        <w:numPr>
          <w:ilvl w:val="1"/>
          <w:numId w:val="0"/>
        </w:numPr>
        <w:ind w:left="578" w:leftChars="0" w:hanging="578" w:firstLineChars="0"/>
        <w:rPr>
          <w:rFonts w:hint="default" w:ascii="Times New Roman" w:hAnsi="Times New Roman" w:eastAsia="宋体" w:cs="Times New Roman"/>
          <w:color w:val="auto"/>
        </w:rPr>
      </w:pPr>
      <w:bookmarkStart w:id="35" w:name="_Toc27810"/>
      <w:r>
        <w:rPr>
          <w:rFonts w:hint="default" w:ascii="Times New Roman" w:hAnsi="Times New Roman" w:eastAsia="宋体" w:cs="Times New Roman"/>
          <w:color w:val="auto"/>
        </w:rPr>
        <w:t>2.3 工程概况</w:t>
      </w:r>
      <w:bookmarkEnd w:id="35"/>
    </w:p>
    <w:p w14:paraId="6189D694">
      <w:pPr>
        <w:pStyle w:val="4"/>
        <w:numPr>
          <w:ilvl w:val="1"/>
          <w:numId w:val="0"/>
        </w:numPr>
        <w:ind w:left="578" w:leftChars="0" w:hanging="578"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2.3.1 主要技术指标</w:t>
      </w:r>
    </w:p>
    <w:p w14:paraId="25D1A56D">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采用高速公路标准，主线全长9.668km</w:t>
      </w:r>
      <w:r>
        <w:rPr>
          <w:rFonts w:hint="default" w:ascii="Times New Roman" w:hAnsi="Times New Roman" w:cs="Times New Roman"/>
          <w:color w:val="auto"/>
          <w:lang w:val="en-US" w:eastAsia="zh-CN"/>
        </w:rPr>
        <w:t>（加上小沔枢纽互通式立交全线共计10.979km</w:t>
      </w:r>
      <w:r>
        <w:rPr>
          <w:rFonts w:hint="default" w:ascii="Times New Roman" w:hAnsi="Times New Roman" w:eastAsia="宋体" w:cs="Times New Roman"/>
          <w:color w:val="auto"/>
          <w:szCs w:val="24"/>
        </w:rPr>
        <w:t>），设计速度80km/h，整体式路基宽25.5m，分离式路基宽12.75m，桥涵设计荷载为公路-I级。</w:t>
      </w:r>
    </w:p>
    <w:p w14:paraId="73ED358D">
      <w:pPr>
        <w:pStyle w:val="4"/>
        <w:numPr>
          <w:ilvl w:val="1"/>
          <w:numId w:val="0"/>
        </w:numPr>
        <w:ind w:left="578" w:leftChars="0" w:hanging="578"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2.3.2 建设规模</w:t>
      </w:r>
    </w:p>
    <w:p w14:paraId="12B122E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工程实际主要建设内容为：主线长9.668km</w:t>
      </w:r>
      <w:r>
        <w:rPr>
          <w:rFonts w:hint="default" w:ascii="Times New Roman" w:hAnsi="Times New Roman" w:cs="Times New Roman"/>
          <w:color w:val="auto"/>
          <w:lang w:val="en-US" w:eastAsia="zh-CN"/>
        </w:rPr>
        <w:t>（加上小沔枢纽互通式立交全线共计10.979km）</w:t>
      </w:r>
      <w:r>
        <w:rPr>
          <w:rFonts w:hint="default" w:ascii="Times New Roman" w:hAnsi="Times New Roman" w:eastAsia="宋体" w:cs="Times New Roman"/>
          <w:color w:val="auto"/>
          <w:szCs w:val="24"/>
        </w:rPr>
        <w:t>，设大中桥3座（总长481m），涵洞及通道</w:t>
      </w:r>
      <w:r>
        <w:rPr>
          <w:rFonts w:hint="eastAsia" w:cs="Times New Roman"/>
          <w:color w:val="auto"/>
          <w:szCs w:val="24"/>
          <w:lang w:val="en-US" w:eastAsia="zh-CN"/>
        </w:rPr>
        <w:t>57</w:t>
      </w:r>
      <w:r>
        <w:rPr>
          <w:rFonts w:hint="default" w:ascii="Times New Roman" w:hAnsi="Times New Roman" w:eastAsia="宋体" w:cs="Times New Roman"/>
          <w:color w:val="auto"/>
          <w:szCs w:val="24"/>
        </w:rPr>
        <w:t>道，车行天桥4座；设互通式立交1处（小沔枢纽互通），匝道收费站1处（小沔收费站）。实际建设取消了原初步设计批复的省界收费站和服务区。工程无隧道。</w:t>
      </w:r>
    </w:p>
    <w:p w14:paraId="4AC2353F">
      <w:pPr>
        <w:pStyle w:val="4"/>
        <w:numPr>
          <w:ilvl w:val="1"/>
          <w:numId w:val="0"/>
        </w:numPr>
        <w:ind w:left="578" w:leftChars="0" w:hanging="578"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2.3.3 主要工程量及变化情况</w:t>
      </w:r>
    </w:p>
    <w:p w14:paraId="752E1BD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工程实际建设规模和工程量与重新报批环评阶段相比发生变化，具体见下表。</w:t>
      </w:r>
    </w:p>
    <w:p w14:paraId="7242F8AB">
      <w:pPr>
        <w:pStyle w:val="24"/>
        <w:ind w:left="0" w:leftChars="0" w:firstLine="0" w:firstLineChars="0"/>
        <w:jc w:val="center"/>
        <w:rPr>
          <w:rStyle w:val="23"/>
          <w:color w:val="auto"/>
        </w:rPr>
      </w:pPr>
      <w:r>
        <w:rPr>
          <w:rStyle w:val="23"/>
          <w:color w:val="auto"/>
        </w:rPr>
        <w:t>表2.3-1 工程实际建设规模和工程量变化一览表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14:paraId="01E49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vAlign w:val="center"/>
          </w:tcPr>
          <w:p w14:paraId="681C67D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rPr>
            </w:pPr>
            <w:r>
              <w:rPr>
                <w:rStyle w:val="23"/>
                <w:rFonts w:ascii="Times New Roman" w:hAnsi="Times New Roman" w:eastAsia="宋体" w:cs="Times New Roman"/>
                <w:b w:val="0"/>
                <w:bCs/>
                <w:color w:val="auto"/>
                <w:sz w:val="21"/>
                <w:szCs w:val="21"/>
                <w:vertAlign w:val="baseline"/>
              </w:rPr>
              <w:t>项目</w:t>
            </w:r>
          </w:p>
        </w:tc>
        <w:tc>
          <w:tcPr>
            <w:tcW w:w="1420" w:type="dxa"/>
            <w:vAlign w:val="center"/>
          </w:tcPr>
          <w:p w14:paraId="3A1378E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rPr>
            </w:pPr>
            <w:r>
              <w:rPr>
                <w:rStyle w:val="23"/>
                <w:rFonts w:ascii="Times New Roman" w:hAnsi="Times New Roman" w:eastAsia="宋体" w:cs="Times New Roman"/>
                <w:b w:val="0"/>
                <w:bCs/>
                <w:color w:val="auto"/>
                <w:sz w:val="21"/>
                <w:szCs w:val="21"/>
                <w:vertAlign w:val="baseline"/>
              </w:rPr>
              <w:t>单位</w:t>
            </w:r>
          </w:p>
        </w:tc>
        <w:tc>
          <w:tcPr>
            <w:tcW w:w="1420" w:type="dxa"/>
            <w:vAlign w:val="center"/>
          </w:tcPr>
          <w:p w14:paraId="52CE188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rPr>
            </w:pPr>
            <w:r>
              <w:rPr>
                <w:rStyle w:val="23"/>
                <w:rFonts w:hint="eastAsia" w:cs="Times New Roman"/>
                <w:b w:val="0"/>
                <w:bCs/>
                <w:color w:val="auto"/>
                <w:sz w:val="21"/>
                <w:szCs w:val="21"/>
                <w:vertAlign w:val="baseline"/>
                <w:lang w:val="en-US" w:eastAsia="zh-CN"/>
              </w:rPr>
              <w:t>重新报批</w:t>
            </w:r>
            <w:r>
              <w:rPr>
                <w:rStyle w:val="23"/>
                <w:rFonts w:ascii="Times New Roman" w:hAnsi="Times New Roman" w:eastAsia="宋体" w:cs="Times New Roman"/>
                <w:b w:val="0"/>
                <w:bCs/>
                <w:color w:val="auto"/>
                <w:sz w:val="21"/>
                <w:szCs w:val="21"/>
                <w:vertAlign w:val="baseline"/>
              </w:rPr>
              <w:t>批复数量</w:t>
            </w:r>
          </w:p>
        </w:tc>
        <w:tc>
          <w:tcPr>
            <w:tcW w:w="1420" w:type="dxa"/>
            <w:vAlign w:val="center"/>
          </w:tcPr>
          <w:p w14:paraId="25EDEF04">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rPr>
            </w:pPr>
            <w:r>
              <w:rPr>
                <w:rStyle w:val="23"/>
                <w:rFonts w:ascii="Times New Roman" w:hAnsi="Times New Roman" w:eastAsia="宋体" w:cs="Times New Roman"/>
                <w:b w:val="0"/>
                <w:bCs/>
                <w:color w:val="auto"/>
                <w:sz w:val="21"/>
                <w:szCs w:val="21"/>
                <w:vertAlign w:val="baseline"/>
              </w:rPr>
              <w:t>实际建设数量</w:t>
            </w:r>
          </w:p>
        </w:tc>
        <w:tc>
          <w:tcPr>
            <w:tcW w:w="1421" w:type="dxa"/>
            <w:vAlign w:val="center"/>
          </w:tcPr>
          <w:p w14:paraId="59A87AF7">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rPr>
            </w:pPr>
            <w:r>
              <w:rPr>
                <w:rStyle w:val="23"/>
                <w:rFonts w:ascii="Times New Roman" w:hAnsi="Times New Roman" w:eastAsia="宋体" w:cs="Times New Roman"/>
                <w:b w:val="0"/>
                <w:bCs/>
                <w:color w:val="auto"/>
                <w:sz w:val="21"/>
                <w:szCs w:val="21"/>
                <w:vertAlign w:val="baseline"/>
              </w:rPr>
              <w:t>变化情况</w:t>
            </w:r>
          </w:p>
        </w:tc>
        <w:tc>
          <w:tcPr>
            <w:tcW w:w="1421" w:type="dxa"/>
            <w:vAlign w:val="center"/>
          </w:tcPr>
          <w:p w14:paraId="679E1111">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rPr>
            </w:pPr>
            <w:r>
              <w:rPr>
                <w:rStyle w:val="23"/>
                <w:rFonts w:ascii="Times New Roman" w:hAnsi="Times New Roman" w:eastAsia="宋体" w:cs="Times New Roman"/>
                <w:b w:val="0"/>
                <w:bCs/>
                <w:color w:val="auto"/>
                <w:sz w:val="21"/>
                <w:szCs w:val="21"/>
                <w:vertAlign w:val="baseline"/>
              </w:rPr>
              <w:t>备注</w:t>
            </w:r>
          </w:p>
        </w:tc>
      </w:tr>
      <w:tr w14:paraId="558FA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4EAE69D9">
            <w:pPr>
              <w:pStyle w:val="24"/>
              <w:spacing w:line="240" w:lineRule="auto"/>
              <w:ind w:left="0" w:leftChars="0" w:firstLine="0" w:firstLineChars="0"/>
              <w:jc w:val="center"/>
              <w:rPr>
                <w:rStyle w:val="23"/>
                <w:rFonts w:ascii="Times New Roman" w:hAnsi="Times New Roman" w:eastAsia="宋体" w:cs="Times New Roman"/>
                <w:b/>
                <w:bCs w:val="0"/>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一、路线长度</w:t>
            </w:r>
          </w:p>
        </w:tc>
        <w:tc>
          <w:tcPr>
            <w:tcW w:w="1420" w:type="dxa"/>
            <w:shd w:val="clear" w:color="auto" w:fill="auto"/>
            <w:vAlign w:val="center"/>
          </w:tcPr>
          <w:p w14:paraId="3F00A5A1">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km</w:t>
            </w:r>
          </w:p>
        </w:tc>
        <w:tc>
          <w:tcPr>
            <w:tcW w:w="1420" w:type="dxa"/>
            <w:shd w:val="clear" w:color="auto" w:fill="auto"/>
            <w:vAlign w:val="center"/>
          </w:tcPr>
          <w:p w14:paraId="6D8F767D">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9.668</w:t>
            </w:r>
          </w:p>
        </w:tc>
        <w:tc>
          <w:tcPr>
            <w:tcW w:w="1420" w:type="dxa"/>
            <w:shd w:val="clear" w:color="auto" w:fill="auto"/>
            <w:vAlign w:val="center"/>
          </w:tcPr>
          <w:p w14:paraId="41AAF247">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9.668</w:t>
            </w:r>
          </w:p>
        </w:tc>
        <w:tc>
          <w:tcPr>
            <w:tcW w:w="1421" w:type="dxa"/>
            <w:shd w:val="clear" w:color="auto" w:fill="auto"/>
            <w:vAlign w:val="center"/>
          </w:tcPr>
          <w:p w14:paraId="284A07DB">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43752A5A">
            <w:pPr>
              <w:pStyle w:val="24"/>
              <w:spacing w:line="240" w:lineRule="auto"/>
              <w:ind w:left="0" w:leftChars="0" w:firstLine="0" w:firstLineChars="0"/>
              <w:jc w:val="center"/>
              <w:rPr>
                <w:rStyle w:val="23"/>
                <w:rFonts w:hint="default" w:ascii="Times New Roman" w:hAnsi="Times New Roman" w:eastAsia="宋体" w:cs="Times New Roman"/>
                <w:b w:val="0"/>
                <w:bCs/>
                <w:color w:val="auto"/>
                <w:sz w:val="21"/>
                <w:szCs w:val="21"/>
                <w:vertAlign w:val="baseline"/>
                <w:lang w:val="en-US" w:eastAsia="zh-CN"/>
              </w:rPr>
            </w:pPr>
            <w:r>
              <w:rPr>
                <w:rStyle w:val="23"/>
                <w:rFonts w:hint="eastAsia" w:cs="Times New Roman"/>
                <w:b w:val="0"/>
                <w:bCs/>
                <w:color w:val="auto"/>
                <w:sz w:val="21"/>
                <w:szCs w:val="21"/>
                <w:vertAlign w:val="baseline"/>
                <w:lang w:val="en-US" w:eastAsia="zh-CN"/>
              </w:rPr>
              <w:t>无</w:t>
            </w:r>
          </w:p>
        </w:tc>
      </w:tr>
      <w:tr w14:paraId="60CED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35FF792F">
            <w:pPr>
              <w:pStyle w:val="24"/>
              <w:spacing w:line="240" w:lineRule="auto"/>
              <w:ind w:left="0" w:leftChars="0" w:firstLine="0" w:firstLineChars="0"/>
              <w:jc w:val="center"/>
              <w:rPr>
                <w:rStyle w:val="23"/>
                <w:rFonts w:ascii="Times New Roman" w:hAnsi="Times New Roman" w:eastAsia="宋体" w:cs="Times New Roman"/>
                <w:b/>
                <w:bCs w:val="0"/>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二、设计速度</w:t>
            </w:r>
          </w:p>
        </w:tc>
        <w:tc>
          <w:tcPr>
            <w:tcW w:w="1420" w:type="dxa"/>
            <w:shd w:val="clear" w:color="auto" w:fill="auto"/>
            <w:vAlign w:val="center"/>
          </w:tcPr>
          <w:p w14:paraId="66CA1682">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km/h</w:t>
            </w:r>
          </w:p>
        </w:tc>
        <w:tc>
          <w:tcPr>
            <w:tcW w:w="1420" w:type="dxa"/>
            <w:shd w:val="clear" w:color="auto" w:fill="auto"/>
            <w:vAlign w:val="center"/>
          </w:tcPr>
          <w:p w14:paraId="07E3030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80</w:t>
            </w:r>
          </w:p>
        </w:tc>
        <w:tc>
          <w:tcPr>
            <w:tcW w:w="1420" w:type="dxa"/>
            <w:shd w:val="clear" w:color="auto" w:fill="auto"/>
            <w:vAlign w:val="center"/>
          </w:tcPr>
          <w:p w14:paraId="4E40235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80</w:t>
            </w:r>
          </w:p>
        </w:tc>
        <w:tc>
          <w:tcPr>
            <w:tcW w:w="1421" w:type="dxa"/>
            <w:shd w:val="clear" w:color="auto" w:fill="auto"/>
            <w:vAlign w:val="center"/>
          </w:tcPr>
          <w:p w14:paraId="3EA53549">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34DC8662">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75032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78636BA6">
            <w:pPr>
              <w:pStyle w:val="24"/>
              <w:spacing w:line="240" w:lineRule="auto"/>
              <w:ind w:left="0" w:leftChars="0" w:firstLine="0" w:firstLineChars="0"/>
              <w:jc w:val="center"/>
              <w:rPr>
                <w:rStyle w:val="23"/>
                <w:rFonts w:ascii="Times New Roman" w:hAnsi="Times New Roman" w:eastAsia="宋体" w:cs="Times New Roman"/>
                <w:b/>
                <w:bCs w:val="0"/>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三、路基宽度</w:t>
            </w:r>
          </w:p>
        </w:tc>
        <w:tc>
          <w:tcPr>
            <w:tcW w:w="1420" w:type="dxa"/>
            <w:shd w:val="clear" w:color="auto" w:fill="auto"/>
            <w:vAlign w:val="center"/>
          </w:tcPr>
          <w:p w14:paraId="10A1DEA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m</w:t>
            </w:r>
          </w:p>
        </w:tc>
        <w:tc>
          <w:tcPr>
            <w:tcW w:w="1420" w:type="dxa"/>
            <w:shd w:val="clear" w:color="auto" w:fill="auto"/>
            <w:vAlign w:val="center"/>
          </w:tcPr>
          <w:p w14:paraId="293377D5">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25.5</w:t>
            </w:r>
          </w:p>
        </w:tc>
        <w:tc>
          <w:tcPr>
            <w:tcW w:w="1420" w:type="dxa"/>
            <w:shd w:val="clear" w:color="auto" w:fill="auto"/>
            <w:vAlign w:val="center"/>
          </w:tcPr>
          <w:p w14:paraId="3AC04DC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25.5</w:t>
            </w:r>
          </w:p>
        </w:tc>
        <w:tc>
          <w:tcPr>
            <w:tcW w:w="1421" w:type="dxa"/>
            <w:shd w:val="clear" w:color="auto" w:fill="auto"/>
            <w:vAlign w:val="center"/>
          </w:tcPr>
          <w:p w14:paraId="24C697DB">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275EB9AD">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0680B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3161CEBB">
            <w:pPr>
              <w:pStyle w:val="24"/>
              <w:spacing w:line="240" w:lineRule="auto"/>
              <w:ind w:left="0" w:leftChars="0" w:firstLine="0" w:firstLineChars="0"/>
              <w:jc w:val="center"/>
              <w:rPr>
                <w:rStyle w:val="23"/>
                <w:rFonts w:ascii="Times New Roman" w:hAnsi="Times New Roman" w:eastAsia="宋体" w:cs="Times New Roman"/>
                <w:b/>
                <w:bCs w:val="0"/>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四、占地情况</w:t>
            </w:r>
          </w:p>
        </w:tc>
        <w:tc>
          <w:tcPr>
            <w:tcW w:w="1420" w:type="dxa"/>
            <w:shd w:val="clear" w:color="auto" w:fill="auto"/>
            <w:vAlign w:val="center"/>
          </w:tcPr>
          <w:p w14:paraId="7796F12B">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344B5448">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5ABA3E57">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6497CC3F">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46266553">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r>
      <w:tr w14:paraId="3EABE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6988CD28">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1、永久占地</w:t>
            </w:r>
          </w:p>
        </w:tc>
        <w:tc>
          <w:tcPr>
            <w:tcW w:w="1420" w:type="dxa"/>
            <w:shd w:val="clear" w:color="auto" w:fill="auto"/>
            <w:vAlign w:val="center"/>
          </w:tcPr>
          <w:p w14:paraId="3414C49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hm²</w:t>
            </w:r>
          </w:p>
        </w:tc>
        <w:tc>
          <w:tcPr>
            <w:tcW w:w="1420" w:type="dxa"/>
            <w:shd w:val="clear" w:color="auto" w:fill="auto"/>
            <w:vAlign w:val="center"/>
          </w:tcPr>
          <w:p w14:paraId="7CEAE0A8">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66.98</w:t>
            </w:r>
          </w:p>
        </w:tc>
        <w:tc>
          <w:tcPr>
            <w:tcW w:w="1420" w:type="dxa"/>
            <w:shd w:val="clear" w:color="auto" w:fill="auto"/>
            <w:vAlign w:val="center"/>
          </w:tcPr>
          <w:p w14:paraId="2B156B9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66.98</w:t>
            </w:r>
          </w:p>
        </w:tc>
        <w:tc>
          <w:tcPr>
            <w:tcW w:w="1421" w:type="dxa"/>
            <w:shd w:val="clear" w:color="auto" w:fill="auto"/>
            <w:vAlign w:val="center"/>
          </w:tcPr>
          <w:p w14:paraId="3B0DFFAB">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56E78A7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7E552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6CC33D6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2、临时占地</w:t>
            </w:r>
          </w:p>
        </w:tc>
        <w:tc>
          <w:tcPr>
            <w:tcW w:w="1420" w:type="dxa"/>
            <w:shd w:val="clear" w:color="auto" w:fill="auto"/>
            <w:vAlign w:val="center"/>
          </w:tcPr>
          <w:p w14:paraId="587F16B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hm²</w:t>
            </w:r>
          </w:p>
        </w:tc>
        <w:tc>
          <w:tcPr>
            <w:tcW w:w="1420" w:type="dxa"/>
            <w:shd w:val="clear" w:color="auto" w:fill="auto"/>
            <w:vAlign w:val="center"/>
          </w:tcPr>
          <w:p w14:paraId="26E3379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5.64</w:t>
            </w:r>
          </w:p>
        </w:tc>
        <w:tc>
          <w:tcPr>
            <w:tcW w:w="1420" w:type="dxa"/>
            <w:shd w:val="clear" w:color="auto" w:fill="auto"/>
            <w:vAlign w:val="center"/>
          </w:tcPr>
          <w:p w14:paraId="5632E05D">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5.64</w:t>
            </w:r>
          </w:p>
        </w:tc>
        <w:tc>
          <w:tcPr>
            <w:tcW w:w="1421" w:type="dxa"/>
            <w:shd w:val="clear" w:color="auto" w:fill="auto"/>
            <w:vAlign w:val="center"/>
          </w:tcPr>
          <w:p w14:paraId="61781519">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4261F0D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55E1A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5BF88524">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五、路基工程</w:t>
            </w:r>
          </w:p>
        </w:tc>
        <w:tc>
          <w:tcPr>
            <w:tcW w:w="1420" w:type="dxa"/>
            <w:shd w:val="clear" w:color="auto" w:fill="auto"/>
            <w:vAlign w:val="center"/>
          </w:tcPr>
          <w:p w14:paraId="1DC97B9B">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3AC15A1C">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1FAFCF3B">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502E8FDB">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3FEDC581">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r>
      <w:tr w14:paraId="681BF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22E89E09">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1、挖方量</w:t>
            </w:r>
          </w:p>
        </w:tc>
        <w:tc>
          <w:tcPr>
            <w:tcW w:w="1420" w:type="dxa"/>
            <w:shd w:val="clear" w:color="auto" w:fill="auto"/>
            <w:vAlign w:val="center"/>
          </w:tcPr>
          <w:p w14:paraId="3FC8D26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万m³</w:t>
            </w:r>
          </w:p>
        </w:tc>
        <w:tc>
          <w:tcPr>
            <w:tcW w:w="1420" w:type="dxa"/>
            <w:shd w:val="clear" w:color="auto" w:fill="auto"/>
            <w:vAlign w:val="center"/>
          </w:tcPr>
          <w:p w14:paraId="7CE8B951">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223.44</w:t>
            </w:r>
          </w:p>
        </w:tc>
        <w:tc>
          <w:tcPr>
            <w:tcW w:w="1420" w:type="dxa"/>
            <w:shd w:val="clear" w:color="auto" w:fill="auto"/>
            <w:vAlign w:val="center"/>
          </w:tcPr>
          <w:p w14:paraId="7F58FE4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223.44</w:t>
            </w:r>
          </w:p>
        </w:tc>
        <w:tc>
          <w:tcPr>
            <w:tcW w:w="1421" w:type="dxa"/>
            <w:shd w:val="clear" w:color="auto" w:fill="auto"/>
            <w:vAlign w:val="center"/>
          </w:tcPr>
          <w:p w14:paraId="654154C8">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0B1AC08E">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5E7D9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2C72AF6B">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2、填方量</w:t>
            </w:r>
          </w:p>
        </w:tc>
        <w:tc>
          <w:tcPr>
            <w:tcW w:w="1420" w:type="dxa"/>
            <w:shd w:val="clear" w:color="auto" w:fill="auto"/>
            <w:vAlign w:val="center"/>
          </w:tcPr>
          <w:p w14:paraId="68C15111">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万m³</w:t>
            </w:r>
          </w:p>
        </w:tc>
        <w:tc>
          <w:tcPr>
            <w:tcW w:w="1420" w:type="dxa"/>
            <w:shd w:val="clear" w:color="auto" w:fill="auto"/>
            <w:vAlign w:val="center"/>
          </w:tcPr>
          <w:p w14:paraId="07C3BBE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193.26</w:t>
            </w:r>
          </w:p>
        </w:tc>
        <w:tc>
          <w:tcPr>
            <w:tcW w:w="1420" w:type="dxa"/>
            <w:shd w:val="clear" w:color="auto" w:fill="auto"/>
            <w:vAlign w:val="center"/>
          </w:tcPr>
          <w:p w14:paraId="0B8CBD5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193.26</w:t>
            </w:r>
          </w:p>
        </w:tc>
        <w:tc>
          <w:tcPr>
            <w:tcW w:w="1421" w:type="dxa"/>
            <w:shd w:val="clear" w:color="auto" w:fill="auto"/>
            <w:vAlign w:val="center"/>
          </w:tcPr>
          <w:p w14:paraId="3219A1B2">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5B0081DC">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1BCED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501FEF3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3、弃方量</w:t>
            </w:r>
          </w:p>
        </w:tc>
        <w:tc>
          <w:tcPr>
            <w:tcW w:w="1420" w:type="dxa"/>
            <w:shd w:val="clear" w:color="auto" w:fill="auto"/>
            <w:vAlign w:val="center"/>
          </w:tcPr>
          <w:p w14:paraId="156A7C2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万m³</w:t>
            </w:r>
          </w:p>
        </w:tc>
        <w:tc>
          <w:tcPr>
            <w:tcW w:w="1420" w:type="dxa"/>
            <w:shd w:val="clear" w:color="auto" w:fill="auto"/>
            <w:vAlign w:val="center"/>
          </w:tcPr>
          <w:p w14:paraId="41DF0B5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30.18</w:t>
            </w:r>
          </w:p>
        </w:tc>
        <w:tc>
          <w:tcPr>
            <w:tcW w:w="1420" w:type="dxa"/>
            <w:shd w:val="clear" w:color="auto" w:fill="auto"/>
            <w:vAlign w:val="center"/>
          </w:tcPr>
          <w:p w14:paraId="66CCDCA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30.18</w:t>
            </w:r>
          </w:p>
        </w:tc>
        <w:tc>
          <w:tcPr>
            <w:tcW w:w="1421" w:type="dxa"/>
            <w:shd w:val="clear" w:color="auto" w:fill="auto"/>
            <w:vAlign w:val="center"/>
          </w:tcPr>
          <w:p w14:paraId="6C0CEFF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14BDE63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3460F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70058AB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六、桥涵工程</w:t>
            </w:r>
          </w:p>
        </w:tc>
        <w:tc>
          <w:tcPr>
            <w:tcW w:w="1420" w:type="dxa"/>
            <w:shd w:val="clear" w:color="auto" w:fill="auto"/>
            <w:vAlign w:val="center"/>
          </w:tcPr>
          <w:p w14:paraId="699CEA9E">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1F79E302">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0C33959C">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2D3D8B7C">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76967B80">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r>
      <w:tr w14:paraId="42DEC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7EEC4B0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1、大、中桥</w:t>
            </w:r>
          </w:p>
        </w:tc>
        <w:tc>
          <w:tcPr>
            <w:tcW w:w="1420" w:type="dxa"/>
            <w:shd w:val="clear" w:color="auto" w:fill="auto"/>
            <w:vAlign w:val="center"/>
          </w:tcPr>
          <w:p w14:paraId="7F96556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m/座</w:t>
            </w:r>
          </w:p>
        </w:tc>
        <w:tc>
          <w:tcPr>
            <w:tcW w:w="1420" w:type="dxa"/>
            <w:shd w:val="clear" w:color="auto" w:fill="auto"/>
            <w:vAlign w:val="center"/>
          </w:tcPr>
          <w:p w14:paraId="0DAC9DE2">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481/3</w:t>
            </w:r>
          </w:p>
        </w:tc>
        <w:tc>
          <w:tcPr>
            <w:tcW w:w="1420" w:type="dxa"/>
            <w:shd w:val="clear" w:color="auto" w:fill="auto"/>
            <w:vAlign w:val="center"/>
          </w:tcPr>
          <w:p w14:paraId="7F0BDC2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481/3</w:t>
            </w:r>
          </w:p>
        </w:tc>
        <w:tc>
          <w:tcPr>
            <w:tcW w:w="1421" w:type="dxa"/>
            <w:shd w:val="clear" w:color="auto" w:fill="auto"/>
            <w:vAlign w:val="center"/>
          </w:tcPr>
          <w:p w14:paraId="63269C7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67DF5507">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2BB85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20E85CD4">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2、涵洞及通道</w:t>
            </w:r>
          </w:p>
        </w:tc>
        <w:tc>
          <w:tcPr>
            <w:tcW w:w="1420" w:type="dxa"/>
            <w:shd w:val="clear" w:color="auto" w:fill="auto"/>
            <w:vAlign w:val="center"/>
          </w:tcPr>
          <w:p w14:paraId="5E45338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道</w:t>
            </w:r>
          </w:p>
        </w:tc>
        <w:tc>
          <w:tcPr>
            <w:tcW w:w="1420" w:type="dxa"/>
            <w:shd w:val="clear" w:color="auto" w:fill="auto"/>
            <w:vAlign w:val="center"/>
          </w:tcPr>
          <w:p w14:paraId="069E090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57</w:t>
            </w:r>
          </w:p>
        </w:tc>
        <w:tc>
          <w:tcPr>
            <w:tcW w:w="1420" w:type="dxa"/>
            <w:shd w:val="clear" w:color="auto" w:fill="auto"/>
            <w:vAlign w:val="center"/>
          </w:tcPr>
          <w:p w14:paraId="2DD487BA">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57</w:t>
            </w:r>
          </w:p>
        </w:tc>
        <w:tc>
          <w:tcPr>
            <w:tcW w:w="1421" w:type="dxa"/>
            <w:shd w:val="clear" w:color="auto" w:fill="auto"/>
            <w:vAlign w:val="center"/>
          </w:tcPr>
          <w:p w14:paraId="00688EF2">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3741D281">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046E9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59F46B9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七、交叉工程</w:t>
            </w:r>
          </w:p>
        </w:tc>
        <w:tc>
          <w:tcPr>
            <w:tcW w:w="1420" w:type="dxa"/>
            <w:shd w:val="clear" w:color="auto" w:fill="auto"/>
            <w:vAlign w:val="center"/>
          </w:tcPr>
          <w:p w14:paraId="6C8B6F63">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7268B033">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72C379B7">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783B6646">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0A9E43CC">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r>
      <w:tr w14:paraId="5728C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13030B05">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1、互通式立交</w:t>
            </w:r>
          </w:p>
        </w:tc>
        <w:tc>
          <w:tcPr>
            <w:tcW w:w="1420" w:type="dxa"/>
            <w:shd w:val="clear" w:color="auto" w:fill="auto"/>
            <w:vAlign w:val="center"/>
          </w:tcPr>
          <w:p w14:paraId="24B7B41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处</w:t>
            </w:r>
          </w:p>
        </w:tc>
        <w:tc>
          <w:tcPr>
            <w:tcW w:w="1420" w:type="dxa"/>
            <w:shd w:val="clear" w:color="auto" w:fill="auto"/>
            <w:vAlign w:val="center"/>
          </w:tcPr>
          <w:p w14:paraId="6D3D228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w:t>
            </w:r>
          </w:p>
        </w:tc>
        <w:tc>
          <w:tcPr>
            <w:tcW w:w="1420" w:type="dxa"/>
            <w:shd w:val="clear" w:color="auto" w:fill="auto"/>
            <w:vAlign w:val="center"/>
          </w:tcPr>
          <w:p w14:paraId="5ED71E3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w:t>
            </w:r>
          </w:p>
        </w:tc>
        <w:tc>
          <w:tcPr>
            <w:tcW w:w="1421" w:type="dxa"/>
            <w:shd w:val="clear" w:color="auto" w:fill="auto"/>
            <w:vAlign w:val="center"/>
          </w:tcPr>
          <w:p w14:paraId="00976921">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08D8C5F9">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1FB66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79BE4F6A">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2、分离式立交</w:t>
            </w:r>
          </w:p>
        </w:tc>
        <w:tc>
          <w:tcPr>
            <w:tcW w:w="1420" w:type="dxa"/>
            <w:shd w:val="clear" w:color="auto" w:fill="auto"/>
            <w:vAlign w:val="center"/>
          </w:tcPr>
          <w:p w14:paraId="6E02C68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处</w:t>
            </w:r>
          </w:p>
        </w:tc>
        <w:tc>
          <w:tcPr>
            <w:tcW w:w="1420" w:type="dxa"/>
            <w:shd w:val="clear" w:color="auto" w:fill="auto"/>
            <w:vAlign w:val="center"/>
          </w:tcPr>
          <w:p w14:paraId="62B4E0B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0</w:t>
            </w:r>
          </w:p>
        </w:tc>
        <w:tc>
          <w:tcPr>
            <w:tcW w:w="1420" w:type="dxa"/>
            <w:shd w:val="clear" w:color="auto" w:fill="auto"/>
            <w:vAlign w:val="center"/>
          </w:tcPr>
          <w:p w14:paraId="15C1106E">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0</w:t>
            </w:r>
          </w:p>
        </w:tc>
        <w:tc>
          <w:tcPr>
            <w:tcW w:w="1421" w:type="dxa"/>
            <w:shd w:val="clear" w:color="auto" w:fill="auto"/>
            <w:vAlign w:val="center"/>
          </w:tcPr>
          <w:p w14:paraId="65C60DC2">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356B6BA5">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2209C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0E0BA39A">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八、附属工程</w:t>
            </w:r>
          </w:p>
        </w:tc>
        <w:tc>
          <w:tcPr>
            <w:tcW w:w="1420" w:type="dxa"/>
            <w:shd w:val="clear" w:color="auto" w:fill="auto"/>
            <w:vAlign w:val="center"/>
          </w:tcPr>
          <w:p w14:paraId="128C5287">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56A02033">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4A9A8EF9">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66764242">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50ABCDB6">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r>
      <w:tr w14:paraId="567AE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276306BA">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1、服务区</w:t>
            </w:r>
          </w:p>
        </w:tc>
        <w:tc>
          <w:tcPr>
            <w:tcW w:w="1420" w:type="dxa"/>
            <w:shd w:val="clear" w:color="auto" w:fill="auto"/>
            <w:vAlign w:val="center"/>
          </w:tcPr>
          <w:p w14:paraId="0B3F7155">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处</w:t>
            </w:r>
          </w:p>
        </w:tc>
        <w:tc>
          <w:tcPr>
            <w:tcW w:w="1420" w:type="dxa"/>
            <w:shd w:val="clear" w:color="auto" w:fill="auto"/>
            <w:vAlign w:val="center"/>
          </w:tcPr>
          <w:p w14:paraId="43F2E8A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0</w:t>
            </w:r>
          </w:p>
        </w:tc>
        <w:tc>
          <w:tcPr>
            <w:tcW w:w="1420" w:type="dxa"/>
            <w:shd w:val="clear" w:color="auto" w:fill="auto"/>
            <w:vAlign w:val="center"/>
          </w:tcPr>
          <w:p w14:paraId="43FA826D">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0</w:t>
            </w:r>
          </w:p>
        </w:tc>
        <w:tc>
          <w:tcPr>
            <w:tcW w:w="1421" w:type="dxa"/>
            <w:shd w:val="clear" w:color="auto" w:fill="auto"/>
            <w:vAlign w:val="center"/>
          </w:tcPr>
          <w:p w14:paraId="3448742D">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269D855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28161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7F070F7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2、省界收费站</w:t>
            </w:r>
          </w:p>
        </w:tc>
        <w:tc>
          <w:tcPr>
            <w:tcW w:w="1420" w:type="dxa"/>
            <w:shd w:val="clear" w:color="auto" w:fill="auto"/>
            <w:vAlign w:val="center"/>
          </w:tcPr>
          <w:p w14:paraId="082CF35B">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处</w:t>
            </w:r>
          </w:p>
        </w:tc>
        <w:tc>
          <w:tcPr>
            <w:tcW w:w="1420" w:type="dxa"/>
            <w:shd w:val="clear" w:color="auto" w:fill="auto"/>
            <w:vAlign w:val="center"/>
          </w:tcPr>
          <w:p w14:paraId="4966E357">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0</w:t>
            </w:r>
          </w:p>
        </w:tc>
        <w:tc>
          <w:tcPr>
            <w:tcW w:w="1420" w:type="dxa"/>
            <w:shd w:val="clear" w:color="auto" w:fill="auto"/>
            <w:vAlign w:val="center"/>
          </w:tcPr>
          <w:p w14:paraId="2418A1C1">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0</w:t>
            </w:r>
          </w:p>
        </w:tc>
        <w:tc>
          <w:tcPr>
            <w:tcW w:w="1421" w:type="dxa"/>
            <w:shd w:val="clear" w:color="auto" w:fill="auto"/>
            <w:vAlign w:val="center"/>
          </w:tcPr>
          <w:p w14:paraId="52C7BDA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3B9B4D3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30C80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05CF275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3、匝道收费站</w:t>
            </w:r>
          </w:p>
        </w:tc>
        <w:tc>
          <w:tcPr>
            <w:tcW w:w="1420" w:type="dxa"/>
            <w:shd w:val="clear" w:color="auto" w:fill="auto"/>
            <w:vAlign w:val="center"/>
          </w:tcPr>
          <w:p w14:paraId="544F97CA">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处</w:t>
            </w:r>
          </w:p>
        </w:tc>
        <w:tc>
          <w:tcPr>
            <w:tcW w:w="1420" w:type="dxa"/>
            <w:shd w:val="clear" w:color="auto" w:fill="auto"/>
            <w:vAlign w:val="center"/>
          </w:tcPr>
          <w:p w14:paraId="7CE998B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w:t>
            </w:r>
          </w:p>
        </w:tc>
        <w:tc>
          <w:tcPr>
            <w:tcW w:w="1420" w:type="dxa"/>
            <w:shd w:val="clear" w:color="auto" w:fill="auto"/>
            <w:vAlign w:val="center"/>
          </w:tcPr>
          <w:p w14:paraId="16FCCCE3">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w:t>
            </w:r>
          </w:p>
        </w:tc>
        <w:tc>
          <w:tcPr>
            <w:tcW w:w="1421" w:type="dxa"/>
            <w:shd w:val="clear" w:color="auto" w:fill="auto"/>
            <w:vAlign w:val="center"/>
          </w:tcPr>
          <w:p w14:paraId="5ED4069F">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11A058B4">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r w14:paraId="0A7A0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2869F86D">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九、环保工程</w:t>
            </w:r>
          </w:p>
        </w:tc>
        <w:tc>
          <w:tcPr>
            <w:tcW w:w="1420" w:type="dxa"/>
            <w:shd w:val="clear" w:color="auto" w:fill="auto"/>
            <w:vAlign w:val="center"/>
          </w:tcPr>
          <w:p w14:paraId="40290800">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52A24676">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0" w:type="dxa"/>
            <w:shd w:val="clear" w:color="auto" w:fill="auto"/>
            <w:vAlign w:val="center"/>
          </w:tcPr>
          <w:p w14:paraId="33FE9AE6">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5E3D762B">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c>
          <w:tcPr>
            <w:tcW w:w="1421" w:type="dxa"/>
            <w:shd w:val="clear" w:color="auto" w:fill="auto"/>
            <w:vAlign w:val="center"/>
          </w:tcPr>
          <w:p w14:paraId="372E4BFE">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p>
        </w:tc>
      </w:tr>
      <w:tr w14:paraId="03328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15EFD61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1、声屏障</w:t>
            </w:r>
          </w:p>
        </w:tc>
        <w:tc>
          <w:tcPr>
            <w:tcW w:w="1420" w:type="dxa"/>
            <w:shd w:val="clear" w:color="auto" w:fill="auto"/>
            <w:vAlign w:val="center"/>
          </w:tcPr>
          <w:p w14:paraId="4A32D622">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m</w:t>
            </w:r>
          </w:p>
        </w:tc>
        <w:tc>
          <w:tcPr>
            <w:tcW w:w="1420" w:type="dxa"/>
            <w:shd w:val="clear" w:color="auto" w:fill="auto"/>
            <w:vAlign w:val="center"/>
          </w:tcPr>
          <w:p w14:paraId="4FCAD907">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color w:val="auto"/>
                <w:sz w:val="21"/>
                <w:szCs w:val="24"/>
                <w:highlight w:val="none"/>
                <w:lang w:val="en-US" w:eastAsia="zh-CN" w:bidi="ar-SA"/>
              </w:rPr>
              <w:t>1423</w:t>
            </w:r>
          </w:p>
        </w:tc>
        <w:tc>
          <w:tcPr>
            <w:tcW w:w="1420" w:type="dxa"/>
            <w:shd w:val="clear" w:color="auto" w:fill="auto"/>
            <w:vAlign w:val="center"/>
          </w:tcPr>
          <w:p w14:paraId="4D3E0E56">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1058</w:t>
            </w:r>
          </w:p>
        </w:tc>
        <w:tc>
          <w:tcPr>
            <w:tcW w:w="1421" w:type="dxa"/>
            <w:shd w:val="clear" w:color="auto" w:fill="auto"/>
            <w:vAlign w:val="center"/>
          </w:tcPr>
          <w:p w14:paraId="6AC67E7E">
            <w:pPr>
              <w:pStyle w:val="24"/>
              <w:spacing w:line="240" w:lineRule="auto"/>
              <w:ind w:left="0" w:leftChars="0" w:firstLine="0" w:firstLineChars="0"/>
              <w:jc w:val="center"/>
              <w:rPr>
                <w:rStyle w:val="23"/>
                <w:rFonts w:hint="default" w:ascii="Times New Roman" w:hAnsi="Times New Roman" w:eastAsia="宋体" w:cs="Times New Roman"/>
                <w:b w:val="0"/>
                <w:bCs/>
                <w:color w:val="auto"/>
                <w:sz w:val="21"/>
                <w:szCs w:val="21"/>
                <w:vertAlign w:val="baseline"/>
                <w:lang w:val="en-US" w:eastAsia="zh-CN"/>
              </w:rPr>
            </w:pPr>
            <w:r>
              <w:rPr>
                <w:rStyle w:val="23"/>
                <w:rFonts w:hint="eastAsia" w:cs="Times New Roman"/>
                <w:b w:val="0"/>
                <w:bCs/>
                <w:color w:val="auto"/>
                <w:sz w:val="21"/>
                <w:szCs w:val="21"/>
                <w:vertAlign w:val="baseline"/>
                <w:lang w:val="en-US" w:eastAsia="zh-CN"/>
              </w:rPr>
              <w:t>减少365m</w:t>
            </w:r>
          </w:p>
        </w:tc>
        <w:tc>
          <w:tcPr>
            <w:tcW w:w="1421" w:type="dxa"/>
            <w:shd w:val="clear" w:color="auto" w:fill="auto"/>
            <w:vAlign w:val="center"/>
          </w:tcPr>
          <w:p w14:paraId="0CB13217">
            <w:pPr>
              <w:pStyle w:val="24"/>
              <w:spacing w:line="240" w:lineRule="auto"/>
              <w:ind w:left="0" w:leftChars="0" w:firstLine="0" w:firstLineChars="0"/>
              <w:jc w:val="center"/>
              <w:rPr>
                <w:rStyle w:val="23"/>
                <w:rFonts w:hint="default" w:ascii="Times New Roman" w:hAnsi="Times New Roman" w:eastAsia="宋体" w:cs="Times New Roman"/>
                <w:b w:val="0"/>
                <w:bCs/>
                <w:color w:val="auto"/>
                <w:sz w:val="21"/>
                <w:szCs w:val="21"/>
                <w:vertAlign w:val="baseline"/>
                <w:lang w:val="en-US" w:eastAsia="zh-CN"/>
              </w:rPr>
            </w:pPr>
            <w:r>
              <w:rPr>
                <w:rFonts w:hint="eastAsia"/>
                <w:color w:val="auto"/>
                <w:sz w:val="21"/>
                <w:szCs w:val="21"/>
                <w:lang w:val="en-US" w:eastAsia="zh-CN"/>
              </w:rPr>
              <w:t>现状监测达标，资金预留，后续超标后建设</w:t>
            </w:r>
          </w:p>
        </w:tc>
      </w:tr>
      <w:tr w14:paraId="100C8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0" w:type="dxa"/>
            <w:shd w:val="clear" w:color="auto" w:fill="auto"/>
            <w:vAlign w:val="center"/>
          </w:tcPr>
          <w:p w14:paraId="5D07B974">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bCs w:val="0"/>
                <w:color w:val="auto"/>
                <w:sz w:val="21"/>
                <w:szCs w:val="21"/>
                <w:vertAlign w:val="baseline"/>
              </w:rPr>
              <w:t>十、总投资</w:t>
            </w:r>
          </w:p>
        </w:tc>
        <w:tc>
          <w:tcPr>
            <w:tcW w:w="1420" w:type="dxa"/>
            <w:shd w:val="clear" w:color="auto" w:fill="auto"/>
            <w:vAlign w:val="center"/>
          </w:tcPr>
          <w:p w14:paraId="114063F0">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亿元</w:t>
            </w:r>
          </w:p>
        </w:tc>
        <w:tc>
          <w:tcPr>
            <w:tcW w:w="1420" w:type="dxa"/>
            <w:shd w:val="clear" w:color="auto" w:fill="auto"/>
            <w:vAlign w:val="center"/>
          </w:tcPr>
          <w:p w14:paraId="61FB584C">
            <w:pPr>
              <w:pStyle w:val="24"/>
              <w:spacing w:line="240" w:lineRule="auto"/>
              <w:ind w:left="0" w:leftChars="0" w:firstLine="0" w:firstLineChars="0"/>
              <w:jc w:val="center"/>
              <w:rPr>
                <w:rStyle w:val="23"/>
                <w:rFonts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8.86</w:t>
            </w:r>
          </w:p>
        </w:tc>
        <w:tc>
          <w:tcPr>
            <w:tcW w:w="1420" w:type="dxa"/>
            <w:shd w:val="clear" w:color="auto" w:fill="auto"/>
            <w:vAlign w:val="center"/>
          </w:tcPr>
          <w:p w14:paraId="504857F3">
            <w:pPr>
              <w:pStyle w:val="24"/>
              <w:spacing w:line="240" w:lineRule="auto"/>
              <w:ind w:left="0" w:leftChars="0" w:firstLine="0" w:firstLineChars="0"/>
              <w:jc w:val="center"/>
              <w:rPr>
                <w:rStyle w:val="23"/>
                <w:rFonts w:hint="default" w:ascii="Times New Roman" w:hAnsi="Times New Roman" w:eastAsia="宋体" w:cs="Times New Roman"/>
                <w:b w:val="0"/>
                <w:bCs/>
                <w:color w:val="auto"/>
                <w:sz w:val="21"/>
                <w:szCs w:val="21"/>
                <w:vertAlign w:val="baseline"/>
                <w:lang w:val="en-US" w:eastAsia="zh-CN"/>
              </w:rPr>
            </w:pPr>
            <w:r>
              <w:rPr>
                <w:rStyle w:val="23"/>
                <w:rFonts w:ascii="Times New Roman" w:hAnsi="Times New Roman" w:eastAsia="宋体" w:cs="Times New Roman"/>
                <w:b w:val="0"/>
                <w:bCs/>
                <w:color w:val="auto"/>
                <w:sz w:val="21"/>
                <w:szCs w:val="21"/>
                <w:vertAlign w:val="baseline"/>
              </w:rPr>
              <w:t>8.86</w:t>
            </w:r>
          </w:p>
        </w:tc>
        <w:tc>
          <w:tcPr>
            <w:tcW w:w="1421" w:type="dxa"/>
            <w:shd w:val="clear" w:color="auto" w:fill="auto"/>
            <w:vAlign w:val="center"/>
          </w:tcPr>
          <w:p w14:paraId="27EB0DF1">
            <w:pPr>
              <w:pStyle w:val="24"/>
              <w:spacing w:line="240" w:lineRule="auto"/>
              <w:ind w:left="0" w:leftChars="0" w:firstLine="0" w:firstLineChars="0"/>
              <w:jc w:val="center"/>
              <w:rPr>
                <w:rStyle w:val="23"/>
                <w:rFonts w:hint="default" w:ascii="Times New Roman" w:hAnsi="Times New Roman" w:eastAsia="宋体" w:cs="Times New Roman"/>
                <w:b w:val="0"/>
                <w:bCs/>
                <w:color w:val="auto"/>
                <w:sz w:val="21"/>
                <w:szCs w:val="21"/>
                <w:vertAlign w:val="baseline"/>
                <w:lang w:val="en-US" w:eastAsia="zh-CN"/>
              </w:rPr>
            </w:pPr>
            <w:r>
              <w:rPr>
                <w:rFonts w:hint="eastAsia"/>
                <w:color w:val="auto"/>
                <w:sz w:val="21"/>
                <w:szCs w:val="21"/>
              </w:rPr>
              <w:t>无变化</w:t>
            </w:r>
          </w:p>
        </w:tc>
        <w:tc>
          <w:tcPr>
            <w:tcW w:w="1421" w:type="dxa"/>
            <w:shd w:val="clear" w:color="auto" w:fill="auto"/>
            <w:vAlign w:val="center"/>
          </w:tcPr>
          <w:p w14:paraId="680F0C2E">
            <w:pPr>
              <w:pStyle w:val="24"/>
              <w:spacing w:line="240" w:lineRule="auto"/>
              <w:ind w:left="0" w:leftChars="0" w:firstLine="0" w:firstLineChars="0"/>
              <w:jc w:val="center"/>
              <w:rPr>
                <w:rStyle w:val="23"/>
                <w:rFonts w:hint="eastAsia" w:ascii="Times New Roman" w:hAnsi="Times New Roman" w:eastAsia="宋体" w:cs="Times New Roman"/>
                <w:b w:val="0"/>
                <w:bCs/>
                <w:color w:val="auto"/>
                <w:sz w:val="21"/>
                <w:szCs w:val="21"/>
                <w:vertAlign w:val="baseline"/>
                <w:lang w:val="en-US" w:eastAsia="zh-CN"/>
              </w:rPr>
            </w:pPr>
            <w:r>
              <w:rPr>
                <w:rFonts w:hint="eastAsia"/>
                <w:color w:val="auto"/>
                <w:sz w:val="21"/>
                <w:szCs w:val="21"/>
              </w:rPr>
              <w:t>无</w:t>
            </w:r>
          </w:p>
        </w:tc>
      </w:tr>
    </w:tbl>
    <w:p w14:paraId="30EC303E">
      <w:pPr>
        <w:pStyle w:val="5"/>
        <w:numPr>
          <w:ilvl w:val="1"/>
          <w:numId w:val="0"/>
        </w:numPr>
        <w:ind w:left="578" w:leftChars="0" w:hanging="578" w:firstLineChars="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2.3.</w:t>
      </w:r>
      <w:r>
        <w:rPr>
          <w:rFonts w:hint="default" w:ascii="Times New Roman" w:hAnsi="Times New Roman" w:eastAsia="宋体" w:cs="Times New Roman"/>
          <w:b/>
          <w:bCs/>
          <w:color w:val="auto"/>
          <w:lang w:val="en-US" w:eastAsia="zh-CN"/>
        </w:rPr>
        <w:t>3.1</w:t>
      </w:r>
      <w:r>
        <w:rPr>
          <w:rFonts w:hint="default" w:ascii="Times New Roman" w:hAnsi="Times New Roman" w:eastAsia="宋体" w:cs="Times New Roman"/>
          <w:b/>
          <w:bCs/>
          <w:color w:val="auto"/>
        </w:rPr>
        <w:t xml:space="preserve"> 路基设计</w:t>
      </w:r>
    </w:p>
    <w:p w14:paraId="5A4C74B5">
      <w:pPr>
        <w:bidi w:val="0"/>
        <w:rPr>
          <w:rFonts w:hint="default" w:ascii="Times New Roman" w:hAnsi="Times New Roman" w:eastAsia="宋体" w:cs="Times New Roman"/>
          <w:color w:val="auto"/>
          <w:spacing w:val="0"/>
          <w:w w:val="100"/>
          <w:kern w:val="0"/>
          <w:position w:val="0"/>
          <w:sz w:val="24"/>
          <w:szCs w:val="24"/>
        </w:rPr>
      </w:pPr>
      <w:r>
        <w:rPr>
          <w:rFonts w:hint="eastAsia" w:cs="Times New Roman"/>
          <w:color w:val="auto"/>
          <w:spacing w:val="0"/>
          <w:sz w:val="24"/>
          <w:highlight w:val="none"/>
          <w:lang w:val="en-US" w:eastAsia="zh-CN"/>
        </w:rPr>
        <w:t>项目实际建设情况同本次重新报批建设内容一致，</w:t>
      </w:r>
      <w:r>
        <w:rPr>
          <w:rFonts w:hint="default" w:ascii="Times New Roman" w:hAnsi="Times New Roman" w:cs="Times New Roman"/>
          <w:color w:val="auto"/>
          <w:spacing w:val="0"/>
          <w:sz w:val="24"/>
          <w:highlight w:val="none"/>
        </w:rPr>
        <w:t>采用高速公路技术标准，</w:t>
      </w:r>
      <w:r>
        <w:rPr>
          <w:rFonts w:hint="default" w:ascii="Times New Roman" w:hAnsi="Times New Roman" w:cs="Times New Roman"/>
          <w:color w:val="auto"/>
          <w:highlight w:val="none"/>
          <w:lang w:val="en-US" w:eastAsia="zh-CN"/>
        </w:rPr>
        <w:t>K68+921-K79+900主线按</w:t>
      </w:r>
      <w:r>
        <w:rPr>
          <w:rFonts w:hint="default" w:ascii="Times New Roman" w:hAnsi="Times New Roman" w:cs="Times New Roman"/>
          <w:color w:val="auto"/>
          <w:spacing w:val="-4"/>
          <w:highlight w:val="none"/>
        </w:rPr>
        <w:t>双向四车道</w:t>
      </w:r>
      <w:r>
        <w:rPr>
          <w:rFonts w:hint="default" w:ascii="Times New Roman" w:hAnsi="Times New Roman" w:cs="Times New Roman"/>
          <w:color w:val="auto"/>
          <w:spacing w:val="-4"/>
          <w:highlight w:val="none"/>
          <w:lang w:val="en-US" w:eastAsia="zh-CN"/>
        </w:rPr>
        <w:t>设计</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spacing w:val="-4"/>
          <w:highlight w:val="none"/>
        </w:rPr>
        <w:t>设计速度</w:t>
      </w:r>
      <w:r>
        <w:rPr>
          <w:rFonts w:hint="default" w:ascii="Times New Roman" w:hAnsi="Times New Roman" w:cs="Times New Roman"/>
          <w:color w:val="auto"/>
          <w:spacing w:val="-4"/>
          <w:highlight w:val="none"/>
          <w:lang w:val="en-US" w:eastAsia="zh-CN"/>
        </w:rPr>
        <w:t>80km</w:t>
      </w:r>
      <w:r>
        <w:rPr>
          <w:rFonts w:hint="default" w:ascii="Times New Roman" w:hAnsi="Times New Roman" w:cs="Times New Roman"/>
          <w:color w:val="auto"/>
          <w:spacing w:val="-4"/>
          <w:highlight w:val="none"/>
        </w:rPr>
        <w:t>/</w:t>
      </w:r>
      <w:r>
        <w:rPr>
          <w:rFonts w:hint="default" w:ascii="Times New Roman" w:hAnsi="Times New Roman" w:cs="Times New Roman"/>
          <w:color w:val="auto"/>
          <w:spacing w:val="-4"/>
          <w:highlight w:val="none"/>
          <w:lang w:val="en-US" w:eastAsia="zh-CN"/>
        </w:rPr>
        <w:t>h</w:t>
      </w:r>
      <w:r>
        <w:rPr>
          <w:rFonts w:hint="default" w:ascii="Times New Roman" w:hAnsi="Times New Roman" w:cs="Times New Roman"/>
          <w:color w:val="auto"/>
          <w:spacing w:val="-4"/>
          <w:highlight w:val="none"/>
        </w:rPr>
        <w:t>，</w:t>
      </w:r>
      <w:r>
        <w:rPr>
          <w:rFonts w:hint="default" w:ascii="Times New Roman" w:hAnsi="Times New Roman" w:cs="Times New Roman"/>
          <w:color w:val="auto"/>
          <w:highlight w:val="none"/>
          <w:lang w:val="en-US" w:eastAsia="zh-CN"/>
        </w:rPr>
        <w:t>整体式路基宽度25.5m，</w:t>
      </w:r>
      <w:r>
        <w:rPr>
          <w:rFonts w:hint="default" w:ascii="Times New Roman" w:hAnsi="Times New Roman" w:cs="Times New Roman"/>
          <w:color w:val="auto"/>
          <w:spacing w:val="-4"/>
          <w:highlight w:val="none"/>
          <w:lang w:val="en-US" w:eastAsia="zh-CN"/>
        </w:rPr>
        <w:t>分离式路基</w:t>
      </w:r>
      <w:r>
        <w:rPr>
          <w:rFonts w:hint="default" w:ascii="Times New Roman" w:hAnsi="Times New Roman" w:cs="Times New Roman"/>
          <w:color w:val="auto"/>
          <w:spacing w:val="-4"/>
          <w:highlight w:val="none"/>
        </w:rPr>
        <w:t>宽度</w:t>
      </w:r>
      <w:r>
        <w:rPr>
          <w:rFonts w:hint="default" w:ascii="Times New Roman" w:hAnsi="Times New Roman" w:cs="Times New Roman"/>
          <w:color w:val="auto"/>
          <w:spacing w:val="-4"/>
          <w:highlight w:val="none"/>
          <w:lang w:val="en-US" w:eastAsia="zh-CN"/>
        </w:rPr>
        <w:t>12.75</w:t>
      </w:r>
      <w:r>
        <w:rPr>
          <w:rFonts w:hint="default" w:ascii="Times New Roman" w:hAnsi="Times New Roman" w:cs="Times New Roman"/>
          <w:color w:val="auto"/>
          <w:spacing w:val="-4"/>
          <w:highlight w:val="none"/>
        </w:rPr>
        <w:t>m</w:t>
      </w:r>
      <w:r>
        <w:rPr>
          <w:rFonts w:hint="default" w:ascii="Times New Roman" w:hAnsi="Times New Roman" w:cs="Times New Roman"/>
          <w:color w:val="auto"/>
          <w:spacing w:val="-4"/>
          <w:highlight w:val="none"/>
          <w:lang w:eastAsia="zh-CN"/>
        </w:rPr>
        <w:t>；互通工程匝道设计速度40</w:t>
      </w:r>
      <w:r>
        <w:rPr>
          <w:rFonts w:hint="eastAsia" w:cs="Times New Roman"/>
          <w:color w:val="auto"/>
          <w:spacing w:val="-4"/>
          <w:highlight w:val="none"/>
          <w:lang w:eastAsia="zh-CN"/>
        </w:rPr>
        <w:t>～</w:t>
      </w:r>
      <w:r>
        <w:rPr>
          <w:rFonts w:hint="default" w:ascii="Times New Roman" w:hAnsi="Times New Roman" w:cs="Times New Roman"/>
          <w:color w:val="auto"/>
          <w:spacing w:val="-4"/>
          <w:highlight w:val="none"/>
          <w:lang w:eastAsia="zh-CN"/>
        </w:rPr>
        <w:t>60km/h，匝道宽度9</w:t>
      </w:r>
      <w:r>
        <w:rPr>
          <w:rFonts w:hint="eastAsia" w:cs="Times New Roman"/>
          <w:color w:val="auto"/>
          <w:spacing w:val="-4"/>
          <w:highlight w:val="none"/>
          <w:lang w:eastAsia="zh-CN"/>
        </w:rPr>
        <w:t>～</w:t>
      </w:r>
      <w:r>
        <w:rPr>
          <w:rFonts w:hint="default" w:ascii="Times New Roman" w:hAnsi="Times New Roman" w:cs="Times New Roman"/>
          <w:color w:val="auto"/>
          <w:spacing w:val="-4"/>
          <w:highlight w:val="none"/>
          <w:lang w:eastAsia="zh-CN"/>
        </w:rPr>
        <w:t>10.5m</w:t>
      </w:r>
      <w:r>
        <w:rPr>
          <w:rFonts w:hint="default" w:ascii="Times New Roman" w:hAnsi="Times New Roman" w:cs="Times New Roman"/>
          <w:color w:val="auto"/>
          <w:spacing w:val="-4"/>
          <w:highlight w:val="none"/>
        </w:rPr>
        <w:t>。</w:t>
      </w:r>
    </w:p>
    <w:p w14:paraId="548162F8">
      <w:pPr>
        <w:bidi w:val="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（1）主线整体式路基横断面</w:t>
      </w:r>
    </w:p>
    <w:p w14:paraId="07B6EA2A">
      <w:pPr>
        <w:bidi w:val="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路基横断面：路基全宽2</w:t>
      </w:r>
      <w:r>
        <w:rPr>
          <w:rFonts w:hint="default" w:ascii="Times New Roman" w:hAnsi="Times New Roman" w:eastAsia="宋体" w:cs="Times New Roman"/>
          <w:color w:val="auto"/>
          <w:spacing w:val="0"/>
          <w:w w:val="100"/>
          <w:kern w:val="0"/>
          <w:position w:val="0"/>
          <w:sz w:val="24"/>
          <w:szCs w:val="24"/>
          <w:lang w:val="en-US" w:eastAsia="zh-CN"/>
        </w:rPr>
        <w:t>5</w:t>
      </w:r>
      <w:r>
        <w:rPr>
          <w:rFonts w:hint="default" w:ascii="Times New Roman" w:hAnsi="Times New Roman" w:eastAsia="宋体" w:cs="Times New Roman"/>
          <w:color w:val="auto"/>
          <w:spacing w:val="0"/>
          <w:w w:val="100"/>
          <w:kern w:val="0"/>
          <w:position w:val="0"/>
          <w:sz w:val="24"/>
          <w:szCs w:val="24"/>
        </w:rPr>
        <w:t>.5m，其路幅构成为：0.75m（土路肩）+3.0m（硬路肩）+2×3.75m（行车道）</w:t>
      </w:r>
      <w:r>
        <w:rPr>
          <w:rFonts w:hint="default" w:ascii="Times New Roman" w:hAnsi="Times New Roman" w:eastAsia="宋体" w:cs="Times New Roman"/>
          <w:color w:val="auto"/>
          <w:spacing w:val="0"/>
          <w:w w:val="100"/>
          <w:kern w:val="0"/>
          <w:position w:val="0"/>
          <w:sz w:val="24"/>
          <w:szCs w:val="24"/>
          <w:lang w:val="en-US" w:eastAsia="zh-CN"/>
        </w:rPr>
        <w:t>+0.5m</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路缘带</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rPr>
        <w:t>+2m（中间带）</w:t>
      </w:r>
      <w:r>
        <w:rPr>
          <w:rFonts w:hint="default" w:ascii="Times New Roman" w:hAnsi="Times New Roman" w:eastAsia="宋体" w:cs="Times New Roman"/>
          <w:color w:val="auto"/>
          <w:spacing w:val="0"/>
          <w:w w:val="100"/>
          <w:kern w:val="0"/>
          <w:position w:val="0"/>
          <w:sz w:val="24"/>
          <w:szCs w:val="24"/>
          <w:lang w:val="en-US" w:eastAsia="zh-CN"/>
        </w:rPr>
        <w:t>+0.5m</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路缘带</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rPr>
        <w:t>+2×3.75m（行车道）+3.0m（硬路肩）+0.75m（土路肩）=2</w:t>
      </w:r>
      <w:r>
        <w:rPr>
          <w:rFonts w:hint="default" w:ascii="Times New Roman" w:hAnsi="Times New Roman" w:eastAsia="宋体" w:cs="Times New Roman"/>
          <w:color w:val="auto"/>
          <w:spacing w:val="0"/>
          <w:w w:val="100"/>
          <w:kern w:val="0"/>
          <w:position w:val="0"/>
          <w:sz w:val="24"/>
          <w:szCs w:val="24"/>
          <w:lang w:val="en-US" w:eastAsia="zh-CN"/>
        </w:rPr>
        <w:t>5</w:t>
      </w:r>
      <w:r>
        <w:rPr>
          <w:rFonts w:hint="default" w:ascii="Times New Roman" w:hAnsi="Times New Roman" w:eastAsia="宋体" w:cs="Times New Roman"/>
          <w:color w:val="auto"/>
          <w:spacing w:val="0"/>
          <w:w w:val="100"/>
          <w:kern w:val="0"/>
          <w:position w:val="0"/>
          <w:sz w:val="24"/>
          <w:szCs w:val="24"/>
        </w:rPr>
        <w:t>.5m。</w:t>
      </w:r>
    </w:p>
    <w:p w14:paraId="272EC9DC">
      <w:pPr>
        <w:pStyle w:val="37"/>
        <w:bidi w:val="0"/>
        <w:rPr>
          <w:rFonts w:hint="default" w:ascii="Times New Roman" w:hAnsi="Times New Roman" w:eastAsia="宋体" w:cs="Times New Roman"/>
          <w:color w:val="auto"/>
        </w:rPr>
      </w:pPr>
      <w:r>
        <w:rPr>
          <w:rFonts w:hint="default" w:ascii="Times New Roman" w:hAnsi="Times New Roman" w:cs="Times New Roman"/>
          <w:color w:val="auto"/>
          <w:position w:val="-64"/>
        </w:rPr>
        <w:drawing>
          <wp:inline distT="0" distB="0" distL="114300" distR="114300">
            <wp:extent cx="5837555" cy="2092960"/>
            <wp:effectExtent l="0" t="0" r="10795" b="2540"/>
            <wp:docPr id="2" name="图片 1"/>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25"/>
                    <a:stretch>
                      <a:fillRect/>
                    </a:stretch>
                  </pic:blipFill>
                  <pic:spPr>
                    <a:xfrm>
                      <a:off x="0" y="0"/>
                      <a:ext cx="5837555" cy="2092960"/>
                    </a:xfrm>
                    <a:prstGeom prst="rect">
                      <a:avLst/>
                    </a:prstGeom>
                    <a:noFill/>
                    <a:ln>
                      <a:noFill/>
                    </a:ln>
                  </pic:spPr>
                </pic:pic>
              </a:graphicData>
            </a:graphic>
          </wp:inline>
        </w:drawing>
      </w:r>
    </w:p>
    <w:p w14:paraId="0C36C402">
      <w:pPr>
        <w:numPr>
          <w:ilvl w:val="0"/>
          <w:numId w:val="0"/>
        </w:numPr>
        <w:tabs>
          <w:tab w:val="left" w:pos="0"/>
        </w:tabs>
        <w:bidi w:val="0"/>
        <w:spacing w:line="360" w:lineRule="auto"/>
        <w:ind w:left="0" w:leftChars="0" w:firstLine="0" w:firstLineChars="0"/>
        <w:jc w:val="center"/>
        <w:outlineLvl w:val="9"/>
        <w:rPr>
          <w:rFonts w:hint="default" w:ascii="Times New Roman" w:hAnsi="Times New Roman" w:cs="Times New Roman"/>
          <w:b/>
          <w:bCs/>
          <w:color w:val="auto"/>
          <w:spacing w:val="0"/>
          <w:w w:val="100"/>
          <w:kern w:val="0"/>
          <w:position w:val="0"/>
          <w:sz w:val="24"/>
          <w:szCs w:val="24"/>
          <w:lang w:eastAsia="zh-CN"/>
        </w:rPr>
      </w:pPr>
      <w:r>
        <w:rPr>
          <w:rFonts w:hint="default" w:ascii="Times New Roman" w:hAnsi="Times New Roman" w:eastAsia="宋体" w:cs="Times New Roman"/>
          <w:b/>
          <w:bCs/>
          <w:snapToGrid w:val="0"/>
          <w:color w:val="auto"/>
          <w:kern w:val="0"/>
          <w:sz w:val="24"/>
          <w:szCs w:val="21"/>
          <w:lang w:val="en-US" w:eastAsia="en-US" w:bidi="ar-SA"/>
        </w:rPr>
        <w:t>图2.</w:t>
      </w:r>
      <w:r>
        <w:rPr>
          <w:rFonts w:hint="eastAsia" w:eastAsia="宋体" w:cs="Times New Roman"/>
          <w:b/>
          <w:bCs/>
          <w:snapToGrid w:val="0"/>
          <w:color w:val="auto"/>
          <w:kern w:val="0"/>
          <w:sz w:val="24"/>
          <w:szCs w:val="21"/>
          <w:lang w:val="en-US" w:eastAsia="zh-CN" w:bidi="ar-SA"/>
        </w:rPr>
        <w:t>3</w:t>
      </w:r>
      <w:r>
        <w:rPr>
          <w:rFonts w:hint="default" w:ascii="Times New Roman" w:hAnsi="Times New Roman" w:eastAsia="宋体" w:cs="Times New Roman"/>
          <w:b/>
          <w:bCs/>
          <w:snapToGrid w:val="0"/>
          <w:color w:val="auto"/>
          <w:kern w:val="0"/>
          <w:sz w:val="24"/>
          <w:szCs w:val="21"/>
          <w:lang w:val="en-US" w:eastAsia="en-US" w:bidi="ar-SA"/>
        </w:rPr>
        <w:t xml:space="preserve">-1  </w:t>
      </w:r>
      <w:r>
        <w:rPr>
          <w:rFonts w:hint="default" w:ascii="Times New Roman" w:hAnsi="Times New Roman" w:eastAsia="宋体" w:cs="Times New Roman"/>
          <w:b/>
          <w:bCs/>
          <w:color w:val="auto"/>
        </w:rPr>
        <w:t>整体式路基标准横断面</w:t>
      </w:r>
    </w:p>
    <w:p w14:paraId="1093708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leftChars="200"/>
        <w:textAlignment w:val="baseline"/>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cs="Times New Roman"/>
          <w:color w:val="auto"/>
          <w:spacing w:val="0"/>
          <w:w w:val="100"/>
          <w:kern w:val="0"/>
          <w:position w:val="0"/>
          <w:sz w:val="24"/>
          <w:szCs w:val="24"/>
          <w:lang w:eastAsia="zh-CN"/>
        </w:rPr>
        <w:t>（</w:t>
      </w:r>
      <w:r>
        <w:rPr>
          <w:rFonts w:hint="default" w:ascii="Times New Roman" w:hAnsi="Times New Roman" w:cs="Times New Roman"/>
          <w:color w:val="auto"/>
          <w:spacing w:val="0"/>
          <w:w w:val="100"/>
          <w:kern w:val="0"/>
          <w:position w:val="0"/>
          <w:sz w:val="24"/>
          <w:szCs w:val="24"/>
          <w:lang w:val="en-US" w:eastAsia="zh-CN"/>
        </w:rPr>
        <w:t>2）</w:t>
      </w:r>
      <w:r>
        <w:rPr>
          <w:rFonts w:hint="default" w:ascii="Times New Roman" w:hAnsi="Times New Roman" w:eastAsia="宋体" w:cs="Times New Roman"/>
          <w:color w:val="auto"/>
          <w:spacing w:val="0"/>
          <w:w w:val="100"/>
          <w:kern w:val="0"/>
          <w:position w:val="0"/>
          <w:sz w:val="24"/>
          <w:szCs w:val="24"/>
        </w:rPr>
        <w:t>主线分离式路基横断面</w:t>
      </w:r>
    </w:p>
    <w:p w14:paraId="612EAF32">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路基</w:t>
      </w:r>
      <w:r>
        <w:rPr>
          <w:rFonts w:hint="default" w:ascii="Times New Roman" w:hAnsi="Times New Roman" w:cs="Times New Roman"/>
          <w:color w:val="auto"/>
          <w:lang w:val="en-US" w:eastAsia="zh-CN"/>
        </w:rPr>
        <w:t>单幅宽</w:t>
      </w:r>
      <w:r>
        <w:rPr>
          <w:rFonts w:hint="default" w:ascii="Times New Roman" w:hAnsi="Times New Roman" w:eastAsia="宋体" w:cs="Times New Roman"/>
          <w:color w:val="auto"/>
        </w:rPr>
        <w:t>12.75m，其路幅构成为：</w:t>
      </w:r>
    </w:p>
    <w:p w14:paraId="6A7A1123">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左幅0.75m（土路肩）+3.0m（硬路肩）+2×3.75m（行车道）+0.75m（硬路肩）+0.75m（土路肩）=12.75m。</w:t>
      </w:r>
    </w:p>
    <w:p w14:paraId="7D5BBD73">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右幅0.75m（土路肩）+0.75m（硬路肩）+2×3.75m（行车道）+3.0m（硬路肩）+0.75m（土路肩）=12.75m。</w:t>
      </w:r>
    </w:p>
    <w:p w14:paraId="59E48087">
      <w:pPr>
        <w:pStyle w:val="37"/>
        <w:bidi w:val="0"/>
        <w:rPr>
          <w:rFonts w:hint="default" w:ascii="Times New Roman" w:hAnsi="Times New Roman" w:eastAsia="宋体" w:cs="Times New Roman"/>
          <w:color w:val="auto"/>
        </w:rPr>
      </w:pPr>
      <w:r>
        <w:rPr>
          <w:rFonts w:hint="default" w:ascii="Times New Roman" w:hAnsi="Times New Roman" w:cs="Times New Roman"/>
          <w:color w:val="auto"/>
          <w:position w:val="-85"/>
        </w:rPr>
        <w:drawing>
          <wp:inline distT="0" distB="0" distL="114300" distR="114300">
            <wp:extent cx="5173345" cy="2446655"/>
            <wp:effectExtent l="0" t="0" r="8255" b="10795"/>
            <wp:docPr id="8" name="图片 2"/>
            <wp:cNvGraphicFramePr/>
            <a:graphic xmlns:a="http://schemas.openxmlformats.org/drawingml/2006/main">
              <a:graphicData uri="http://schemas.openxmlformats.org/drawingml/2006/picture">
                <pic:pic xmlns:pic="http://schemas.openxmlformats.org/drawingml/2006/picture">
                  <pic:nvPicPr>
                    <pic:cNvPr id="8" name="图片 2"/>
                    <pic:cNvPicPr/>
                  </pic:nvPicPr>
                  <pic:blipFill>
                    <a:blip r:embed="rId26"/>
                    <a:stretch>
                      <a:fillRect/>
                    </a:stretch>
                  </pic:blipFill>
                  <pic:spPr>
                    <a:xfrm>
                      <a:off x="0" y="0"/>
                      <a:ext cx="5173345" cy="2446655"/>
                    </a:xfrm>
                    <a:prstGeom prst="rect">
                      <a:avLst/>
                    </a:prstGeom>
                    <a:noFill/>
                    <a:ln>
                      <a:noFill/>
                    </a:ln>
                  </pic:spPr>
                </pic:pic>
              </a:graphicData>
            </a:graphic>
          </wp:inline>
        </w:drawing>
      </w:r>
    </w:p>
    <w:p w14:paraId="159FC343">
      <w:pPr>
        <w:numPr>
          <w:ilvl w:val="0"/>
          <w:numId w:val="0"/>
        </w:numPr>
        <w:tabs>
          <w:tab w:val="left" w:pos="0"/>
        </w:tabs>
        <w:bidi w:val="0"/>
        <w:spacing w:line="360" w:lineRule="auto"/>
        <w:ind w:left="0" w:leftChars="0" w:firstLine="0" w:firstLineChars="0"/>
        <w:jc w:val="center"/>
        <w:outlineLvl w:val="9"/>
        <w:rPr>
          <w:rFonts w:hint="default" w:ascii="Times New Roman" w:hAnsi="Times New Roman" w:eastAsia="宋体" w:cs="Times New Roman"/>
          <w:b/>
          <w:bCs/>
          <w:color w:val="auto"/>
          <w:spacing w:val="0"/>
          <w:w w:val="100"/>
          <w:kern w:val="0"/>
          <w:position w:val="0"/>
          <w:sz w:val="24"/>
          <w:szCs w:val="24"/>
        </w:rPr>
      </w:pPr>
      <w:r>
        <w:rPr>
          <w:rFonts w:hint="default" w:ascii="Times New Roman" w:hAnsi="Times New Roman" w:eastAsia="宋体" w:cs="Times New Roman"/>
          <w:b/>
          <w:bCs/>
          <w:snapToGrid w:val="0"/>
          <w:color w:val="auto"/>
          <w:kern w:val="0"/>
          <w:sz w:val="24"/>
          <w:szCs w:val="21"/>
          <w:lang w:val="en-US" w:eastAsia="en-US" w:bidi="ar-SA"/>
        </w:rPr>
        <w:t>图2.</w:t>
      </w:r>
      <w:r>
        <w:rPr>
          <w:rFonts w:hint="eastAsia" w:eastAsia="宋体" w:cs="Times New Roman"/>
          <w:b/>
          <w:bCs/>
          <w:snapToGrid w:val="0"/>
          <w:color w:val="auto"/>
          <w:kern w:val="0"/>
          <w:sz w:val="24"/>
          <w:szCs w:val="21"/>
          <w:lang w:val="en-US" w:eastAsia="zh-CN" w:bidi="ar-SA"/>
        </w:rPr>
        <w:t>3</w:t>
      </w:r>
      <w:r>
        <w:rPr>
          <w:rFonts w:hint="default" w:ascii="Times New Roman" w:hAnsi="Times New Roman" w:eastAsia="宋体" w:cs="Times New Roman"/>
          <w:b/>
          <w:bCs/>
          <w:snapToGrid w:val="0"/>
          <w:color w:val="auto"/>
          <w:kern w:val="0"/>
          <w:sz w:val="24"/>
          <w:szCs w:val="21"/>
          <w:lang w:val="en-US" w:eastAsia="en-US" w:bidi="ar-SA"/>
        </w:rPr>
        <w:t xml:space="preserve">-2  </w:t>
      </w:r>
      <w:r>
        <w:rPr>
          <w:rFonts w:hint="default" w:ascii="Times New Roman" w:hAnsi="Times New Roman" w:eastAsia="宋体" w:cs="Times New Roman"/>
          <w:b/>
          <w:bCs/>
          <w:color w:val="auto"/>
        </w:rPr>
        <w:t>分离式路基标准横断面</w:t>
      </w:r>
    </w:p>
    <w:p w14:paraId="7B451A53">
      <w:pPr>
        <w:bidi w:val="0"/>
        <w:spacing w:line="360" w:lineRule="auto"/>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w:t>
      </w:r>
      <w:r>
        <w:rPr>
          <w:rFonts w:hint="default" w:ascii="Times New Roman" w:hAnsi="Times New Roman" w:eastAsia="宋体" w:cs="Times New Roman"/>
          <w:color w:val="auto"/>
          <w:spacing w:val="0"/>
          <w:w w:val="100"/>
          <w:kern w:val="0"/>
          <w:position w:val="0"/>
          <w:sz w:val="24"/>
          <w:szCs w:val="24"/>
          <w:lang w:val="en-US" w:eastAsia="zh-CN"/>
        </w:rPr>
        <w:t>3</w:t>
      </w:r>
      <w:r>
        <w:rPr>
          <w:rFonts w:hint="default" w:ascii="Times New Roman" w:hAnsi="Times New Roman" w:eastAsia="宋体" w:cs="Times New Roman"/>
          <w:color w:val="auto"/>
          <w:spacing w:val="0"/>
          <w:w w:val="100"/>
          <w:kern w:val="0"/>
          <w:position w:val="0"/>
          <w:sz w:val="24"/>
          <w:szCs w:val="24"/>
        </w:rPr>
        <w:t>）</w:t>
      </w:r>
      <w:r>
        <w:rPr>
          <w:rFonts w:hint="default" w:ascii="Times New Roman" w:hAnsi="Times New Roman" w:eastAsia="宋体" w:cs="Times New Roman"/>
          <w:color w:val="auto"/>
          <w:spacing w:val="0"/>
          <w:w w:val="100"/>
          <w:kern w:val="0"/>
          <w:position w:val="0"/>
          <w:sz w:val="24"/>
          <w:szCs w:val="24"/>
          <w:lang w:val="en-US" w:eastAsia="zh-CN"/>
        </w:rPr>
        <w:t>匝道</w:t>
      </w:r>
      <w:r>
        <w:rPr>
          <w:rFonts w:hint="default" w:ascii="Times New Roman" w:hAnsi="Times New Roman" w:eastAsia="宋体" w:cs="Times New Roman"/>
          <w:color w:val="auto"/>
          <w:spacing w:val="0"/>
          <w:w w:val="100"/>
          <w:kern w:val="0"/>
          <w:position w:val="0"/>
          <w:sz w:val="24"/>
          <w:szCs w:val="24"/>
        </w:rPr>
        <w:t>路基横断面</w:t>
      </w:r>
    </w:p>
    <w:p w14:paraId="5077FAE5">
      <w:pPr>
        <w:pStyle w:val="37"/>
        <w:bidi w:val="0"/>
        <w:spacing w:line="360" w:lineRule="auto"/>
        <w:ind w:firstLine="480" w:firstLineChars="200"/>
        <w:jc w:val="both"/>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lang w:val="en-US" w:eastAsia="zh-CN"/>
        </w:rPr>
        <w:t>单向单车道匝道</w:t>
      </w:r>
      <w:r>
        <w:rPr>
          <w:rFonts w:hint="default" w:ascii="Times New Roman" w:hAnsi="Times New Roman" w:eastAsia="宋体" w:cs="Times New Roman"/>
          <w:color w:val="auto"/>
          <w:spacing w:val="0"/>
          <w:w w:val="100"/>
          <w:kern w:val="0"/>
          <w:position w:val="0"/>
          <w:sz w:val="24"/>
          <w:szCs w:val="24"/>
        </w:rPr>
        <w:t>路基横断面：路基全宽</w:t>
      </w:r>
      <w:r>
        <w:rPr>
          <w:rFonts w:hint="default" w:ascii="Times New Roman" w:hAnsi="Times New Roman" w:eastAsia="宋体" w:cs="Times New Roman"/>
          <w:color w:val="auto"/>
          <w:spacing w:val="0"/>
          <w:w w:val="100"/>
          <w:kern w:val="0"/>
          <w:position w:val="0"/>
          <w:sz w:val="24"/>
          <w:szCs w:val="24"/>
          <w:lang w:val="en-US" w:eastAsia="zh-CN"/>
        </w:rPr>
        <w:t>9</w:t>
      </w:r>
      <w:r>
        <w:rPr>
          <w:rFonts w:hint="default" w:ascii="Times New Roman" w:hAnsi="Times New Roman" w:eastAsia="宋体" w:cs="Times New Roman"/>
          <w:color w:val="auto"/>
          <w:spacing w:val="0"/>
          <w:w w:val="100"/>
          <w:kern w:val="0"/>
          <w:position w:val="0"/>
          <w:sz w:val="24"/>
          <w:szCs w:val="24"/>
        </w:rPr>
        <w:t>m，其路幅构成为：0.75m（土路肩）+</w:t>
      </w:r>
      <w:r>
        <w:rPr>
          <w:rFonts w:hint="default" w:ascii="Times New Roman" w:hAnsi="Times New Roman" w:eastAsia="宋体" w:cs="Times New Roman"/>
          <w:color w:val="auto"/>
          <w:spacing w:val="0"/>
          <w:w w:val="100"/>
          <w:kern w:val="0"/>
          <w:position w:val="0"/>
          <w:sz w:val="24"/>
          <w:szCs w:val="24"/>
          <w:lang w:val="en-US" w:eastAsia="zh-CN"/>
        </w:rPr>
        <w:t>1</w:t>
      </w:r>
      <w:r>
        <w:rPr>
          <w:rFonts w:hint="default" w:ascii="Times New Roman" w:hAnsi="Times New Roman" w:eastAsia="宋体" w:cs="Times New Roman"/>
          <w:color w:val="auto"/>
          <w:spacing w:val="0"/>
          <w:w w:val="100"/>
          <w:kern w:val="0"/>
          <w:position w:val="0"/>
          <w:sz w:val="24"/>
          <w:szCs w:val="24"/>
        </w:rPr>
        <w:t>.0m（硬路肩）+3.5m（行车道）</w:t>
      </w:r>
      <w:r>
        <w:rPr>
          <w:rFonts w:hint="default" w:ascii="Times New Roman" w:hAnsi="Times New Roman" w:eastAsia="宋体"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rPr>
        <w:t>3.0m（硬路肩）+0.75m（土路肩）=</w:t>
      </w:r>
      <w:r>
        <w:rPr>
          <w:rFonts w:hint="default" w:ascii="Times New Roman" w:hAnsi="Times New Roman" w:eastAsia="宋体" w:cs="Times New Roman"/>
          <w:color w:val="auto"/>
          <w:spacing w:val="0"/>
          <w:w w:val="100"/>
          <w:kern w:val="0"/>
          <w:position w:val="0"/>
          <w:sz w:val="24"/>
          <w:szCs w:val="24"/>
          <w:lang w:val="en-US" w:eastAsia="zh-CN"/>
        </w:rPr>
        <w:t>9</w:t>
      </w:r>
      <w:r>
        <w:rPr>
          <w:rFonts w:hint="default" w:ascii="Times New Roman" w:hAnsi="Times New Roman" w:eastAsia="宋体" w:cs="Times New Roman"/>
          <w:color w:val="auto"/>
          <w:spacing w:val="0"/>
          <w:w w:val="100"/>
          <w:kern w:val="0"/>
          <w:position w:val="0"/>
          <w:sz w:val="24"/>
          <w:szCs w:val="24"/>
        </w:rPr>
        <w:t>m。</w:t>
      </w:r>
    </w:p>
    <w:p w14:paraId="451DEBD3">
      <w:pPr>
        <w:pStyle w:val="37"/>
        <w:bidi w:val="0"/>
        <w:spacing w:line="360" w:lineRule="auto"/>
        <w:ind w:firstLine="480" w:firstLineChars="200"/>
        <w:jc w:val="both"/>
        <w:rPr>
          <w:rFonts w:hint="default" w:ascii="Times New Roman" w:hAnsi="Times New Roman" w:cs="Times New Roman"/>
          <w:color w:val="auto"/>
          <w:position w:val="-102"/>
          <w:sz w:val="24"/>
          <w:szCs w:val="24"/>
        </w:rPr>
      </w:pPr>
      <w:r>
        <w:rPr>
          <w:rFonts w:hint="default" w:ascii="Times New Roman" w:hAnsi="Times New Roman" w:eastAsia="宋体" w:cs="Times New Roman"/>
          <w:color w:val="auto"/>
          <w:spacing w:val="0"/>
          <w:w w:val="100"/>
          <w:kern w:val="0"/>
          <w:position w:val="0"/>
          <w:sz w:val="24"/>
          <w:szCs w:val="24"/>
          <w:lang w:val="en-US" w:eastAsia="zh-CN"/>
        </w:rPr>
        <w:t>单向双车道匝道</w:t>
      </w:r>
      <w:r>
        <w:rPr>
          <w:rFonts w:hint="default" w:ascii="Times New Roman" w:hAnsi="Times New Roman" w:eastAsia="宋体" w:cs="Times New Roman"/>
          <w:color w:val="auto"/>
          <w:spacing w:val="0"/>
          <w:w w:val="100"/>
          <w:kern w:val="0"/>
          <w:position w:val="0"/>
          <w:sz w:val="24"/>
          <w:szCs w:val="24"/>
        </w:rPr>
        <w:t>路基横断面：路基全宽</w:t>
      </w:r>
      <w:r>
        <w:rPr>
          <w:rFonts w:hint="default" w:ascii="Times New Roman" w:hAnsi="Times New Roman" w:eastAsia="宋体" w:cs="Times New Roman"/>
          <w:color w:val="auto"/>
          <w:spacing w:val="0"/>
          <w:w w:val="100"/>
          <w:kern w:val="0"/>
          <w:position w:val="0"/>
          <w:sz w:val="24"/>
          <w:szCs w:val="24"/>
          <w:lang w:val="en-US" w:eastAsia="zh-CN"/>
        </w:rPr>
        <w:t>9</w:t>
      </w:r>
      <w:r>
        <w:rPr>
          <w:rFonts w:hint="default" w:ascii="Times New Roman" w:hAnsi="Times New Roman" w:eastAsia="宋体" w:cs="Times New Roman"/>
          <w:color w:val="auto"/>
          <w:spacing w:val="0"/>
          <w:w w:val="100"/>
          <w:kern w:val="0"/>
          <w:position w:val="0"/>
          <w:sz w:val="24"/>
          <w:szCs w:val="24"/>
        </w:rPr>
        <w:t>m，其路幅构成为：0.75m（土路肩）+</w:t>
      </w:r>
      <w:r>
        <w:rPr>
          <w:rFonts w:hint="default" w:ascii="Times New Roman" w:hAnsi="Times New Roman" w:eastAsia="宋体" w:cs="Times New Roman"/>
          <w:color w:val="auto"/>
          <w:spacing w:val="0"/>
          <w:w w:val="100"/>
          <w:kern w:val="0"/>
          <w:position w:val="0"/>
          <w:sz w:val="24"/>
          <w:szCs w:val="24"/>
          <w:lang w:val="en-US" w:eastAsia="zh-CN"/>
        </w:rPr>
        <w:t>1</w:t>
      </w:r>
      <w:r>
        <w:rPr>
          <w:rFonts w:hint="default" w:ascii="Times New Roman" w:hAnsi="Times New Roman" w:eastAsia="宋体" w:cs="Times New Roman"/>
          <w:color w:val="auto"/>
          <w:spacing w:val="0"/>
          <w:w w:val="100"/>
          <w:kern w:val="0"/>
          <w:position w:val="0"/>
          <w:sz w:val="24"/>
          <w:szCs w:val="24"/>
        </w:rPr>
        <w:t>.0m（硬路肩）+</w:t>
      </w:r>
      <w:r>
        <w:rPr>
          <w:rFonts w:hint="default" w:ascii="Times New Roman" w:hAnsi="Times New Roman" w:eastAsia="宋体" w:cs="Times New Roman"/>
          <w:color w:val="auto"/>
          <w:spacing w:val="0"/>
          <w:w w:val="100"/>
          <w:kern w:val="0"/>
          <w:position w:val="0"/>
          <w:sz w:val="24"/>
          <w:szCs w:val="24"/>
          <w:lang w:val="en-US" w:eastAsia="zh-CN"/>
        </w:rPr>
        <w:t>2</w:t>
      </w:r>
      <w:r>
        <w:rPr>
          <w:rFonts w:hint="default" w:ascii="Times New Roman" w:hAnsi="Times New Roman" w:eastAsia="宋体" w:cs="Times New Roman"/>
          <w:color w:val="auto"/>
          <w:spacing w:val="0"/>
          <w:w w:val="100"/>
          <w:kern w:val="0"/>
          <w:position w:val="0"/>
          <w:sz w:val="24"/>
          <w:szCs w:val="24"/>
        </w:rPr>
        <w:t>×3.5m（行车道）</w:t>
      </w:r>
      <w:r>
        <w:rPr>
          <w:rFonts w:hint="default" w:ascii="Times New Roman" w:hAnsi="Times New Roman" w:eastAsia="宋体" w:cs="Times New Roman"/>
          <w:color w:val="auto"/>
          <w:spacing w:val="0"/>
          <w:w w:val="100"/>
          <w:kern w:val="0"/>
          <w:position w:val="0"/>
          <w:sz w:val="24"/>
          <w:szCs w:val="24"/>
          <w:lang w:val="en-US" w:eastAsia="zh-CN"/>
        </w:rPr>
        <w:t>+1</w:t>
      </w:r>
      <w:r>
        <w:rPr>
          <w:rFonts w:hint="default" w:ascii="Times New Roman" w:hAnsi="Times New Roman" w:eastAsia="宋体" w:cs="Times New Roman"/>
          <w:color w:val="auto"/>
          <w:spacing w:val="0"/>
          <w:w w:val="100"/>
          <w:kern w:val="0"/>
          <w:position w:val="0"/>
          <w:sz w:val="24"/>
          <w:szCs w:val="24"/>
        </w:rPr>
        <w:t>.0m（硬路肩）+0.75m（土路肩）=</w:t>
      </w:r>
      <w:r>
        <w:rPr>
          <w:rFonts w:hint="default" w:ascii="Times New Roman" w:hAnsi="Times New Roman" w:eastAsia="宋体" w:cs="Times New Roman"/>
          <w:color w:val="auto"/>
          <w:spacing w:val="0"/>
          <w:w w:val="100"/>
          <w:kern w:val="0"/>
          <w:position w:val="0"/>
          <w:sz w:val="24"/>
          <w:szCs w:val="24"/>
          <w:lang w:val="en-US" w:eastAsia="zh-CN"/>
        </w:rPr>
        <w:t>10.5</w:t>
      </w:r>
      <w:r>
        <w:rPr>
          <w:rFonts w:hint="default" w:ascii="Times New Roman" w:hAnsi="Times New Roman" w:eastAsia="宋体" w:cs="Times New Roman"/>
          <w:color w:val="auto"/>
          <w:spacing w:val="0"/>
          <w:w w:val="100"/>
          <w:kern w:val="0"/>
          <w:position w:val="0"/>
          <w:sz w:val="24"/>
          <w:szCs w:val="24"/>
        </w:rPr>
        <w:t>m。</w:t>
      </w:r>
    </w:p>
    <w:p w14:paraId="7775D968">
      <w:pPr>
        <w:pStyle w:val="37"/>
        <w:bidi w:val="0"/>
        <w:rPr>
          <w:rFonts w:hint="default" w:ascii="Times New Roman" w:hAnsi="Times New Roman" w:eastAsia="宋体" w:cs="Times New Roman"/>
          <w:snapToGrid w:val="0"/>
          <w:color w:val="auto"/>
          <w:kern w:val="0"/>
          <w:sz w:val="24"/>
          <w:szCs w:val="21"/>
          <w:lang w:val="en-US" w:eastAsia="en-US" w:bidi="ar-SA"/>
        </w:rPr>
      </w:pPr>
      <w:r>
        <w:rPr>
          <w:rFonts w:hint="default" w:ascii="Times New Roman" w:hAnsi="Times New Roman" w:cs="Times New Roman"/>
          <w:color w:val="auto"/>
          <w:position w:val="-102"/>
        </w:rPr>
        <w:drawing>
          <wp:inline distT="0" distB="0" distL="114300" distR="114300">
            <wp:extent cx="5577205" cy="3263265"/>
            <wp:effectExtent l="0" t="0" r="4445" b="13335"/>
            <wp:docPr id="6" name="图片 3"/>
            <wp:cNvGraphicFramePr/>
            <a:graphic xmlns:a="http://schemas.openxmlformats.org/drawingml/2006/main">
              <a:graphicData uri="http://schemas.openxmlformats.org/drawingml/2006/picture">
                <pic:pic xmlns:pic="http://schemas.openxmlformats.org/drawingml/2006/picture">
                  <pic:nvPicPr>
                    <pic:cNvPr id="6" name="图片 3"/>
                    <pic:cNvPicPr/>
                  </pic:nvPicPr>
                  <pic:blipFill>
                    <a:blip r:embed="rId27"/>
                    <a:stretch>
                      <a:fillRect/>
                    </a:stretch>
                  </pic:blipFill>
                  <pic:spPr>
                    <a:xfrm>
                      <a:off x="0" y="0"/>
                      <a:ext cx="5577205" cy="3263265"/>
                    </a:xfrm>
                    <a:prstGeom prst="rect">
                      <a:avLst/>
                    </a:prstGeom>
                    <a:noFill/>
                    <a:ln>
                      <a:noFill/>
                    </a:ln>
                  </pic:spPr>
                </pic:pic>
              </a:graphicData>
            </a:graphic>
          </wp:inline>
        </w:drawing>
      </w:r>
      <w:r>
        <w:rPr>
          <w:rFonts w:hint="default" w:ascii="Times New Roman" w:hAnsi="Times New Roman" w:cs="Times New Roman"/>
          <w:color w:val="auto"/>
          <w:position w:val="-96"/>
        </w:rPr>
        <w:drawing>
          <wp:inline distT="0" distB="0" distL="114300" distR="114300">
            <wp:extent cx="5575300" cy="3053715"/>
            <wp:effectExtent l="0" t="0" r="6350" b="13335"/>
            <wp:docPr id="9" name="图片 4"/>
            <wp:cNvGraphicFramePr/>
            <a:graphic xmlns:a="http://schemas.openxmlformats.org/drawingml/2006/main">
              <a:graphicData uri="http://schemas.openxmlformats.org/drawingml/2006/picture">
                <pic:pic xmlns:pic="http://schemas.openxmlformats.org/drawingml/2006/picture">
                  <pic:nvPicPr>
                    <pic:cNvPr id="9" name="图片 4"/>
                    <pic:cNvPicPr/>
                  </pic:nvPicPr>
                  <pic:blipFill>
                    <a:blip r:embed="rId28"/>
                    <a:stretch>
                      <a:fillRect/>
                    </a:stretch>
                  </pic:blipFill>
                  <pic:spPr>
                    <a:xfrm>
                      <a:off x="0" y="0"/>
                      <a:ext cx="5575300" cy="3053715"/>
                    </a:xfrm>
                    <a:prstGeom prst="rect">
                      <a:avLst/>
                    </a:prstGeom>
                    <a:noFill/>
                    <a:ln>
                      <a:noFill/>
                    </a:ln>
                  </pic:spPr>
                </pic:pic>
              </a:graphicData>
            </a:graphic>
          </wp:inline>
        </w:drawing>
      </w:r>
    </w:p>
    <w:p w14:paraId="4C5F5595">
      <w:pPr>
        <w:numPr>
          <w:ilvl w:val="0"/>
          <w:numId w:val="0"/>
        </w:numPr>
        <w:tabs>
          <w:tab w:val="left" w:pos="0"/>
        </w:tabs>
        <w:bidi w:val="0"/>
        <w:ind w:left="0" w:leftChars="0" w:firstLine="0" w:firstLineChars="0"/>
        <w:jc w:val="center"/>
        <w:outlineLvl w:val="9"/>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snapToGrid w:val="0"/>
          <w:color w:val="auto"/>
          <w:kern w:val="0"/>
          <w:sz w:val="24"/>
          <w:szCs w:val="21"/>
          <w:lang w:val="en-US" w:eastAsia="en-US" w:bidi="ar-SA"/>
        </w:rPr>
        <w:t>图2.</w:t>
      </w:r>
      <w:r>
        <w:rPr>
          <w:rFonts w:hint="eastAsia" w:cs="Times New Roman"/>
          <w:b/>
          <w:bCs/>
          <w:snapToGrid w:val="0"/>
          <w:color w:val="auto"/>
          <w:kern w:val="0"/>
          <w:sz w:val="24"/>
          <w:szCs w:val="21"/>
          <w:lang w:val="en-US" w:eastAsia="zh-CN" w:bidi="ar-SA"/>
        </w:rPr>
        <w:t>3</w:t>
      </w:r>
      <w:r>
        <w:rPr>
          <w:rFonts w:hint="default" w:ascii="Times New Roman" w:hAnsi="Times New Roman" w:eastAsia="宋体" w:cs="Times New Roman"/>
          <w:b/>
          <w:bCs/>
          <w:snapToGrid w:val="0"/>
          <w:color w:val="auto"/>
          <w:kern w:val="0"/>
          <w:sz w:val="24"/>
          <w:szCs w:val="21"/>
          <w:lang w:val="en-US" w:eastAsia="en-US" w:bidi="ar-SA"/>
        </w:rPr>
        <w:t>-</w:t>
      </w:r>
      <w:r>
        <w:rPr>
          <w:rFonts w:hint="default" w:ascii="Times New Roman" w:hAnsi="Times New Roman" w:eastAsia="宋体" w:cs="Times New Roman"/>
          <w:b/>
          <w:bCs/>
          <w:snapToGrid w:val="0"/>
          <w:color w:val="auto"/>
          <w:kern w:val="0"/>
          <w:sz w:val="24"/>
          <w:szCs w:val="21"/>
          <w:lang w:val="en-US" w:eastAsia="zh-CN" w:bidi="ar-SA"/>
        </w:rPr>
        <w:t>3</w:t>
      </w:r>
      <w:r>
        <w:rPr>
          <w:rFonts w:hint="default" w:ascii="Times New Roman" w:hAnsi="Times New Roman" w:eastAsia="宋体" w:cs="Times New Roman"/>
          <w:b/>
          <w:bCs/>
          <w:snapToGrid w:val="0"/>
          <w:color w:val="auto"/>
          <w:kern w:val="0"/>
          <w:sz w:val="24"/>
          <w:szCs w:val="21"/>
          <w:lang w:val="en-US" w:eastAsia="en-US" w:bidi="ar-SA"/>
        </w:rPr>
        <w:t xml:space="preserve">  </w:t>
      </w:r>
      <w:r>
        <w:rPr>
          <w:rFonts w:hint="default" w:ascii="Times New Roman" w:hAnsi="Times New Roman" w:eastAsia="宋体" w:cs="Times New Roman"/>
          <w:b/>
          <w:bCs/>
          <w:color w:val="auto"/>
          <w:spacing w:val="0"/>
          <w:w w:val="100"/>
          <w:kern w:val="0"/>
          <w:position w:val="0"/>
          <w:sz w:val="24"/>
          <w:szCs w:val="24"/>
          <w:lang w:val="en-US" w:eastAsia="zh-CN"/>
        </w:rPr>
        <w:t>匝道</w:t>
      </w:r>
      <w:r>
        <w:rPr>
          <w:rFonts w:hint="default" w:ascii="Times New Roman" w:hAnsi="Times New Roman" w:eastAsia="宋体" w:cs="Times New Roman"/>
          <w:b/>
          <w:bCs/>
          <w:color w:val="auto"/>
          <w:spacing w:val="0"/>
          <w:w w:val="100"/>
          <w:kern w:val="0"/>
          <w:position w:val="0"/>
          <w:sz w:val="24"/>
          <w:szCs w:val="24"/>
        </w:rPr>
        <w:t>路基</w:t>
      </w:r>
      <w:r>
        <w:rPr>
          <w:rFonts w:hint="default" w:ascii="Times New Roman" w:hAnsi="Times New Roman" w:eastAsia="宋体" w:cs="Times New Roman"/>
          <w:b/>
          <w:bCs/>
          <w:color w:val="auto"/>
          <w:spacing w:val="0"/>
          <w:w w:val="100"/>
          <w:kern w:val="0"/>
          <w:position w:val="0"/>
          <w:sz w:val="24"/>
          <w:szCs w:val="24"/>
          <w:lang w:val="en-US" w:eastAsia="zh-CN"/>
        </w:rPr>
        <w:t>标准</w:t>
      </w:r>
      <w:r>
        <w:rPr>
          <w:rFonts w:hint="default" w:ascii="Times New Roman" w:hAnsi="Times New Roman" w:eastAsia="宋体" w:cs="Times New Roman"/>
          <w:b/>
          <w:bCs/>
          <w:color w:val="auto"/>
          <w:spacing w:val="0"/>
          <w:w w:val="100"/>
          <w:kern w:val="0"/>
          <w:position w:val="0"/>
          <w:sz w:val="24"/>
          <w:szCs w:val="24"/>
        </w:rPr>
        <w:t>横断面</w:t>
      </w:r>
      <w:r>
        <w:rPr>
          <w:rFonts w:hint="default" w:ascii="Times New Roman" w:hAnsi="Times New Roman" w:eastAsia="宋体" w:cs="Times New Roman"/>
          <w:b/>
          <w:bCs/>
          <w:color w:val="auto"/>
          <w:spacing w:val="0"/>
          <w:w w:val="100"/>
          <w:kern w:val="0"/>
          <w:position w:val="0"/>
          <w:sz w:val="24"/>
          <w:szCs w:val="24"/>
          <w:lang w:val="en-US" w:eastAsia="zh-CN"/>
        </w:rPr>
        <w:t>图</w:t>
      </w:r>
    </w:p>
    <w:p w14:paraId="2EF216D5">
      <w:pPr>
        <w:pStyle w:val="4"/>
        <w:numPr>
          <w:ilvl w:val="1"/>
          <w:numId w:val="0"/>
        </w:numPr>
        <w:ind w:left="578" w:leftChars="0" w:hanging="578" w:firstLineChars="0"/>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en-US"/>
        </w:rPr>
        <w:t>2.</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en-US"/>
        </w:rPr>
        <w:t>.</w:t>
      </w:r>
      <w:r>
        <w:rPr>
          <w:rFonts w:hint="eastAsia" w:cs="Times New Roman"/>
          <w:color w:val="auto"/>
          <w:lang w:val="en-US" w:eastAsia="zh-CN"/>
        </w:rPr>
        <w:t>4</w:t>
      </w:r>
      <w:r>
        <w:rPr>
          <w:rFonts w:hint="default" w:ascii="Times New Roman" w:hAnsi="Times New Roman" w:eastAsia="宋体" w:cs="Times New Roman"/>
          <w:color w:val="auto"/>
          <w:lang w:val="en-US" w:eastAsia="zh-CN"/>
        </w:rPr>
        <w:t xml:space="preserve"> 路面工程</w:t>
      </w:r>
    </w:p>
    <w:p w14:paraId="6C02A862">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3" w:firstLine="482"/>
        <w:jc w:val="both"/>
        <w:textAlignment w:val="baseline"/>
        <w:rPr>
          <w:rFonts w:hint="default" w:ascii="Times New Roman" w:hAnsi="Times New Roman" w:eastAsia="宋体" w:cs="Times New Roman"/>
          <w:snapToGrid w:val="0"/>
          <w:color w:val="auto"/>
          <w:kern w:val="0"/>
          <w:sz w:val="24"/>
          <w:szCs w:val="21"/>
          <w:lang w:val="en-US" w:eastAsia="en-US" w:bidi="ar-SA"/>
        </w:rPr>
      </w:pPr>
      <w:r>
        <w:rPr>
          <w:rFonts w:hint="default" w:ascii="Times New Roman" w:hAnsi="Times New Roman" w:eastAsia="宋体" w:cs="Times New Roman"/>
          <w:snapToGrid w:val="0"/>
          <w:color w:val="auto"/>
          <w:kern w:val="0"/>
          <w:sz w:val="24"/>
          <w:szCs w:val="21"/>
          <w:lang w:val="en-US" w:eastAsia="zh-CN" w:bidi="ar-SA"/>
        </w:rPr>
        <w:t>（1）主线和匝道路面：项目</w:t>
      </w:r>
      <w:r>
        <w:rPr>
          <w:rFonts w:hint="default" w:ascii="Times New Roman" w:hAnsi="Times New Roman" w:eastAsia="宋体" w:cs="Times New Roman"/>
          <w:snapToGrid w:val="0"/>
          <w:color w:val="auto"/>
          <w:kern w:val="0"/>
          <w:sz w:val="24"/>
          <w:szCs w:val="21"/>
          <w:lang w:val="en-US" w:eastAsia="en-US" w:bidi="ar-SA"/>
        </w:rPr>
        <w:t>全路主线及立交各匝道采用沥青砼路面，结构型式：4cmSBS改性SMA-13上面层＋6cmSBS改性AC-20C中面层＋8cmAC-25C下面层+20cm水泥稳定碎石基层＋20cm水泥稳定碎石底基层+20cm水泥稳定碎石路基改善层</w:t>
      </w:r>
      <w:r>
        <w:rPr>
          <w:rFonts w:hint="default" w:ascii="Times New Roman" w:hAnsi="Times New Roman" w:eastAsia="宋体" w:cs="Times New Roman"/>
          <w:snapToGrid w:val="0"/>
          <w:color w:val="auto"/>
          <w:kern w:val="0"/>
          <w:sz w:val="24"/>
          <w:szCs w:val="21"/>
          <w:lang w:val="en-US" w:eastAsia="zh-CN" w:bidi="ar-SA"/>
        </w:rPr>
        <w:t>。</w:t>
      </w:r>
    </w:p>
    <w:p w14:paraId="7D6C8970">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3" w:firstLine="482"/>
        <w:jc w:val="both"/>
        <w:textAlignment w:val="baseline"/>
        <w:rPr>
          <w:rFonts w:hint="default" w:ascii="Times New Roman" w:hAnsi="Times New Roman" w:eastAsia="宋体" w:cs="Times New Roman"/>
          <w:snapToGrid w:val="0"/>
          <w:color w:val="auto"/>
          <w:kern w:val="0"/>
          <w:sz w:val="24"/>
          <w:szCs w:val="21"/>
          <w:lang w:val="en-US" w:eastAsia="zh-CN" w:bidi="ar-SA"/>
        </w:rPr>
      </w:pPr>
      <w:r>
        <w:rPr>
          <w:rFonts w:hint="default" w:ascii="Times New Roman" w:hAnsi="Times New Roman" w:eastAsia="宋体" w:cs="Times New Roman"/>
          <w:snapToGrid w:val="0"/>
          <w:color w:val="auto"/>
          <w:kern w:val="0"/>
          <w:sz w:val="24"/>
          <w:szCs w:val="21"/>
          <w:lang w:val="en-US" w:eastAsia="zh-CN" w:bidi="ar-SA"/>
        </w:rPr>
        <w:t>（2）</w:t>
      </w:r>
      <w:r>
        <w:rPr>
          <w:rFonts w:hint="default" w:ascii="Times New Roman" w:hAnsi="Times New Roman" w:eastAsia="宋体" w:cs="Times New Roman"/>
          <w:snapToGrid w:val="0"/>
          <w:color w:val="auto"/>
          <w:kern w:val="0"/>
          <w:sz w:val="24"/>
          <w:szCs w:val="21"/>
          <w:lang w:val="en-US" w:eastAsia="en-US" w:bidi="ar-SA"/>
        </w:rPr>
        <w:t>桥面铺装：4cmSBS改性SMA-13上面层＋6cmSBS改性AC-20C中面层+ 8cmAC-25C下面层，下设防水</w:t>
      </w:r>
      <w:r>
        <w:rPr>
          <w:rFonts w:hint="eastAsia" w:ascii="Times New Roman" w:hAnsi="Times New Roman" w:eastAsia="宋体" w:cs="Times New Roman"/>
          <w:snapToGrid w:val="0"/>
          <w:color w:val="auto"/>
          <w:kern w:val="0"/>
          <w:sz w:val="24"/>
          <w:szCs w:val="21"/>
          <w:lang w:val="en-US" w:eastAsia="zh-CN" w:bidi="ar-SA"/>
        </w:rPr>
        <w:t>黏结</w:t>
      </w:r>
      <w:r>
        <w:rPr>
          <w:rFonts w:hint="default" w:ascii="Times New Roman" w:hAnsi="Times New Roman" w:eastAsia="宋体" w:cs="Times New Roman"/>
          <w:snapToGrid w:val="0"/>
          <w:color w:val="auto"/>
          <w:kern w:val="0"/>
          <w:sz w:val="24"/>
          <w:szCs w:val="21"/>
          <w:lang w:val="en-US" w:eastAsia="en-US" w:bidi="ar-SA"/>
        </w:rPr>
        <w:t>层，总厚度18cm</w:t>
      </w:r>
      <w:r>
        <w:rPr>
          <w:rFonts w:hint="default" w:ascii="Times New Roman" w:hAnsi="Times New Roman" w:eastAsia="宋体" w:cs="Times New Roman"/>
          <w:snapToGrid w:val="0"/>
          <w:color w:val="auto"/>
          <w:kern w:val="0"/>
          <w:sz w:val="24"/>
          <w:szCs w:val="21"/>
          <w:lang w:val="en-US" w:eastAsia="zh-CN" w:bidi="ar-SA"/>
        </w:rPr>
        <w:t>。</w:t>
      </w:r>
    </w:p>
    <w:p w14:paraId="3949E3BE">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3" w:firstLine="482"/>
        <w:jc w:val="both"/>
        <w:textAlignment w:val="baseline"/>
        <w:rPr>
          <w:rFonts w:hint="default" w:ascii="Times New Roman" w:hAnsi="Times New Roman" w:cs="Times New Roman"/>
          <w:color w:val="auto"/>
          <w:lang w:val="en-US" w:eastAsia="zh-CN"/>
        </w:rPr>
      </w:pPr>
      <w:r>
        <w:rPr>
          <w:rFonts w:hint="default" w:ascii="Times New Roman" w:hAnsi="Times New Roman" w:eastAsia="宋体" w:cs="Times New Roman"/>
          <w:snapToGrid w:val="0"/>
          <w:color w:val="auto"/>
          <w:kern w:val="0"/>
          <w:sz w:val="24"/>
          <w:szCs w:val="21"/>
          <w:lang w:val="en-US" w:eastAsia="zh-CN" w:bidi="ar-SA"/>
        </w:rPr>
        <w:t>（3）其他路面：</w:t>
      </w:r>
      <w:r>
        <w:rPr>
          <w:rFonts w:hint="default" w:ascii="Times New Roman" w:hAnsi="Times New Roman" w:eastAsia="宋体" w:cs="Times New Roman"/>
          <w:snapToGrid w:val="0"/>
          <w:color w:val="auto"/>
          <w:kern w:val="0"/>
          <w:sz w:val="24"/>
          <w:szCs w:val="21"/>
          <w:lang w:val="en-US" w:eastAsia="en-US" w:bidi="ar-SA"/>
        </w:rPr>
        <w:t>收费站采用水泥砼路面</w:t>
      </w:r>
      <w:r>
        <w:rPr>
          <w:rFonts w:hint="default"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color w:val="auto"/>
          <w:spacing w:val="0"/>
          <w:w w:val="100"/>
          <w:kern w:val="0"/>
          <w:position w:val="0"/>
          <w:sz w:val="24"/>
          <w:szCs w:val="24"/>
        </w:rPr>
        <w:t>机耕通道根据道路等级采用水泥混凝土路面或泥结碎石路面</w:t>
      </w:r>
      <w:r>
        <w:rPr>
          <w:rFonts w:hint="default" w:ascii="Times New Roman" w:hAnsi="Times New Roman"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土路肩采用培土植草绿化</w:t>
      </w:r>
      <w:r>
        <w:rPr>
          <w:rFonts w:hint="default" w:ascii="Times New Roman" w:hAnsi="Times New Roman" w:eastAsia="宋体" w:cs="Times New Roman"/>
          <w:snapToGrid w:val="0"/>
          <w:color w:val="auto"/>
          <w:kern w:val="0"/>
          <w:sz w:val="24"/>
          <w:szCs w:val="21"/>
          <w:lang w:val="en-US" w:eastAsia="en-US" w:bidi="ar-SA"/>
        </w:rPr>
        <w:t>。</w:t>
      </w:r>
    </w:p>
    <w:p w14:paraId="15EB825D">
      <w:pPr>
        <w:pStyle w:val="5"/>
        <w:numPr>
          <w:ilvl w:val="1"/>
          <w:numId w:val="0"/>
        </w:numPr>
        <w:ind w:left="578" w:leftChars="0" w:hanging="578" w:firstLineChars="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en-US"/>
        </w:rPr>
        <w:t>2.</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default" w:ascii="Times New Roman" w:hAnsi="Times New Roman" w:eastAsia="宋体" w:cs="Times New Roman"/>
          <w:b/>
          <w:bCs/>
          <w:color w:val="auto"/>
          <w:lang w:val="en-US" w:eastAsia="zh-CN"/>
        </w:rPr>
        <w:t>3 路基防护</w:t>
      </w:r>
    </w:p>
    <w:p w14:paraId="0F490BDB">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highlight w:val="none"/>
        </w:rPr>
        <w:t>（1）路基边坡</w:t>
      </w:r>
    </w:p>
    <w:p w14:paraId="49F2F8FA">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3" w:firstLine="482"/>
        <w:jc w:val="both"/>
        <w:textAlignment w:val="baseline"/>
        <w:rPr>
          <w:rFonts w:hint="default" w:ascii="Times New Roman" w:hAnsi="Times New Roman" w:eastAsia="宋体" w:cs="Times New Roman"/>
          <w:snapToGrid w:val="0"/>
          <w:color w:val="auto"/>
          <w:kern w:val="0"/>
          <w:sz w:val="24"/>
          <w:szCs w:val="21"/>
          <w:lang w:val="en-US" w:eastAsia="en-US" w:bidi="ar-SA"/>
        </w:rPr>
      </w:pPr>
      <w:r>
        <w:rPr>
          <w:rFonts w:hint="default" w:ascii="Times New Roman" w:hAnsi="Times New Roman" w:eastAsia="宋体" w:cs="Times New Roman"/>
          <w:snapToGrid w:val="0"/>
          <w:color w:val="auto"/>
          <w:kern w:val="0"/>
          <w:sz w:val="24"/>
          <w:szCs w:val="21"/>
          <w:lang w:val="en-US" w:eastAsia="en-US" w:bidi="ar-SA"/>
        </w:rPr>
        <w:t>①填方路堤：当路堤填筑高度小于8.0m时</w:t>
      </w:r>
      <w:r>
        <w:rPr>
          <w:rFonts w:hint="default"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en-US" w:bidi="ar-SA"/>
        </w:rPr>
        <w:t>边坡坡度</w:t>
      </w:r>
      <w:r>
        <w:rPr>
          <w:rFonts w:hint="eastAsia" w:ascii="Times New Roman" w:hAnsi="Times New Roman" w:eastAsia="宋体" w:cs="Times New Roman"/>
          <w:snapToGrid w:val="0"/>
          <w:color w:val="auto"/>
          <w:kern w:val="0"/>
          <w:sz w:val="24"/>
          <w:szCs w:val="21"/>
          <w:lang w:val="en-US" w:eastAsia="zh-CN" w:bidi="ar-SA"/>
        </w:rPr>
        <w:t>采用</w:t>
      </w:r>
      <w:r>
        <w:rPr>
          <w:rFonts w:hint="default" w:ascii="Times New Roman" w:hAnsi="Times New Roman" w:eastAsia="宋体" w:cs="Times New Roman"/>
          <w:snapToGrid w:val="0"/>
          <w:color w:val="auto"/>
          <w:kern w:val="0"/>
          <w:sz w:val="24"/>
          <w:szCs w:val="21"/>
          <w:lang w:val="en-US" w:eastAsia="en-US" w:bidi="ar-SA"/>
        </w:rPr>
        <w:t>1 :1.5；当填筑高度＞8m时，则按第一级高度6</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en-US" w:bidi="ar-SA"/>
        </w:rPr>
        <w:t>8m以上，第二级高度8</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en-US" w:bidi="ar-SA"/>
        </w:rPr>
        <w:t>12m以下分级，并设置不小于2m宽的边坡平台，第一级边坡坡度采用1</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en-US" w:bidi="ar-SA"/>
        </w:rPr>
        <w:t>1.5，第二级边坡坡度采用1</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en-US" w:bidi="ar-SA"/>
        </w:rPr>
        <w:t>1.75 。</w:t>
      </w:r>
    </w:p>
    <w:p w14:paraId="1665DD13">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3" w:firstLine="482"/>
        <w:jc w:val="both"/>
        <w:textAlignment w:val="baseline"/>
        <w:rPr>
          <w:rFonts w:hint="default" w:ascii="Times New Roman" w:hAnsi="Times New Roman" w:eastAsia="宋体" w:cs="Times New Roman"/>
          <w:snapToGrid w:val="0"/>
          <w:color w:val="auto"/>
          <w:kern w:val="0"/>
          <w:sz w:val="24"/>
          <w:szCs w:val="21"/>
          <w:lang w:val="en-US" w:eastAsia="en-US" w:bidi="ar-SA"/>
        </w:rPr>
      </w:pPr>
      <w:r>
        <w:rPr>
          <w:rFonts w:hint="default" w:ascii="Times New Roman" w:hAnsi="Times New Roman" w:eastAsia="宋体" w:cs="Times New Roman"/>
          <w:snapToGrid w:val="0"/>
          <w:color w:val="auto"/>
          <w:kern w:val="0"/>
          <w:sz w:val="24"/>
          <w:szCs w:val="21"/>
          <w:lang w:val="en-US" w:eastAsia="en-US" w:bidi="ar-SA"/>
        </w:rPr>
        <w:t>②挖方路堑：当路堑边坡平均坡度采用1</w:t>
      </w:r>
      <w:r>
        <w:rPr>
          <w:rFonts w:hint="eastAsia" w:ascii="Times New Roman" w:hAnsi="Times New Roman" w:eastAsia="宋体" w:cs="Times New Roman"/>
          <w:snapToGrid w:val="0"/>
          <w:color w:val="auto"/>
          <w:kern w:val="0"/>
          <w:sz w:val="24"/>
          <w:szCs w:val="21"/>
          <w:lang w:val="en-US" w:eastAsia="zh-CN" w:bidi="ar-SA"/>
        </w:rPr>
        <w:t>:</w:t>
      </w:r>
      <w:r>
        <w:rPr>
          <w:rFonts w:hint="default" w:ascii="Times New Roman" w:hAnsi="Times New Roman" w:eastAsia="宋体" w:cs="Times New Roman"/>
          <w:snapToGrid w:val="0"/>
          <w:color w:val="auto"/>
          <w:kern w:val="0"/>
          <w:sz w:val="24"/>
          <w:szCs w:val="21"/>
          <w:lang w:val="en-US" w:eastAsia="en-US" w:bidi="ar-SA"/>
        </w:rPr>
        <w:t>0.5 ~1.5，边坡高度每隔6～10m，设一碎落平台，平台宽2.0。</w:t>
      </w:r>
    </w:p>
    <w:p w14:paraId="2678CBCF">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防护工程</w:t>
      </w:r>
    </w:p>
    <w:p w14:paraId="280E25D7">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lang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针对</w:t>
      </w:r>
      <w:r>
        <w:rPr>
          <w:rFonts w:hint="default" w:ascii="Times New Roman" w:hAnsi="Times New Roman" w:cs="Times New Roman"/>
          <w:color w:val="auto"/>
          <w:highlight w:val="none"/>
          <w:lang w:val="en-US" w:eastAsia="zh-CN"/>
        </w:rPr>
        <w:t>线路经过的不同</w:t>
      </w:r>
      <w:r>
        <w:rPr>
          <w:rFonts w:hint="default" w:ascii="Times New Roman" w:hAnsi="Times New Roman" w:cs="Times New Roman"/>
          <w:color w:val="auto"/>
          <w:highlight w:val="none"/>
        </w:rPr>
        <w:t>地形、地质环境条件和稳定性的边坡，分别采用不同的路基及边坡防护措施，</w:t>
      </w:r>
      <w:r>
        <w:rPr>
          <w:rFonts w:hint="default" w:ascii="Times New Roman" w:hAnsi="Times New Roman" w:eastAsia="宋体" w:cs="Times New Roman"/>
          <w:color w:val="auto"/>
          <w:spacing w:val="0"/>
          <w:w w:val="100"/>
          <w:kern w:val="0"/>
          <w:position w:val="0"/>
          <w:sz w:val="24"/>
          <w:szCs w:val="24"/>
          <w:lang w:val="en-US" w:eastAsia="zh-CN"/>
        </w:rPr>
        <w:t>具体见</w:t>
      </w:r>
      <w:r>
        <w:rPr>
          <w:rFonts w:hint="eastAsia" w:cs="Times New Roman"/>
          <w:color w:val="auto"/>
          <w:spacing w:val="0"/>
          <w:w w:val="100"/>
          <w:kern w:val="0"/>
          <w:position w:val="0"/>
          <w:sz w:val="24"/>
          <w:szCs w:val="24"/>
          <w:lang w:val="en-US" w:eastAsia="zh-CN"/>
        </w:rPr>
        <w:t>下</w:t>
      </w:r>
      <w:r>
        <w:rPr>
          <w:rFonts w:hint="default" w:ascii="Times New Roman" w:hAnsi="Times New Roman" w:eastAsia="宋体" w:cs="Times New Roman"/>
          <w:color w:val="auto"/>
          <w:spacing w:val="0"/>
          <w:w w:val="100"/>
          <w:kern w:val="0"/>
          <w:position w:val="0"/>
          <w:sz w:val="24"/>
          <w:szCs w:val="24"/>
          <w:lang w:val="en-US" w:eastAsia="zh-CN"/>
        </w:rPr>
        <w:t>表</w:t>
      </w:r>
      <w:r>
        <w:rPr>
          <w:rFonts w:hint="default" w:ascii="Times New Roman" w:hAnsi="Times New Roman" w:cs="Times New Roman"/>
          <w:color w:val="auto"/>
          <w:highlight w:val="none"/>
        </w:rPr>
        <w:t>。</w:t>
      </w:r>
    </w:p>
    <w:p w14:paraId="7A689DA4">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4"/>
          <w:szCs w:val="24"/>
          <w:lang w:val="en-US" w:eastAsia="zh-CN" w:bidi="ar-SA"/>
        </w:rPr>
      </w:pPr>
      <w:r>
        <w:rPr>
          <w:rFonts w:hint="default" w:ascii="Times New Roman" w:hAnsi="Times New Roman" w:eastAsia="宋体" w:cs="Times New Roman"/>
          <w:b/>
          <w:bCs/>
          <w:snapToGrid w:val="0"/>
          <w:color w:val="auto"/>
          <w:spacing w:val="0"/>
          <w:w w:val="100"/>
          <w:kern w:val="0"/>
          <w:position w:val="0"/>
          <w:sz w:val="24"/>
          <w:szCs w:val="24"/>
          <w:lang w:val="en-US" w:eastAsia="zh-CN" w:bidi="ar-SA"/>
        </w:rPr>
        <w:t>表 2.</w:t>
      </w:r>
      <w:r>
        <w:rPr>
          <w:rFonts w:hint="eastAsia" w:ascii="Times New Roman" w:hAnsi="Times New Roman" w:eastAsia="宋体" w:cs="Times New Roman"/>
          <w:b/>
          <w:bCs/>
          <w:snapToGrid w:val="0"/>
          <w:color w:val="auto"/>
          <w:spacing w:val="0"/>
          <w:w w:val="100"/>
          <w:kern w:val="0"/>
          <w:position w:val="0"/>
          <w:sz w:val="24"/>
          <w:szCs w:val="24"/>
          <w:lang w:val="en-US" w:eastAsia="zh-CN" w:bidi="ar-SA"/>
        </w:rPr>
        <w:t>3</w:t>
      </w:r>
      <w:r>
        <w:rPr>
          <w:rFonts w:hint="default" w:ascii="Times New Roman" w:hAnsi="Times New Roman" w:eastAsia="宋体" w:cs="Times New Roman"/>
          <w:b/>
          <w:bCs/>
          <w:snapToGrid w:val="0"/>
          <w:color w:val="auto"/>
          <w:spacing w:val="0"/>
          <w:w w:val="100"/>
          <w:kern w:val="0"/>
          <w:position w:val="0"/>
          <w:sz w:val="24"/>
          <w:szCs w:val="24"/>
          <w:lang w:val="en-US" w:eastAsia="zh-CN" w:bidi="ar-SA"/>
        </w:rPr>
        <w:t>-</w:t>
      </w:r>
      <w:r>
        <w:rPr>
          <w:rFonts w:hint="eastAsia" w:ascii="Times New Roman" w:hAnsi="Times New Roman" w:eastAsia="宋体" w:cs="Times New Roman"/>
          <w:b/>
          <w:bCs/>
          <w:snapToGrid w:val="0"/>
          <w:color w:val="auto"/>
          <w:spacing w:val="0"/>
          <w:w w:val="100"/>
          <w:kern w:val="0"/>
          <w:position w:val="0"/>
          <w:sz w:val="24"/>
          <w:szCs w:val="24"/>
          <w:lang w:val="en-US" w:eastAsia="zh-CN" w:bidi="ar-SA"/>
        </w:rPr>
        <w:t>2</w:t>
      </w:r>
      <w:r>
        <w:rPr>
          <w:rFonts w:hint="default" w:ascii="Times New Roman" w:hAnsi="Times New Roman" w:eastAsia="宋体" w:cs="Times New Roman"/>
          <w:b/>
          <w:bCs/>
          <w:snapToGrid w:val="0"/>
          <w:color w:val="auto"/>
          <w:spacing w:val="0"/>
          <w:w w:val="100"/>
          <w:kern w:val="0"/>
          <w:position w:val="0"/>
          <w:sz w:val="24"/>
          <w:szCs w:val="24"/>
          <w:lang w:val="en-US" w:eastAsia="zh-CN" w:bidi="ar-SA"/>
        </w:rPr>
        <w:t xml:space="preserve">  路基防护措施布设情况表</w:t>
      </w:r>
    </w:p>
    <w:tbl>
      <w:tblPr>
        <w:tblStyle w:val="36"/>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41"/>
        <w:gridCol w:w="5362"/>
        <w:gridCol w:w="3548"/>
      </w:tblGrid>
      <w:tr w14:paraId="7CD62C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jc w:val="center"/>
        </w:trPr>
        <w:tc>
          <w:tcPr>
            <w:tcW w:w="431" w:type="pct"/>
            <w:tcBorders>
              <w:top w:val="single" w:color="000000" w:sz="4" w:space="0"/>
              <w:left w:val="single" w:color="000000" w:sz="4" w:space="0"/>
              <w:bottom w:val="single" w:color="000000" w:sz="4" w:space="0"/>
              <w:right w:val="single" w:color="000000" w:sz="4" w:space="0"/>
            </w:tcBorders>
            <w:noWrap w:val="0"/>
            <w:vAlign w:val="center"/>
          </w:tcPr>
          <w:p w14:paraId="35D9E1E4">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类别</w:t>
            </w: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5606A740">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布置位置</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6E2E701E">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本项目采取的</w:t>
            </w:r>
            <w:r>
              <w:rPr>
                <w:rFonts w:hint="default" w:ascii="Times New Roman" w:hAnsi="Times New Roman" w:eastAsia="宋体" w:cs="Times New Roman"/>
                <w:color w:val="auto"/>
                <w:sz w:val="21"/>
                <w:szCs w:val="21"/>
                <w:lang w:val="en-US" w:eastAsia="zh-CN"/>
              </w:rPr>
              <w:t>措施类型</w:t>
            </w:r>
          </w:p>
        </w:tc>
      </w:tr>
      <w:tr w14:paraId="08C48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jc w:val="center"/>
        </w:trPr>
        <w:tc>
          <w:tcPr>
            <w:tcW w:w="431" w:type="pct"/>
            <w:vMerge w:val="restart"/>
            <w:tcBorders>
              <w:top w:val="single" w:color="000000" w:sz="4" w:space="0"/>
              <w:left w:val="single" w:color="000000" w:sz="4" w:space="0"/>
              <w:bottom w:val="single" w:color="000000" w:sz="4" w:space="0"/>
              <w:right w:val="single" w:color="000000" w:sz="4" w:space="0"/>
            </w:tcBorders>
            <w:noWrap w:val="0"/>
            <w:vAlign w:val="center"/>
          </w:tcPr>
          <w:p w14:paraId="45EA63DA">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路堑边坡防护</w:t>
            </w: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26E84477">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坡比缓于1</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 ，边坡总高度小于3m的土质边坡</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4872A27D">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采用直接喷播植草护坡</w:t>
            </w:r>
          </w:p>
        </w:tc>
      </w:tr>
      <w:tr w14:paraId="1116FD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6"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5461E76B">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right w:val="single" w:color="000000" w:sz="4" w:space="0"/>
            </w:tcBorders>
            <w:noWrap w:val="0"/>
            <w:vAlign w:val="center"/>
          </w:tcPr>
          <w:p w14:paraId="600A1034">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整体边坡稳定，坡比不陡于1</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0.75的砂泥岩互层边坡或边坡整体稳定，土建</w:t>
            </w:r>
            <w:r>
              <w:rPr>
                <w:rFonts w:hint="eastAsia" w:cs="Times New Roman"/>
                <w:color w:val="auto"/>
                <w:sz w:val="21"/>
                <w:szCs w:val="21"/>
                <w:lang w:val="en-US" w:eastAsia="zh-CN"/>
              </w:rPr>
              <w:t>未</w:t>
            </w:r>
            <w:r>
              <w:rPr>
                <w:rFonts w:hint="default" w:ascii="Times New Roman" w:hAnsi="Times New Roman" w:eastAsia="宋体" w:cs="Times New Roman"/>
                <w:color w:val="auto"/>
                <w:sz w:val="21"/>
                <w:szCs w:val="21"/>
                <w:lang w:val="en-US" w:eastAsia="zh-CN"/>
              </w:rPr>
              <w:t>采取工程防护措施，但岩体较为破碎的粉质泥岩、泥质砂岩（砂质泥岩）以及粉砂岩边坡</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22D6EE56">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采用挂铁丝网喷有机基材护坡</w:t>
            </w:r>
          </w:p>
        </w:tc>
      </w:tr>
      <w:tr w14:paraId="1E2E96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2866CD65">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0D4F9B01">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对软质岩、顺层及风化破碎岩质路堑边坡和自稳能力较差的二级及以上的挖方边坡</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02BCE85C">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采用框格锚杆+喷播灌草护坡</w:t>
            </w:r>
          </w:p>
        </w:tc>
      </w:tr>
      <w:tr w14:paraId="356D6A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431" w:type="pct"/>
            <w:vMerge w:val="restart"/>
            <w:tcBorders>
              <w:top w:val="single" w:color="000000" w:sz="4" w:space="0"/>
              <w:left w:val="single" w:color="000000" w:sz="4" w:space="0"/>
              <w:bottom w:val="single" w:color="000000" w:sz="4" w:space="0"/>
              <w:right w:val="single" w:color="000000" w:sz="4" w:space="0"/>
            </w:tcBorders>
            <w:noWrap w:val="0"/>
            <w:vAlign w:val="center"/>
          </w:tcPr>
          <w:p w14:paraId="6296E3E4">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路堤边坡防护</w:t>
            </w: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5B834C55">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边坡高度≤4m的填方边坡</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198DB6CD">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采用直接喷播植草护坡</w:t>
            </w:r>
          </w:p>
        </w:tc>
      </w:tr>
      <w:tr w14:paraId="49C288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1B14790B">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5D8AC262">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边坡高度＞4m的填方边坡</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4CCAFAB0">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采用菱形网格护坡</w:t>
            </w:r>
          </w:p>
        </w:tc>
      </w:tr>
      <w:tr w14:paraId="64D5C8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5E0F77FA">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533A0200">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边坡高度＞4m，且为超高单向横坡平曲线内侧边坡、凹形竖曲线底部两侧边坡以及桥头路堤（设置长度≥23m）两侧边坡</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480D8CB6">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采用拱形骨架护坡</w:t>
            </w:r>
          </w:p>
        </w:tc>
      </w:tr>
      <w:tr w14:paraId="4DBDFE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01D5ED38">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52F7CA92">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经过堰塘、河流地段常年受水流侵蚀或冲刷的路堤</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0CE30F5A">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采用实体护坡</w:t>
            </w:r>
          </w:p>
        </w:tc>
      </w:tr>
      <w:tr w14:paraId="7B931A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0D875B8C">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7C5275CF">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陡山坡上的半填半挖路基</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2F0256EB">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护肩</w:t>
            </w:r>
            <w:r>
              <w:rPr>
                <w:rFonts w:hint="default" w:ascii="Times New Roman" w:hAnsi="Times New Roman" w:cs="Times New Roman"/>
                <w:color w:val="auto"/>
                <w:sz w:val="21"/>
                <w:szCs w:val="21"/>
                <w:lang w:val="en-US" w:eastAsia="zh-CN"/>
              </w:rPr>
              <w:t>、护面墙</w:t>
            </w:r>
            <w:r>
              <w:rPr>
                <w:rFonts w:hint="default" w:ascii="Times New Roman" w:hAnsi="Times New Roman" w:eastAsia="宋体" w:cs="Times New Roman"/>
                <w:color w:val="auto"/>
                <w:sz w:val="21"/>
                <w:szCs w:val="21"/>
                <w:lang w:val="en-US" w:eastAsia="zh-CN"/>
              </w:rPr>
              <w:t>及护脚防护</w:t>
            </w:r>
          </w:p>
        </w:tc>
      </w:tr>
      <w:tr w14:paraId="680B49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431" w:type="pct"/>
            <w:vMerge w:val="continue"/>
            <w:tcBorders>
              <w:top w:val="single" w:color="000000" w:sz="4" w:space="0"/>
              <w:left w:val="single" w:color="000000" w:sz="4" w:space="0"/>
              <w:bottom w:val="single" w:color="000000" w:sz="4" w:space="0"/>
              <w:right w:val="single" w:color="000000" w:sz="4" w:space="0"/>
            </w:tcBorders>
            <w:noWrap w:val="0"/>
            <w:vAlign w:val="center"/>
          </w:tcPr>
          <w:p w14:paraId="4EF18887">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2749" w:type="pct"/>
            <w:tcBorders>
              <w:top w:val="single" w:color="000000" w:sz="4" w:space="0"/>
              <w:left w:val="single" w:color="000000" w:sz="4" w:space="0"/>
              <w:bottom w:val="single" w:color="000000" w:sz="4" w:space="0"/>
              <w:right w:val="single" w:color="000000" w:sz="4" w:space="0"/>
            </w:tcBorders>
            <w:noWrap w:val="0"/>
            <w:vAlign w:val="center"/>
          </w:tcPr>
          <w:p w14:paraId="59DE4178">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斜坡路段或与建筑物发生干扰路段的路堤、半路半桥路段和左右存在高差的分离式路基路段</w:t>
            </w:r>
          </w:p>
        </w:tc>
        <w:tc>
          <w:tcPr>
            <w:tcW w:w="1819" w:type="pct"/>
            <w:tcBorders>
              <w:top w:val="single" w:color="000000" w:sz="4" w:space="0"/>
              <w:left w:val="single" w:color="000000" w:sz="4" w:space="0"/>
              <w:bottom w:val="single" w:color="000000" w:sz="4" w:space="0"/>
              <w:right w:val="single" w:color="000000" w:sz="4" w:space="0"/>
            </w:tcBorders>
            <w:noWrap w:val="0"/>
            <w:vAlign w:val="center"/>
          </w:tcPr>
          <w:p w14:paraId="17967ACF">
            <w:pPr>
              <w:spacing w:before="0"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挡土墙防护</w:t>
            </w:r>
          </w:p>
        </w:tc>
      </w:tr>
    </w:tbl>
    <w:p w14:paraId="65EC3BFB">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3）高填深挖路段</w:t>
      </w:r>
    </w:p>
    <w:p w14:paraId="435E1FA1">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472" w:firstLineChars="200"/>
        <w:textAlignment w:val="baseline"/>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2"/>
          <w:sz w:val="24"/>
          <w:szCs w:val="24"/>
          <w:lang w:val="en-US" w:eastAsia="zh-CN"/>
        </w:rPr>
        <w:t>项目</w:t>
      </w:r>
      <w:r>
        <w:rPr>
          <w:rFonts w:hint="default" w:ascii="Times New Roman" w:hAnsi="Times New Roman" w:eastAsia="宋体" w:cs="Times New Roman"/>
          <w:color w:val="auto"/>
          <w:spacing w:val="-3"/>
          <w:sz w:val="24"/>
          <w:szCs w:val="24"/>
        </w:rPr>
        <w:t>由于路线地形起伏较大，虽通过平纵调整，</w:t>
      </w:r>
      <w:r>
        <w:rPr>
          <w:rFonts w:hint="default" w:ascii="Times New Roman" w:hAnsi="Times New Roman" w:eastAsia="宋体" w:cs="Times New Roman"/>
          <w:color w:val="auto"/>
          <w:spacing w:val="-3"/>
          <w:sz w:val="24"/>
          <w:szCs w:val="24"/>
          <w:lang w:val="en-US" w:eastAsia="zh-CN"/>
        </w:rPr>
        <w:t>本项目</w:t>
      </w:r>
      <w:r>
        <w:rPr>
          <w:rFonts w:hint="default" w:ascii="Times New Roman" w:hAnsi="Times New Roman" w:eastAsia="宋体" w:cs="Times New Roman"/>
          <w:color w:val="auto"/>
          <w:spacing w:val="-4"/>
          <w:sz w:val="24"/>
          <w:szCs w:val="24"/>
        </w:rPr>
        <w:t>仍有2处深挖路堑，</w:t>
      </w:r>
      <w:r>
        <w:rPr>
          <w:rFonts w:hint="default" w:ascii="Times New Roman" w:hAnsi="Times New Roman" w:eastAsia="宋体" w:cs="Times New Roman"/>
          <w:color w:val="auto"/>
          <w:spacing w:val="-2"/>
          <w:sz w:val="24"/>
          <w:szCs w:val="24"/>
        </w:rPr>
        <w:t>分别位于</w:t>
      </w:r>
      <w:r>
        <w:rPr>
          <w:rFonts w:hint="default" w:ascii="Times New Roman" w:hAnsi="Times New Roman" w:eastAsia="宋体" w:cs="Times New Roman"/>
          <w:color w:val="auto"/>
          <w:spacing w:val="-52"/>
          <w:sz w:val="24"/>
          <w:szCs w:val="24"/>
        </w:rPr>
        <w:t xml:space="preserve"> </w:t>
      </w:r>
      <w:r>
        <w:rPr>
          <w:rFonts w:hint="default" w:ascii="Times New Roman" w:hAnsi="Times New Roman" w:eastAsia="宋体" w:cs="Times New Roman"/>
          <w:color w:val="auto"/>
          <w:spacing w:val="-2"/>
          <w:sz w:val="24"/>
          <w:szCs w:val="24"/>
        </w:rPr>
        <w:t>K76+240~K76+310右侧、K73+765~K73+895右侧</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对深挖路堑采用框格锚杆进行支护</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lang w:val="en-US" w:eastAsia="zh-CN"/>
        </w:rPr>
        <w:t>另</w:t>
      </w:r>
      <w:r>
        <w:rPr>
          <w:rFonts w:hint="default" w:ascii="Times New Roman" w:hAnsi="Times New Roman" w:eastAsia="宋体" w:cs="Times New Roman"/>
          <w:color w:val="auto"/>
          <w:spacing w:val="-2"/>
          <w:sz w:val="24"/>
          <w:szCs w:val="24"/>
          <w:lang w:eastAsia="zh-CN"/>
        </w:rPr>
        <w:t>小沔枢纽互通</w:t>
      </w:r>
      <w:r>
        <w:rPr>
          <w:rFonts w:hint="default" w:ascii="Times New Roman" w:hAnsi="Times New Roman" w:eastAsia="宋体" w:cs="Times New Roman"/>
          <w:color w:val="auto"/>
          <w:spacing w:val="-2"/>
          <w:sz w:val="24"/>
          <w:szCs w:val="24"/>
        </w:rPr>
        <w:t>有</w:t>
      </w:r>
      <w:r>
        <w:rPr>
          <w:rFonts w:hint="default" w:ascii="Times New Roman" w:hAnsi="Times New Roman" w:eastAsia="宋体" w:cs="Times New Roman"/>
          <w:color w:val="auto"/>
          <w:spacing w:val="-2"/>
          <w:sz w:val="24"/>
          <w:szCs w:val="24"/>
          <w:lang w:val="en-US" w:eastAsia="zh-CN"/>
        </w:rPr>
        <w:t>1</w:t>
      </w:r>
      <w:r>
        <w:rPr>
          <w:rFonts w:hint="default" w:ascii="Times New Roman" w:hAnsi="Times New Roman" w:eastAsia="宋体" w:cs="Times New Roman"/>
          <w:color w:val="auto"/>
          <w:spacing w:val="-2"/>
          <w:sz w:val="24"/>
          <w:szCs w:val="24"/>
        </w:rPr>
        <w:t>处高填路堤，位于K78+650~K78+850</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对高填路段边坡采用了拱形骨架护坡。</w:t>
      </w:r>
      <w:r>
        <w:rPr>
          <w:rFonts w:hint="default" w:ascii="Times New Roman" w:hAnsi="Times New Roman" w:eastAsia="宋体" w:cs="Times New Roman"/>
          <w:color w:val="auto"/>
          <w:spacing w:val="0"/>
          <w:w w:val="100"/>
          <w:kern w:val="0"/>
          <w:position w:val="0"/>
          <w:sz w:val="24"/>
          <w:szCs w:val="24"/>
          <w:lang w:val="en-US" w:eastAsia="zh-CN"/>
        </w:rPr>
        <w:t>具体见表2.5-2</w:t>
      </w:r>
      <w:r>
        <w:rPr>
          <w:rFonts w:hint="default" w:ascii="Times New Roman" w:hAnsi="Times New Roman" w:cs="Times New Roman"/>
          <w:color w:val="auto"/>
          <w:spacing w:val="0"/>
          <w:w w:val="100"/>
          <w:kern w:val="0"/>
          <w:position w:val="0"/>
          <w:sz w:val="24"/>
          <w:szCs w:val="24"/>
          <w:lang w:val="en-US" w:eastAsia="zh-CN"/>
        </w:rPr>
        <w:t>。</w:t>
      </w:r>
    </w:p>
    <w:p w14:paraId="23F7BEF8">
      <w:pPr>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firstLine="0" w:firstLineChars="0"/>
        <w:jc w:val="center"/>
        <w:textAlignment w:val="baseline"/>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b/>
          <w:bCs/>
          <w:snapToGrid w:val="0"/>
          <w:color w:val="auto"/>
          <w:kern w:val="0"/>
          <w:sz w:val="24"/>
          <w:szCs w:val="18"/>
          <w:lang w:val="en-US" w:eastAsia="zh-CN" w:bidi="ar-SA"/>
        </w:rPr>
        <w:t>表2.</w:t>
      </w:r>
      <w:r>
        <w:rPr>
          <w:rFonts w:hint="eastAsia" w:cs="Times New Roman"/>
          <w:b/>
          <w:bCs/>
          <w:snapToGrid w:val="0"/>
          <w:color w:val="auto"/>
          <w:kern w:val="0"/>
          <w:sz w:val="24"/>
          <w:szCs w:val="18"/>
          <w:lang w:val="en-US" w:eastAsia="zh-CN" w:bidi="ar-SA"/>
        </w:rPr>
        <w:t>3</w:t>
      </w:r>
      <w:r>
        <w:rPr>
          <w:rFonts w:hint="default" w:ascii="Times New Roman" w:hAnsi="Times New Roman" w:eastAsia="宋体" w:cs="Times New Roman"/>
          <w:b/>
          <w:bCs/>
          <w:snapToGrid w:val="0"/>
          <w:color w:val="auto"/>
          <w:kern w:val="0"/>
          <w:sz w:val="24"/>
          <w:szCs w:val="18"/>
          <w:lang w:val="en-US" w:eastAsia="zh-CN" w:bidi="ar-SA"/>
        </w:rPr>
        <w:t>-</w:t>
      </w:r>
      <w:r>
        <w:rPr>
          <w:rFonts w:hint="eastAsia" w:cs="Times New Roman"/>
          <w:b/>
          <w:bCs/>
          <w:snapToGrid w:val="0"/>
          <w:color w:val="auto"/>
          <w:kern w:val="0"/>
          <w:sz w:val="24"/>
          <w:szCs w:val="18"/>
          <w:lang w:val="en-US" w:eastAsia="zh-CN" w:bidi="ar-SA"/>
        </w:rPr>
        <w:t>4</w:t>
      </w:r>
      <w:r>
        <w:rPr>
          <w:rFonts w:hint="default" w:ascii="Times New Roman" w:hAnsi="Times New Roman" w:eastAsia="宋体" w:cs="Times New Roman"/>
          <w:b/>
          <w:bCs/>
          <w:snapToGrid w:val="0"/>
          <w:color w:val="auto"/>
          <w:kern w:val="0"/>
          <w:sz w:val="24"/>
          <w:szCs w:val="18"/>
          <w:lang w:val="en-US" w:eastAsia="zh-CN" w:bidi="ar-SA"/>
        </w:rPr>
        <w:t xml:space="preserve">  项目高路堤和深路堑路段一览表</w:t>
      </w:r>
    </w:p>
    <w:tbl>
      <w:tblPr>
        <w:tblStyle w:val="3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56"/>
        <w:gridCol w:w="2138"/>
        <w:gridCol w:w="656"/>
        <w:gridCol w:w="1158"/>
        <w:gridCol w:w="1450"/>
        <w:gridCol w:w="1306"/>
        <w:gridCol w:w="2087"/>
      </w:tblGrid>
      <w:tr w14:paraId="78D032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490" w:type="pct"/>
            <w:tcBorders>
              <w:tl2br w:val="nil"/>
              <w:tr2bl w:val="nil"/>
            </w:tcBorders>
            <w:noWrap w:val="0"/>
            <w:vAlign w:val="center"/>
          </w:tcPr>
          <w:p w14:paraId="5F651415">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序号</w:t>
            </w:r>
          </w:p>
        </w:tc>
        <w:tc>
          <w:tcPr>
            <w:tcW w:w="1095" w:type="pct"/>
            <w:tcBorders>
              <w:tl2br w:val="nil"/>
              <w:tr2bl w:val="nil"/>
            </w:tcBorders>
            <w:noWrap w:val="0"/>
            <w:vAlign w:val="center"/>
          </w:tcPr>
          <w:p w14:paraId="25696A97">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起讫桩号</w:t>
            </w:r>
          </w:p>
        </w:tc>
        <w:tc>
          <w:tcPr>
            <w:tcW w:w="336" w:type="pct"/>
            <w:tcBorders>
              <w:tl2br w:val="nil"/>
              <w:tr2bl w:val="nil"/>
            </w:tcBorders>
            <w:noWrap w:val="0"/>
            <w:vAlign w:val="center"/>
          </w:tcPr>
          <w:p w14:paraId="04FE167C">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位置</w:t>
            </w:r>
          </w:p>
        </w:tc>
        <w:tc>
          <w:tcPr>
            <w:tcW w:w="593" w:type="pct"/>
            <w:tcBorders>
              <w:tl2br w:val="nil"/>
              <w:tr2bl w:val="nil"/>
            </w:tcBorders>
            <w:noWrap w:val="0"/>
            <w:vAlign w:val="center"/>
          </w:tcPr>
          <w:p w14:paraId="2330D151">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类型</w:t>
            </w:r>
          </w:p>
        </w:tc>
        <w:tc>
          <w:tcPr>
            <w:tcW w:w="743" w:type="pct"/>
            <w:tcBorders>
              <w:tl2br w:val="nil"/>
              <w:tr2bl w:val="nil"/>
            </w:tcBorders>
            <w:noWrap w:val="0"/>
            <w:vAlign w:val="center"/>
          </w:tcPr>
          <w:p w14:paraId="51B06765">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长度（m）</w:t>
            </w:r>
          </w:p>
        </w:tc>
        <w:tc>
          <w:tcPr>
            <w:tcW w:w="669" w:type="pct"/>
            <w:tcBorders>
              <w:tl2br w:val="nil"/>
              <w:tr2bl w:val="nil"/>
            </w:tcBorders>
            <w:noWrap w:val="0"/>
            <w:vAlign w:val="center"/>
          </w:tcPr>
          <w:p w14:paraId="6432379E">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边坡最大高度（m）</w:t>
            </w:r>
          </w:p>
        </w:tc>
        <w:tc>
          <w:tcPr>
            <w:tcW w:w="1069" w:type="pct"/>
            <w:tcBorders>
              <w:tl2br w:val="nil"/>
              <w:tr2bl w:val="nil"/>
            </w:tcBorders>
            <w:noWrap w:val="0"/>
            <w:vAlign w:val="center"/>
          </w:tcPr>
          <w:p w14:paraId="4686B56E">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边坡处置方式</w:t>
            </w:r>
          </w:p>
        </w:tc>
      </w:tr>
      <w:tr w14:paraId="58D37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490" w:type="pct"/>
            <w:tcBorders>
              <w:tl2br w:val="nil"/>
              <w:tr2bl w:val="nil"/>
            </w:tcBorders>
            <w:noWrap w:val="0"/>
            <w:vAlign w:val="center"/>
          </w:tcPr>
          <w:p w14:paraId="1D90E878">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w:t>
            </w:r>
          </w:p>
        </w:tc>
        <w:tc>
          <w:tcPr>
            <w:tcW w:w="1095" w:type="pct"/>
            <w:tcBorders>
              <w:tl2br w:val="nil"/>
              <w:tr2bl w:val="nil"/>
            </w:tcBorders>
            <w:noWrap w:val="0"/>
            <w:vAlign w:val="center"/>
          </w:tcPr>
          <w:p w14:paraId="64138A61">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K73+765~K73+895</w:t>
            </w:r>
          </w:p>
        </w:tc>
        <w:tc>
          <w:tcPr>
            <w:tcW w:w="336" w:type="pct"/>
            <w:tcBorders>
              <w:tl2br w:val="nil"/>
              <w:tr2bl w:val="nil"/>
            </w:tcBorders>
            <w:noWrap w:val="0"/>
            <w:vAlign w:val="center"/>
          </w:tcPr>
          <w:p w14:paraId="2232DE50">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右侧</w:t>
            </w:r>
          </w:p>
        </w:tc>
        <w:tc>
          <w:tcPr>
            <w:tcW w:w="593" w:type="pct"/>
            <w:tcBorders>
              <w:tl2br w:val="nil"/>
              <w:tr2bl w:val="nil"/>
            </w:tcBorders>
            <w:noWrap w:val="0"/>
            <w:vAlign w:val="center"/>
          </w:tcPr>
          <w:p w14:paraId="4E6556EC">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深挖路堑</w:t>
            </w:r>
          </w:p>
        </w:tc>
        <w:tc>
          <w:tcPr>
            <w:tcW w:w="743" w:type="pct"/>
            <w:tcBorders>
              <w:tl2br w:val="nil"/>
              <w:tr2bl w:val="nil"/>
            </w:tcBorders>
            <w:noWrap w:val="0"/>
            <w:vAlign w:val="center"/>
          </w:tcPr>
          <w:p w14:paraId="1659D508">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130</w:t>
            </w:r>
          </w:p>
        </w:tc>
        <w:tc>
          <w:tcPr>
            <w:tcW w:w="669" w:type="pct"/>
            <w:tcBorders>
              <w:tl2br w:val="nil"/>
              <w:tr2bl w:val="nil"/>
            </w:tcBorders>
            <w:noWrap w:val="0"/>
            <w:vAlign w:val="center"/>
          </w:tcPr>
          <w:p w14:paraId="0910C675">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35.80</w:t>
            </w:r>
          </w:p>
        </w:tc>
        <w:tc>
          <w:tcPr>
            <w:tcW w:w="1069" w:type="pct"/>
            <w:tcBorders>
              <w:tl2br w:val="nil"/>
              <w:tr2bl w:val="nil"/>
            </w:tcBorders>
            <w:noWrap w:val="0"/>
            <w:vAlign w:val="center"/>
          </w:tcPr>
          <w:p w14:paraId="2967D24C">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4m×3m框格锚杆</w:t>
            </w:r>
          </w:p>
        </w:tc>
      </w:tr>
      <w:tr w14:paraId="519E40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jc w:val="center"/>
        </w:trPr>
        <w:tc>
          <w:tcPr>
            <w:tcW w:w="490" w:type="pct"/>
            <w:tcBorders>
              <w:tl2br w:val="nil"/>
              <w:tr2bl w:val="nil"/>
            </w:tcBorders>
            <w:noWrap w:val="0"/>
            <w:vAlign w:val="center"/>
          </w:tcPr>
          <w:p w14:paraId="4A76EC13">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w:t>
            </w:r>
          </w:p>
        </w:tc>
        <w:tc>
          <w:tcPr>
            <w:tcW w:w="1095" w:type="pct"/>
            <w:tcBorders>
              <w:tl2br w:val="nil"/>
              <w:tr2bl w:val="nil"/>
            </w:tcBorders>
            <w:noWrap w:val="0"/>
            <w:vAlign w:val="center"/>
          </w:tcPr>
          <w:p w14:paraId="66F26FD4">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K76+240~K76+310</w:t>
            </w:r>
          </w:p>
        </w:tc>
        <w:tc>
          <w:tcPr>
            <w:tcW w:w="336" w:type="pct"/>
            <w:tcBorders>
              <w:tl2br w:val="nil"/>
              <w:tr2bl w:val="nil"/>
            </w:tcBorders>
            <w:noWrap w:val="0"/>
            <w:vAlign w:val="center"/>
          </w:tcPr>
          <w:p w14:paraId="57CBF2C3">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右侧</w:t>
            </w:r>
          </w:p>
        </w:tc>
        <w:tc>
          <w:tcPr>
            <w:tcW w:w="593" w:type="pct"/>
            <w:tcBorders>
              <w:tl2br w:val="nil"/>
              <w:tr2bl w:val="nil"/>
            </w:tcBorders>
            <w:noWrap w:val="0"/>
            <w:vAlign w:val="center"/>
          </w:tcPr>
          <w:p w14:paraId="2289DB4D">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深挖路堑</w:t>
            </w:r>
          </w:p>
        </w:tc>
        <w:tc>
          <w:tcPr>
            <w:tcW w:w="743" w:type="pct"/>
            <w:tcBorders>
              <w:tl2br w:val="nil"/>
              <w:tr2bl w:val="nil"/>
            </w:tcBorders>
            <w:noWrap w:val="0"/>
            <w:vAlign w:val="center"/>
          </w:tcPr>
          <w:p w14:paraId="39CEB502">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70</w:t>
            </w:r>
          </w:p>
        </w:tc>
        <w:tc>
          <w:tcPr>
            <w:tcW w:w="669" w:type="pct"/>
            <w:tcBorders>
              <w:tl2br w:val="nil"/>
              <w:tr2bl w:val="nil"/>
            </w:tcBorders>
            <w:noWrap w:val="0"/>
            <w:vAlign w:val="center"/>
          </w:tcPr>
          <w:p w14:paraId="2C3E6B18">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35.12</w:t>
            </w:r>
          </w:p>
        </w:tc>
        <w:tc>
          <w:tcPr>
            <w:tcW w:w="1069" w:type="pct"/>
            <w:tcBorders>
              <w:tl2br w:val="nil"/>
              <w:tr2bl w:val="nil"/>
            </w:tcBorders>
            <w:noWrap w:val="0"/>
            <w:vAlign w:val="center"/>
          </w:tcPr>
          <w:p w14:paraId="1DCD8A3A">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4m×3m框格锚杆</w:t>
            </w:r>
          </w:p>
        </w:tc>
      </w:tr>
      <w:tr w14:paraId="4C0C56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7" w:hRule="atLeast"/>
          <w:jc w:val="center"/>
        </w:trPr>
        <w:tc>
          <w:tcPr>
            <w:tcW w:w="490" w:type="pct"/>
            <w:tcBorders>
              <w:tl2br w:val="nil"/>
              <w:tr2bl w:val="nil"/>
            </w:tcBorders>
            <w:noWrap w:val="0"/>
            <w:vAlign w:val="center"/>
          </w:tcPr>
          <w:p w14:paraId="7E152C4B">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3</w:t>
            </w:r>
          </w:p>
        </w:tc>
        <w:tc>
          <w:tcPr>
            <w:tcW w:w="1095" w:type="pct"/>
            <w:tcBorders>
              <w:tl2br w:val="nil"/>
              <w:tr2bl w:val="nil"/>
            </w:tcBorders>
            <w:noWrap w:val="0"/>
            <w:vAlign w:val="center"/>
          </w:tcPr>
          <w:p w14:paraId="6A14E3E3">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K78+650~K78+850</w:t>
            </w:r>
          </w:p>
        </w:tc>
        <w:tc>
          <w:tcPr>
            <w:tcW w:w="336" w:type="pct"/>
            <w:tcBorders>
              <w:tl2br w:val="nil"/>
              <w:tr2bl w:val="nil"/>
            </w:tcBorders>
            <w:noWrap w:val="0"/>
            <w:vAlign w:val="center"/>
          </w:tcPr>
          <w:p w14:paraId="665ABD49">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右侧</w:t>
            </w:r>
          </w:p>
        </w:tc>
        <w:tc>
          <w:tcPr>
            <w:tcW w:w="593" w:type="pct"/>
            <w:tcBorders>
              <w:tl2br w:val="nil"/>
              <w:tr2bl w:val="nil"/>
            </w:tcBorders>
            <w:noWrap w:val="0"/>
            <w:vAlign w:val="center"/>
          </w:tcPr>
          <w:p w14:paraId="4D38048D">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高填路堤</w:t>
            </w:r>
          </w:p>
        </w:tc>
        <w:tc>
          <w:tcPr>
            <w:tcW w:w="743" w:type="pct"/>
            <w:tcBorders>
              <w:tl2br w:val="nil"/>
              <w:tr2bl w:val="nil"/>
            </w:tcBorders>
            <w:noWrap w:val="0"/>
            <w:vAlign w:val="center"/>
          </w:tcPr>
          <w:p w14:paraId="582B7C19">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200</w:t>
            </w:r>
          </w:p>
        </w:tc>
        <w:tc>
          <w:tcPr>
            <w:tcW w:w="669" w:type="pct"/>
            <w:tcBorders>
              <w:tl2br w:val="nil"/>
              <w:tr2bl w:val="nil"/>
            </w:tcBorders>
            <w:noWrap w:val="0"/>
            <w:vAlign w:val="center"/>
          </w:tcPr>
          <w:p w14:paraId="1F7F429A">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23.9</w:t>
            </w:r>
          </w:p>
        </w:tc>
        <w:tc>
          <w:tcPr>
            <w:tcW w:w="1069" w:type="pct"/>
            <w:tcBorders>
              <w:tl2br w:val="nil"/>
              <w:tr2bl w:val="nil"/>
            </w:tcBorders>
            <w:noWrap w:val="0"/>
            <w:vAlign w:val="center"/>
          </w:tcPr>
          <w:p w14:paraId="1603F886">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拱形骨架护坡</w:t>
            </w:r>
          </w:p>
        </w:tc>
      </w:tr>
    </w:tbl>
    <w:p w14:paraId="1CFDE083">
      <w:pPr>
        <w:pStyle w:val="5"/>
        <w:numPr>
          <w:ilvl w:val="1"/>
          <w:numId w:val="0"/>
        </w:numPr>
        <w:ind w:left="578" w:leftChars="0" w:hanging="578" w:firstLineChars="0"/>
        <w:rPr>
          <w:rFonts w:hint="default" w:ascii="Times New Roman" w:hAnsi="Times New Roman" w:eastAsia="宋体" w:cs="Times New Roman"/>
          <w:b/>
          <w:bCs/>
          <w:color w:val="auto"/>
          <w:lang w:val="en-US" w:eastAsia="en-US"/>
        </w:rPr>
      </w:pPr>
      <w:r>
        <w:rPr>
          <w:rFonts w:hint="default" w:ascii="Times New Roman" w:hAnsi="Times New Roman" w:eastAsia="宋体" w:cs="Times New Roman"/>
          <w:b/>
          <w:bCs/>
          <w:color w:val="auto"/>
          <w:lang w:val="en-US" w:eastAsia="en-US"/>
        </w:rPr>
        <w:t>2.</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default" w:ascii="Times New Roman" w:hAnsi="Times New Roman" w:eastAsia="宋体" w:cs="Times New Roman"/>
          <w:b/>
          <w:bCs/>
          <w:color w:val="auto"/>
          <w:lang w:val="en-US" w:eastAsia="zh-CN"/>
        </w:rPr>
        <w:t>4 路基、路面排水设计</w:t>
      </w:r>
      <w:bookmarkStart w:id="36" w:name="_Toc18409"/>
      <w:bookmarkStart w:id="37" w:name="_Toc26646"/>
      <w:bookmarkStart w:id="38" w:name="_Toc10496"/>
      <w:bookmarkStart w:id="39" w:name="_Toc24315"/>
    </w:p>
    <w:p w14:paraId="0A192F5B">
      <w:pPr>
        <w:keepNext w:val="0"/>
        <w:keepLines w:val="0"/>
        <w:pageBreakBefore w:val="0"/>
        <w:widowControl w:val="0"/>
        <w:kinsoku/>
        <w:wordWrap/>
        <w:overflowPunct w:val="0"/>
        <w:topLinePunct w:val="0"/>
        <w:autoSpaceDE w:val="0"/>
        <w:autoSpaceDN w:val="0"/>
        <w:bidi w:val="0"/>
        <w:adjustRightInd w:val="0"/>
        <w:snapToGrid w:val="0"/>
        <w:spacing w:line="360" w:lineRule="auto"/>
        <w:ind w:left="0" w:right="0" w:firstLine="479"/>
        <w:textAlignment w:val="baseline"/>
        <w:rPr>
          <w:rFonts w:hint="default" w:ascii="Times New Roman" w:hAnsi="Times New Roman" w:eastAsia="宋体" w:cs="Times New Roman"/>
          <w:b/>
          <w:bCs/>
          <w:snapToGrid w:val="0"/>
          <w:color w:val="auto"/>
          <w:kern w:val="0"/>
          <w:sz w:val="24"/>
          <w:szCs w:val="18"/>
          <w:lang w:val="en-US" w:eastAsia="zh-CN" w:bidi="ar-SA"/>
        </w:rPr>
      </w:pPr>
      <w:r>
        <w:rPr>
          <w:rFonts w:hint="default" w:ascii="Times New Roman" w:hAnsi="Times New Roman" w:eastAsia="宋体" w:cs="Times New Roman"/>
          <w:b w:val="0"/>
          <w:bCs/>
          <w:snapToGrid w:val="0"/>
          <w:color w:val="auto"/>
          <w:kern w:val="0"/>
          <w:sz w:val="24"/>
          <w:szCs w:val="24"/>
          <w:lang w:val="en-US" w:eastAsia="en-US" w:bidi="ar-SA"/>
        </w:rPr>
        <w:t>全线按照集中排水与分散排水相结合的方式进行排水，公路沿线布置的排水设施主要有截水沟、排水沟（边沟）、边坡平台排水沟、急流槽等</w:t>
      </w:r>
      <w:r>
        <w:rPr>
          <w:rFonts w:hint="default" w:ascii="Times New Roman" w:hAnsi="Times New Roman" w:cs="Times New Roman"/>
          <w:b w:val="0"/>
          <w:bCs/>
          <w:snapToGrid w:val="0"/>
          <w:color w:val="auto"/>
          <w:kern w:val="0"/>
          <w:sz w:val="24"/>
          <w:szCs w:val="24"/>
          <w:lang w:val="en-US" w:eastAsia="zh-CN" w:bidi="ar-SA"/>
        </w:rPr>
        <w:t>；</w:t>
      </w:r>
      <w:r>
        <w:rPr>
          <w:rFonts w:hint="default" w:ascii="Times New Roman" w:hAnsi="Times New Roman" w:eastAsia="宋体" w:cs="Times New Roman"/>
          <w:b w:val="0"/>
          <w:bCs/>
          <w:snapToGrid w:val="0"/>
          <w:color w:val="auto"/>
          <w:kern w:val="0"/>
          <w:sz w:val="24"/>
          <w:szCs w:val="24"/>
          <w:lang w:val="en-US" w:eastAsia="zh-CN" w:bidi="ar-SA"/>
        </w:rPr>
        <w:t>其中</w:t>
      </w:r>
      <w:r>
        <w:rPr>
          <w:rFonts w:hint="default" w:ascii="Times New Roman" w:hAnsi="Times New Roman" w:eastAsia="宋体" w:cs="Times New Roman"/>
          <w:b w:val="0"/>
          <w:bCs/>
          <w:color w:val="auto"/>
          <w:spacing w:val="-3"/>
          <w:sz w:val="24"/>
          <w:szCs w:val="24"/>
        </w:rPr>
        <w:t>排水沟（边沟）主要布置在公路两侧，包括路堑排水沟和路堤排水沟，主</w:t>
      </w:r>
      <w:r>
        <w:rPr>
          <w:rFonts w:hint="default" w:ascii="Times New Roman" w:hAnsi="Times New Roman" w:eastAsia="宋体" w:cs="Times New Roman"/>
          <w:b w:val="0"/>
          <w:bCs/>
          <w:color w:val="auto"/>
          <w:spacing w:val="-4"/>
          <w:sz w:val="24"/>
          <w:szCs w:val="24"/>
        </w:rPr>
        <w:t>要是将</w:t>
      </w:r>
      <w:r>
        <w:rPr>
          <w:rFonts w:hint="default" w:ascii="Times New Roman" w:hAnsi="Times New Roman" w:eastAsia="宋体" w:cs="Times New Roman"/>
          <w:b w:val="0"/>
          <w:bCs/>
          <w:color w:val="auto"/>
          <w:spacing w:val="-2"/>
          <w:sz w:val="24"/>
          <w:szCs w:val="24"/>
        </w:rPr>
        <w:t>路面和坡面来水横向就近引至桥涵进出水口，排入附近自然沟道</w:t>
      </w:r>
      <w:r>
        <w:rPr>
          <w:rFonts w:hint="default" w:ascii="Times New Roman" w:hAnsi="Times New Roman" w:eastAsia="宋体" w:cs="Times New Roman"/>
          <w:b w:val="0"/>
          <w:bCs/>
          <w:color w:val="auto"/>
          <w:spacing w:val="-2"/>
          <w:sz w:val="24"/>
          <w:szCs w:val="24"/>
          <w:lang w:eastAsia="zh-CN"/>
        </w:rPr>
        <w:t>；</w:t>
      </w:r>
      <w:r>
        <w:rPr>
          <w:rFonts w:hint="default" w:ascii="Times New Roman" w:hAnsi="Times New Roman" w:eastAsia="宋体" w:cs="Times New Roman"/>
          <w:b w:val="0"/>
          <w:bCs/>
          <w:color w:val="auto"/>
          <w:spacing w:val="-3"/>
          <w:sz w:val="24"/>
          <w:szCs w:val="24"/>
        </w:rPr>
        <w:t>视挖方边坡开挖线上方山坡汇水面积大小，酌情在山坡开挖线上方适当位置</w:t>
      </w:r>
      <w:r>
        <w:rPr>
          <w:rFonts w:hint="default" w:ascii="Times New Roman" w:hAnsi="Times New Roman" w:eastAsia="宋体" w:cs="Times New Roman"/>
          <w:b w:val="0"/>
          <w:bCs/>
          <w:color w:val="auto"/>
          <w:spacing w:val="-4"/>
          <w:sz w:val="24"/>
          <w:szCs w:val="24"/>
        </w:rPr>
        <w:t>设置</w:t>
      </w:r>
      <w:r>
        <w:rPr>
          <w:rFonts w:hint="default" w:ascii="Times New Roman" w:hAnsi="Times New Roman" w:eastAsia="宋体" w:cs="Times New Roman"/>
          <w:b w:val="0"/>
          <w:bCs/>
          <w:color w:val="auto"/>
          <w:spacing w:val="-2"/>
          <w:sz w:val="24"/>
          <w:szCs w:val="24"/>
        </w:rPr>
        <w:t>截水沟，将坡面来水引至挖方边坡以外的附近</w:t>
      </w:r>
      <w:r>
        <w:rPr>
          <w:rFonts w:hint="default" w:ascii="Times New Roman" w:hAnsi="Times New Roman" w:eastAsia="宋体" w:cs="Times New Roman"/>
          <w:b w:val="0"/>
          <w:bCs/>
          <w:color w:val="auto"/>
          <w:spacing w:val="-3"/>
          <w:sz w:val="24"/>
          <w:szCs w:val="24"/>
        </w:rPr>
        <w:t>自然沟道内</w:t>
      </w:r>
      <w:r>
        <w:rPr>
          <w:rFonts w:hint="default" w:ascii="Times New Roman" w:hAnsi="Times New Roman" w:eastAsia="宋体" w:cs="Times New Roman"/>
          <w:b w:val="0"/>
          <w:bCs/>
          <w:color w:val="auto"/>
          <w:spacing w:val="-3"/>
          <w:sz w:val="24"/>
          <w:szCs w:val="24"/>
          <w:lang w:eastAsia="zh-CN"/>
        </w:rPr>
        <w:t>；</w:t>
      </w:r>
      <w:r>
        <w:rPr>
          <w:rFonts w:hint="default" w:ascii="Times New Roman" w:hAnsi="Times New Roman" w:eastAsia="宋体" w:cs="Times New Roman"/>
          <w:b w:val="0"/>
          <w:bCs/>
          <w:color w:val="auto"/>
          <w:spacing w:val="-1"/>
          <w:sz w:val="24"/>
          <w:szCs w:val="24"/>
        </w:rPr>
        <w:t>在挖填边坡平台内侧设平台排水沟，在地处陡坡地段的截</w:t>
      </w:r>
      <w:r>
        <w:rPr>
          <w:rFonts w:hint="default" w:ascii="Times New Roman" w:hAnsi="Times New Roman" w:eastAsia="宋体" w:cs="Times New Roman"/>
          <w:b w:val="0"/>
          <w:bCs/>
          <w:color w:val="auto"/>
          <w:spacing w:val="-2"/>
          <w:sz w:val="24"/>
          <w:szCs w:val="24"/>
        </w:rPr>
        <w:t>（排）水沟设急流槽。路基路面排水方式布置情况表</w:t>
      </w:r>
      <w:r>
        <w:rPr>
          <w:rFonts w:hint="default" w:ascii="Times New Roman" w:hAnsi="Times New Roman" w:eastAsia="宋体" w:cs="Times New Roman"/>
          <w:b w:val="0"/>
          <w:bCs/>
          <w:color w:val="auto"/>
          <w:spacing w:val="-4"/>
          <w:sz w:val="24"/>
          <w:szCs w:val="24"/>
        </w:rPr>
        <w:t>详见表</w:t>
      </w:r>
      <w:r>
        <w:rPr>
          <w:rFonts w:hint="default" w:ascii="Times New Roman" w:hAnsi="Times New Roman" w:eastAsia="宋体" w:cs="Times New Roman"/>
          <w:b w:val="0"/>
          <w:bCs/>
          <w:color w:val="auto"/>
          <w:spacing w:val="-4"/>
          <w:sz w:val="24"/>
          <w:szCs w:val="24"/>
          <w:lang w:val="en-US" w:eastAsia="zh-CN"/>
        </w:rPr>
        <w:t>2.5-3</w:t>
      </w:r>
      <w:r>
        <w:rPr>
          <w:rFonts w:hint="default" w:ascii="Times New Roman" w:hAnsi="Times New Roman" w:eastAsia="宋体" w:cs="Times New Roman"/>
          <w:b w:val="0"/>
          <w:bCs/>
          <w:color w:val="auto"/>
          <w:spacing w:val="-4"/>
          <w:sz w:val="24"/>
          <w:szCs w:val="24"/>
        </w:rPr>
        <w:t>。</w:t>
      </w:r>
    </w:p>
    <w:p w14:paraId="30E54A28">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right="0" w:firstLine="0" w:firstLineChars="0"/>
        <w:jc w:val="center"/>
        <w:textAlignment w:val="baseline"/>
        <w:rPr>
          <w:rFonts w:hint="default" w:ascii="Times New Roman" w:hAnsi="Times New Roman" w:cs="Times New Roman"/>
          <w:color w:val="auto"/>
        </w:rPr>
      </w:pPr>
      <w:r>
        <w:rPr>
          <w:rFonts w:hint="default" w:ascii="Times New Roman" w:hAnsi="Times New Roman" w:eastAsia="宋体" w:cs="Times New Roman"/>
          <w:b/>
          <w:bCs/>
          <w:snapToGrid w:val="0"/>
          <w:color w:val="auto"/>
          <w:kern w:val="0"/>
          <w:sz w:val="24"/>
          <w:szCs w:val="18"/>
          <w:lang w:val="en-US" w:eastAsia="zh-CN" w:bidi="ar-SA"/>
        </w:rPr>
        <w:t>表2.</w:t>
      </w:r>
      <w:r>
        <w:rPr>
          <w:rFonts w:hint="eastAsia" w:ascii="Times New Roman" w:hAnsi="Times New Roman" w:eastAsia="宋体" w:cs="Times New Roman"/>
          <w:b/>
          <w:bCs/>
          <w:snapToGrid w:val="0"/>
          <w:color w:val="auto"/>
          <w:kern w:val="0"/>
          <w:sz w:val="24"/>
          <w:szCs w:val="18"/>
          <w:lang w:val="en-US" w:eastAsia="zh-CN" w:bidi="ar-SA"/>
        </w:rPr>
        <w:t>3</w:t>
      </w:r>
      <w:r>
        <w:rPr>
          <w:rFonts w:hint="default" w:ascii="Times New Roman" w:hAnsi="Times New Roman" w:eastAsia="宋体" w:cs="Times New Roman"/>
          <w:b/>
          <w:bCs/>
          <w:snapToGrid w:val="0"/>
          <w:color w:val="auto"/>
          <w:kern w:val="0"/>
          <w:sz w:val="24"/>
          <w:szCs w:val="18"/>
          <w:lang w:val="en-US" w:eastAsia="zh-CN" w:bidi="ar-SA"/>
        </w:rPr>
        <w:t>-</w:t>
      </w:r>
      <w:r>
        <w:rPr>
          <w:rFonts w:hint="eastAsia" w:ascii="Times New Roman" w:hAnsi="Times New Roman" w:eastAsia="宋体" w:cs="Times New Roman"/>
          <w:b/>
          <w:bCs/>
          <w:snapToGrid w:val="0"/>
          <w:color w:val="auto"/>
          <w:kern w:val="0"/>
          <w:sz w:val="24"/>
          <w:szCs w:val="18"/>
          <w:lang w:val="en-US" w:eastAsia="zh-CN" w:bidi="ar-SA"/>
        </w:rPr>
        <w:t>5</w:t>
      </w:r>
      <w:r>
        <w:rPr>
          <w:rFonts w:hint="default" w:ascii="Times New Roman" w:hAnsi="Times New Roman" w:eastAsia="宋体" w:cs="Times New Roman"/>
          <w:b/>
          <w:bCs/>
          <w:snapToGrid w:val="0"/>
          <w:color w:val="auto"/>
          <w:kern w:val="0"/>
          <w:sz w:val="24"/>
          <w:szCs w:val="18"/>
          <w:lang w:val="en-US" w:eastAsia="zh-CN" w:bidi="ar-SA"/>
        </w:rPr>
        <w:t xml:space="preserve">    路基路面排水方式布置情况表</w:t>
      </w:r>
    </w:p>
    <w:tbl>
      <w:tblPr>
        <w:tblStyle w:val="36"/>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41"/>
        <w:gridCol w:w="882"/>
        <w:gridCol w:w="1678"/>
        <w:gridCol w:w="6050"/>
      </w:tblGrid>
      <w:tr w14:paraId="7BBAF3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jc w:val="center"/>
        </w:trPr>
        <w:tc>
          <w:tcPr>
            <w:tcW w:w="585" w:type="pct"/>
            <w:tcBorders>
              <w:top w:val="single" w:color="000000" w:sz="4" w:space="0"/>
              <w:left w:val="single" w:color="000000" w:sz="4" w:space="0"/>
              <w:bottom w:val="single" w:color="000000" w:sz="4" w:space="0"/>
              <w:right w:val="single" w:color="000000" w:sz="4" w:space="0"/>
            </w:tcBorders>
            <w:noWrap w:val="0"/>
            <w:vAlign w:val="center"/>
          </w:tcPr>
          <w:p w14:paraId="32FFB319">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类别</w:t>
            </w:r>
          </w:p>
        </w:tc>
        <w:tc>
          <w:tcPr>
            <w:tcW w:w="1312" w:type="pct"/>
            <w:gridSpan w:val="2"/>
            <w:tcBorders>
              <w:top w:val="single" w:color="000000" w:sz="4" w:space="0"/>
              <w:left w:val="single" w:color="000000" w:sz="4" w:space="0"/>
              <w:bottom w:val="single" w:color="000000" w:sz="4" w:space="0"/>
              <w:right w:val="single" w:color="000000" w:sz="4" w:space="0"/>
            </w:tcBorders>
            <w:noWrap w:val="0"/>
            <w:vAlign w:val="center"/>
          </w:tcPr>
          <w:p w14:paraId="61F2294A">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位置</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46EB1D45">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排水方式</w:t>
            </w:r>
          </w:p>
        </w:tc>
      </w:tr>
      <w:tr w14:paraId="5AAFB6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585" w:type="pct"/>
            <w:vMerge w:val="restart"/>
            <w:tcBorders>
              <w:top w:val="single" w:color="000000" w:sz="4" w:space="0"/>
              <w:left w:val="single" w:color="000000" w:sz="4" w:space="0"/>
              <w:bottom w:val="single" w:color="000000" w:sz="4" w:space="0"/>
              <w:right w:val="single" w:color="000000" w:sz="4" w:space="0"/>
            </w:tcBorders>
            <w:noWrap w:val="0"/>
            <w:vAlign w:val="center"/>
          </w:tcPr>
          <w:p w14:paraId="6AF1D7BE">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路面排水</w:t>
            </w:r>
          </w:p>
        </w:tc>
        <w:tc>
          <w:tcPr>
            <w:tcW w:w="1312" w:type="pct"/>
            <w:gridSpan w:val="2"/>
            <w:tcBorders>
              <w:top w:val="single" w:color="000000" w:sz="4" w:space="0"/>
              <w:left w:val="single" w:color="000000" w:sz="4" w:space="0"/>
              <w:bottom w:val="single" w:color="000000" w:sz="4" w:space="0"/>
              <w:right w:val="single" w:color="000000" w:sz="4" w:space="0"/>
            </w:tcBorders>
            <w:noWrap w:val="0"/>
            <w:vAlign w:val="center"/>
          </w:tcPr>
          <w:p w14:paraId="532424FC">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挖方路段</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25824074">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路面来水由路拱自由排出路肩外，经路堑排水沟、急流槽等排入自然沟道。</w:t>
            </w:r>
          </w:p>
        </w:tc>
      </w:tr>
      <w:tr w14:paraId="7B7979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1" w:hRule="atLeast"/>
          <w:jc w:val="center"/>
        </w:trPr>
        <w:tc>
          <w:tcPr>
            <w:tcW w:w="585" w:type="pct"/>
            <w:vMerge w:val="continue"/>
            <w:tcBorders>
              <w:top w:val="single" w:color="000000" w:sz="4" w:space="0"/>
              <w:left w:val="single" w:color="000000" w:sz="4" w:space="0"/>
              <w:bottom w:val="single" w:color="000000" w:sz="4" w:space="0"/>
              <w:right w:val="single" w:color="000000" w:sz="4" w:space="0"/>
            </w:tcBorders>
            <w:noWrap w:val="0"/>
            <w:vAlign w:val="center"/>
          </w:tcPr>
          <w:p w14:paraId="48C9C4D0">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452" w:type="pct"/>
            <w:vMerge w:val="restart"/>
            <w:tcBorders>
              <w:top w:val="single" w:color="000000" w:sz="4" w:space="0"/>
              <w:left w:val="single" w:color="000000" w:sz="4" w:space="0"/>
              <w:bottom w:val="single" w:color="000000" w:sz="4" w:space="0"/>
              <w:right w:val="single" w:color="000000" w:sz="4" w:space="0"/>
            </w:tcBorders>
            <w:noWrap w:val="0"/>
            <w:vAlign w:val="center"/>
          </w:tcPr>
          <w:p w14:paraId="00FBA185">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填方路段</w:t>
            </w:r>
          </w:p>
        </w:tc>
        <w:tc>
          <w:tcPr>
            <w:tcW w:w="859" w:type="pct"/>
            <w:tcBorders>
              <w:top w:val="single" w:color="000000" w:sz="4" w:space="0"/>
              <w:left w:val="single" w:color="000000" w:sz="4" w:space="0"/>
              <w:bottom w:val="single" w:color="000000" w:sz="4" w:space="0"/>
              <w:right w:val="single" w:color="000000" w:sz="4" w:space="0"/>
            </w:tcBorders>
            <w:noWrap w:val="0"/>
            <w:vAlign w:val="center"/>
          </w:tcPr>
          <w:p w14:paraId="59627E91">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26BBF72A">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路面来水由路拱自然排出路肩外， 由边坡坡面汇入路堤排水沟后，通过顺接排水沟等排入自然沟道。</w:t>
            </w:r>
          </w:p>
        </w:tc>
      </w:tr>
      <w:tr w14:paraId="14F2E8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585" w:type="pct"/>
            <w:vMerge w:val="continue"/>
            <w:tcBorders>
              <w:top w:val="single" w:color="000000" w:sz="4" w:space="0"/>
              <w:left w:val="single" w:color="000000" w:sz="4" w:space="0"/>
              <w:bottom w:val="single" w:color="000000" w:sz="4" w:space="0"/>
              <w:right w:val="single" w:color="000000" w:sz="4" w:space="0"/>
            </w:tcBorders>
            <w:noWrap w:val="0"/>
            <w:vAlign w:val="center"/>
          </w:tcPr>
          <w:p w14:paraId="0F179D5B">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14:paraId="4CF601D1">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859" w:type="pct"/>
            <w:tcBorders>
              <w:top w:val="single" w:color="000000" w:sz="4" w:space="0"/>
              <w:left w:val="single" w:color="000000" w:sz="4" w:space="0"/>
              <w:bottom w:val="single" w:color="000000" w:sz="4" w:space="0"/>
              <w:right w:val="single" w:color="000000" w:sz="4" w:space="0"/>
            </w:tcBorders>
            <w:noWrap w:val="0"/>
            <w:vAlign w:val="center"/>
          </w:tcPr>
          <w:p w14:paraId="57DF1EA7">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4E2D8E3A">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路面来水由路拱自然排出路肩外，由平台排水沟汇入路堤排水沟后，通过急流槽等排入自然沟道。</w:t>
            </w:r>
          </w:p>
        </w:tc>
      </w:tr>
      <w:tr w14:paraId="1F4BC9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585" w:type="pct"/>
            <w:vMerge w:val="restart"/>
            <w:tcBorders>
              <w:top w:val="single" w:color="000000" w:sz="4" w:space="0"/>
              <w:left w:val="single" w:color="000000" w:sz="4" w:space="0"/>
              <w:bottom w:val="single" w:color="000000" w:sz="4" w:space="0"/>
              <w:right w:val="single" w:color="000000" w:sz="4" w:space="0"/>
            </w:tcBorders>
            <w:noWrap w:val="0"/>
            <w:vAlign w:val="center"/>
          </w:tcPr>
          <w:p w14:paraId="668C9B8E">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自然坡面及路基排水</w:t>
            </w:r>
          </w:p>
        </w:tc>
        <w:tc>
          <w:tcPr>
            <w:tcW w:w="452" w:type="pct"/>
            <w:vMerge w:val="restart"/>
            <w:tcBorders>
              <w:top w:val="single" w:color="000000" w:sz="4" w:space="0"/>
              <w:left w:val="single" w:color="000000" w:sz="4" w:space="0"/>
              <w:bottom w:val="single" w:color="000000" w:sz="4" w:space="0"/>
              <w:right w:val="single" w:color="000000" w:sz="4" w:space="0"/>
            </w:tcBorders>
            <w:noWrap w:val="0"/>
            <w:vAlign w:val="center"/>
          </w:tcPr>
          <w:p w14:paraId="466660B0">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挖方边坡</w:t>
            </w:r>
          </w:p>
        </w:tc>
        <w:tc>
          <w:tcPr>
            <w:tcW w:w="859" w:type="pct"/>
            <w:tcBorders>
              <w:top w:val="single" w:color="000000" w:sz="4" w:space="0"/>
              <w:left w:val="single" w:color="000000" w:sz="4" w:space="0"/>
              <w:bottom w:val="single" w:color="000000" w:sz="4" w:space="0"/>
              <w:right w:val="single" w:color="000000" w:sz="4" w:space="0"/>
            </w:tcBorders>
            <w:noWrap w:val="0"/>
            <w:vAlign w:val="center"/>
          </w:tcPr>
          <w:p w14:paraId="0B69E367">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挖方边坡上游</w:t>
            </w:r>
          </w:p>
          <w:p w14:paraId="1CE96AFB">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坡面</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3EE41CEC">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挖方边坡上方自然坡面来水汇入截水沟，通过</w:t>
            </w:r>
            <w:r>
              <w:rPr>
                <w:rFonts w:hint="eastAsia" w:cs="Times New Roman"/>
                <w:color w:val="auto"/>
                <w:sz w:val="21"/>
                <w:szCs w:val="21"/>
                <w:lang w:val="en-US" w:eastAsia="zh-CN"/>
              </w:rPr>
              <w:t>截流</w:t>
            </w:r>
            <w:r>
              <w:rPr>
                <w:rFonts w:hint="default" w:ascii="Times New Roman" w:hAnsi="Times New Roman" w:eastAsia="宋体" w:cs="Times New Roman"/>
                <w:color w:val="auto"/>
                <w:sz w:val="21"/>
                <w:szCs w:val="21"/>
                <w:lang w:val="en-US" w:eastAsia="zh-CN"/>
              </w:rPr>
              <w:t>槽等排入自然沟道。</w:t>
            </w:r>
          </w:p>
        </w:tc>
      </w:tr>
      <w:tr w14:paraId="1FF5C1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585" w:type="pct"/>
            <w:vMerge w:val="continue"/>
            <w:tcBorders>
              <w:top w:val="single" w:color="000000" w:sz="4" w:space="0"/>
              <w:left w:val="single" w:color="000000" w:sz="4" w:space="0"/>
              <w:bottom w:val="single" w:color="000000" w:sz="4" w:space="0"/>
              <w:right w:val="single" w:color="000000" w:sz="4" w:space="0"/>
            </w:tcBorders>
            <w:noWrap w:val="0"/>
            <w:vAlign w:val="center"/>
          </w:tcPr>
          <w:p w14:paraId="50FB4863">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14:paraId="0747F6A4">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859" w:type="pct"/>
            <w:tcBorders>
              <w:top w:val="single" w:color="000000" w:sz="4" w:space="0"/>
              <w:left w:val="single" w:color="000000" w:sz="4" w:space="0"/>
              <w:bottom w:val="single" w:color="000000" w:sz="4" w:space="0"/>
              <w:right w:val="single" w:color="000000" w:sz="4" w:space="0"/>
            </w:tcBorders>
            <w:noWrap w:val="0"/>
            <w:vAlign w:val="center"/>
          </w:tcPr>
          <w:p w14:paraId="48A5EF92">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挖方边坡</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222C5401">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挖方边坡来水汇入边坡平台排水沟，通过截水沟、急流槽等排入自然沟道。</w:t>
            </w:r>
          </w:p>
        </w:tc>
      </w:tr>
      <w:tr w14:paraId="70DBD0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 w:hRule="atLeast"/>
          <w:jc w:val="center"/>
        </w:trPr>
        <w:tc>
          <w:tcPr>
            <w:tcW w:w="585" w:type="pct"/>
            <w:vMerge w:val="continue"/>
            <w:tcBorders>
              <w:top w:val="single" w:color="000000" w:sz="4" w:space="0"/>
              <w:left w:val="single" w:color="000000" w:sz="4" w:space="0"/>
              <w:bottom w:val="single" w:color="000000" w:sz="4" w:space="0"/>
              <w:right w:val="single" w:color="000000" w:sz="4" w:space="0"/>
            </w:tcBorders>
            <w:noWrap w:val="0"/>
            <w:vAlign w:val="center"/>
          </w:tcPr>
          <w:p w14:paraId="39C7E4E2">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452" w:type="pct"/>
            <w:vMerge w:val="restart"/>
            <w:tcBorders>
              <w:top w:val="single" w:color="000000" w:sz="4" w:space="0"/>
              <w:left w:val="single" w:color="000000" w:sz="4" w:space="0"/>
              <w:bottom w:val="single" w:color="000000" w:sz="4" w:space="0"/>
              <w:right w:val="single" w:color="000000" w:sz="4" w:space="0"/>
            </w:tcBorders>
            <w:noWrap w:val="0"/>
            <w:vAlign w:val="center"/>
          </w:tcPr>
          <w:p w14:paraId="70D3BED6">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填方路基</w:t>
            </w:r>
          </w:p>
        </w:tc>
        <w:tc>
          <w:tcPr>
            <w:tcW w:w="859" w:type="pct"/>
            <w:tcBorders>
              <w:top w:val="single" w:color="000000" w:sz="4" w:space="0"/>
              <w:left w:val="single" w:color="000000" w:sz="4" w:space="0"/>
              <w:bottom w:val="single" w:color="000000" w:sz="4" w:space="0"/>
              <w:right w:val="single" w:color="000000" w:sz="4" w:space="0"/>
            </w:tcBorders>
            <w:noWrap w:val="0"/>
            <w:vAlign w:val="center"/>
          </w:tcPr>
          <w:p w14:paraId="424FFF8F">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5D05F28B">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边坡坡面来水自由汇入路堤排水沟排出。</w:t>
            </w:r>
          </w:p>
        </w:tc>
      </w:tr>
      <w:tr w14:paraId="457736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5" w:hRule="atLeast"/>
          <w:jc w:val="center"/>
        </w:trPr>
        <w:tc>
          <w:tcPr>
            <w:tcW w:w="585" w:type="pct"/>
            <w:vMerge w:val="continue"/>
            <w:tcBorders>
              <w:top w:val="single" w:color="000000" w:sz="4" w:space="0"/>
              <w:left w:val="single" w:color="000000" w:sz="4" w:space="0"/>
              <w:bottom w:val="single" w:color="000000" w:sz="4" w:space="0"/>
              <w:right w:val="single" w:color="000000" w:sz="4" w:space="0"/>
            </w:tcBorders>
            <w:noWrap w:val="0"/>
            <w:vAlign w:val="center"/>
          </w:tcPr>
          <w:p w14:paraId="4FE67279">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452" w:type="pct"/>
            <w:vMerge w:val="continue"/>
            <w:tcBorders>
              <w:top w:val="single" w:color="000000" w:sz="4" w:space="0"/>
              <w:left w:val="single" w:color="000000" w:sz="4" w:space="0"/>
              <w:bottom w:val="single" w:color="000000" w:sz="4" w:space="0"/>
              <w:right w:val="single" w:color="000000" w:sz="4" w:space="0"/>
            </w:tcBorders>
            <w:noWrap w:val="0"/>
            <w:vAlign w:val="center"/>
          </w:tcPr>
          <w:p w14:paraId="2A4416B2">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p>
        </w:tc>
        <w:tc>
          <w:tcPr>
            <w:tcW w:w="859" w:type="pct"/>
            <w:tcBorders>
              <w:top w:val="single" w:color="000000" w:sz="4" w:space="0"/>
              <w:left w:val="single" w:color="000000" w:sz="4" w:space="0"/>
              <w:bottom w:val="single" w:color="000000" w:sz="4" w:space="0"/>
              <w:right w:val="single" w:color="000000" w:sz="4" w:space="0"/>
            </w:tcBorders>
            <w:noWrap w:val="0"/>
            <w:vAlign w:val="center"/>
          </w:tcPr>
          <w:p w14:paraId="1C95DD87">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边坡高度＞4m</w:t>
            </w:r>
          </w:p>
        </w:tc>
        <w:tc>
          <w:tcPr>
            <w:tcW w:w="3101" w:type="pct"/>
            <w:tcBorders>
              <w:top w:val="single" w:color="000000" w:sz="4" w:space="0"/>
              <w:left w:val="single" w:color="000000" w:sz="4" w:space="0"/>
              <w:bottom w:val="single" w:color="000000" w:sz="4" w:space="0"/>
              <w:right w:val="single" w:color="000000" w:sz="4" w:space="0"/>
            </w:tcBorders>
            <w:noWrap w:val="0"/>
            <w:vAlign w:val="center"/>
          </w:tcPr>
          <w:p w14:paraId="49511685">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边坡坡面来水由边坡平台排水沟汇集，经骨架泄水槽汇入路堤排水沟后排出。</w:t>
            </w:r>
          </w:p>
        </w:tc>
      </w:tr>
    </w:tbl>
    <w:p w14:paraId="55D426A4">
      <w:pPr>
        <w:pStyle w:val="11"/>
        <w:keepNext w:val="0"/>
        <w:keepLines w:val="0"/>
        <w:pageBreakBefore w:val="0"/>
        <w:widowControl w:val="0"/>
        <w:kinsoku/>
        <w:wordWrap/>
        <w:overflowPunct w:val="0"/>
        <w:topLinePunct w:val="0"/>
        <w:autoSpaceDE w:val="0"/>
        <w:autoSpaceDN w:val="0"/>
        <w:bidi w:val="0"/>
        <w:adjustRightInd w:val="0"/>
        <w:snapToGrid w:val="0"/>
        <w:spacing w:line="360" w:lineRule="auto"/>
        <w:ind w:left="0" w:leftChars="0" w:right="108" w:firstLine="472" w:firstLineChars="200"/>
        <w:jc w:val="both"/>
        <w:textAlignment w:val="baseline"/>
        <w:rPr>
          <w:rFonts w:hint="default" w:ascii="Times New Roman" w:hAnsi="Times New Roman" w:eastAsia="宋体" w:cs="Times New Roman"/>
          <w:color w:val="auto"/>
          <w:spacing w:val="-3"/>
          <w:sz w:val="24"/>
          <w:szCs w:val="24"/>
        </w:rPr>
      </w:pPr>
      <w:r>
        <w:rPr>
          <w:rFonts w:hint="default" w:ascii="Times New Roman" w:hAnsi="Times New Roman" w:eastAsia="宋体" w:cs="Times New Roman"/>
          <w:color w:val="auto"/>
          <w:spacing w:val="-2"/>
          <w:sz w:val="24"/>
          <w:szCs w:val="24"/>
          <w:lang w:val="en-US" w:eastAsia="zh-CN"/>
        </w:rPr>
        <w:t>另</w:t>
      </w:r>
      <w:r>
        <w:rPr>
          <w:rFonts w:hint="default" w:ascii="Times New Roman" w:hAnsi="Times New Roman" w:eastAsia="宋体" w:cs="Times New Roman"/>
          <w:color w:val="auto"/>
          <w:spacing w:val="-2"/>
          <w:sz w:val="24"/>
          <w:szCs w:val="24"/>
        </w:rPr>
        <w:t>在中</w:t>
      </w:r>
      <w:r>
        <w:rPr>
          <w:rFonts w:hint="default" w:ascii="Times New Roman" w:hAnsi="Times New Roman" w:eastAsia="宋体" w:cs="Times New Roman"/>
          <w:color w:val="auto"/>
          <w:spacing w:val="-3"/>
          <w:sz w:val="24"/>
          <w:szCs w:val="24"/>
        </w:rPr>
        <w:t>央分隔带下面设置纵向渗沟，渗沟内填碎石，收集渗入绿化带的水，通过纵向排水管和横向排水管，将水引入地下综合排水管网。</w:t>
      </w:r>
    </w:p>
    <w:bookmarkEnd w:id="36"/>
    <w:bookmarkEnd w:id="37"/>
    <w:bookmarkEnd w:id="38"/>
    <w:bookmarkEnd w:id="39"/>
    <w:p w14:paraId="76DA84F9">
      <w:pPr>
        <w:pStyle w:val="4"/>
        <w:numPr>
          <w:ilvl w:val="1"/>
          <w:numId w:val="0"/>
        </w:numPr>
        <w:ind w:left="578" w:leftChars="0" w:hanging="578" w:firstLineChars="0"/>
        <w:rPr>
          <w:rFonts w:hint="default" w:ascii="Times New Roman" w:hAnsi="Times New Roman" w:eastAsia="宋体" w:cs="Times New Roman"/>
          <w:color w:val="auto"/>
          <w:lang w:val="en-US" w:eastAsia="zh-CN"/>
        </w:rPr>
      </w:pPr>
      <w:bookmarkStart w:id="40" w:name="_Toc18461"/>
      <w:bookmarkStart w:id="41" w:name="_Toc9654"/>
      <w:bookmarkStart w:id="42" w:name="_Toc20269"/>
      <w:bookmarkStart w:id="43" w:name="_Toc32553"/>
      <w:r>
        <w:rPr>
          <w:rFonts w:hint="default" w:ascii="Times New Roman" w:hAnsi="Times New Roman" w:eastAsia="宋体" w:cs="Times New Roman"/>
          <w:color w:val="auto"/>
          <w:lang w:val="en-US" w:eastAsia="en-US"/>
        </w:rPr>
        <w:t>2.</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en-US"/>
        </w:rPr>
        <w:t>.</w:t>
      </w:r>
      <w:r>
        <w:rPr>
          <w:rFonts w:hint="eastAsia" w:cs="Times New Roman"/>
          <w:color w:val="auto"/>
          <w:lang w:val="en-US" w:eastAsia="zh-CN"/>
        </w:rPr>
        <w:t>5</w:t>
      </w:r>
      <w:r>
        <w:rPr>
          <w:rFonts w:hint="default" w:ascii="Times New Roman" w:hAnsi="Times New Roman" w:eastAsia="宋体" w:cs="Times New Roman"/>
          <w:color w:val="auto"/>
          <w:lang w:val="en-US" w:eastAsia="zh-CN"/>
        </w:rPr>
        <w:t xml:space="preserve"> 桥涵工程</w:t>
      </w:r>
      <w:bookmarkEnd w:id="40"/>
      <w:bookmarkEnd w:id="41"/>
      <w:bookmarkEnd w:id="42"/>
      <w:bookmarkEnd w:id="43"/>
    </w:p>
    <w:p w14:paraId="77E770C5">
      <w:pPr>
        <w:spacing w:line="360" w:lineRule="auto"/>
        <w:rPr>
          <w:rFonts w:hint="default" w:ascii="Times New Roman" w:hAnsi="Times New Roman" w:eastAsia="宋体" w:cs="Times New Roman"/>
          <w:color w:val="auto"/>
          <w:spacing w:val="0"/>
          <w:w w:val="100"/>
          <w:kern w:val="0"/>
          <w:position w:val="0"/>
          <w:sz w:val="24"/>
          <w:szCs w:val="24"/>
        </w:rPr>
        <w:sectPr>
          <w:pgSz w:w="11905" w:h="16840"/>
          <w:pgMar w:top="1440" w:right="1080" w:bottom="1440" w:left="1080" w:header="1048" w:footer="1014"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color w:val="auto"/>
          <w:spacing w:val="-2"/>
          <w:sz w:val="24"/>
          <w:szCs w:val="24"/>
        </w:rPr>
        <w:t>本</w:t>
      </w:r>
      <w:r>
        <w:rPr>
          <w:rFonts w:hint="default" w:ascii="Times New Roman" w:hAnsi="Times New Roman" w:eastAsia="宋体" w:cs="Times New Roman"/>
          <w:color w:val="auto"/>
          <w:spacing w:val="-2"/>
          <w:sz w:val="24"/>
          <w:szCs w:val="24"/>
          <w:lang w:val="en-US" w:eastAsia="zh-CN"/>
        </w:rPr>
        <w:t>项目</w:t>
      </w:r>
      <w:r>
        <w:rPr>
          <w:rFonts w:hint="default" w:ascii="Times New Roman" w:hAnsi="Times New Roman" w:eastAsia="宋体" w:cs="Times New Roman"/>
          <w:color w:val="auto"/>
          <w:spacing w:val="-2"/>
          <w:sz w:val="24"/>
          <w:szCs w:val="24"/>
        </w:rPr>
        <w:t>主线设桥梁481m/3座，全部为大桥</w:t>
      </w:r>
      <w:r>
        <w:rPr>
          <w:rFonts w:hint="default" w:ascii="Times New Roman" w:hAnsi="Times New Roman" w:eastAsia="宋体" w:cs="Times New Roman"/>
          <w:color w:val="auto"/>
          <w:spacing w:val="-2"/>
          <w:sz w:val="24"/>
          <w:szCs w:val="24"/>
          <w:lang w:eastAsia="zh-CN"/>
        </w:rPr>
        <w:t>，</w:t>
      </w:r>
      <w:r>
        <w:rPr>
          <w:rFonts w:hint="default" w:ascii="Times New Roman" w:hAnsi="Times New Roman" w:cs="Times New Roman"/>
          <w:color w:val="auto"/>
          <w:highlight w:val="none"/>
        </w:rPr>
        <w:t>根据沿线地形、地质情况，全线一般桥梁结构形式主要采用预应力砼简支小箱梁</w:t>
      </w:r>
      <w:r>
        <w:rPr>
          <w:rFonts w:hint="default" w:ascii="Times New Roman" w:hAnsi="Times New Roman" w:cs="Times New Roman"/>
          <w:color w:val="auto"/>
          <w:highlight w:val="none"/>
          <w:lang w:val="en-US" w:eastAsia="zh-CN"/>
        </w:rPr>
        <w:t>和</w:t>
      </w:r>
      <w:r>
        <w:rPr>
          <w:rFonts w:hint="default" w:ascii="Times New Roman" w:hAnsi="Times New Roman" w:cs="Times New Roman"/>
          <w:color w:val="auto"/>
          <w:highlight w:val="none"/>
          <w:lang w:eastAsia="zh-CN"/>
        </w:rPr>
        <w:t>预应力砼简支T梁</w:t>
      </w:r>
      <w:r>
        <w:rPr>
          <w:rFonts w:hint="default" w:ascii="Times New Roman" w:hAnsi="Times New Roman" w:cs="Times New Roman"/>
          <w:color w:val="auto"/>
          <w:highlight w:val="none"/>
        </w:rPr>
        <w:t>结构</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lang w:val="en-US" w:eastAsia="zh-CN"/>
        </w:rPr>
        <w:t>另</w:t>
      </w:r>
      <w:r>
        <w:rPr>
          <w:rFonts w:hint="default" w:ascii="Times New Roman" w:hAnsi="Times New Roman" w:eastAsia="宋体" w:cs="Times New Roman"/>
          <w:color w:val="auto"/>
          <w:spacing w:val="-2"/>
          <w:sz w:val="24"/>
          <w:szCs w:val="24"/>
          <w:lang w:eastAsia="zh-CN"/>
        </w:rPr>
        <w:t>小沔枢纽互通</w:t>
      </w:r>
      <w:r>
        <w:rPr>
          <w:rFonts w:hint="default" w:ascii="Times New Roman" w:hAnsi="Times New Roman" w:eastAsia="宋体" w:cs="Times New Roman"/>
          <w:color w:val="auto"/>
          <w:spacing w:val="-2"/>
          <w:sz w:val="24"/>
          <w:szCs w:val="24"/>
        </w:rPr>
        <w:t>工程无主线桥，设置了匝道桥1915.2m/12座。匝道桥梁采用20、30m预制预应力混凝土先简支后桥面连续小箱梁、T梁及现浇连续箱梁</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桥梁均为跨越</w:t>
      </w:r>
      <w:r>
        <w:rPr>
          <w:rFonts w:hint="default" w:ascii="Times New Roman" w:hAnsi="Times New Roman" w:eastAsia="宋体" w:cs="Times New Roman"/>
          <w:snapToGrid/>
          <w:color w:val="auto"/>
          <w:kern w:val="0"/>
          <w:sz w:val="24"/>
          <w:szCs w:val="24"/>
          <w:lang w:val="en-US" w:eastAsia="zh-CN" w:bidi="ar"/>
        </w:rPr>
        <w:t>代峨溪、团结水库泄流沟</w:t>
      </w:r>
      <w:r>
        <w:rPr>
          <w:rFonts w:hint="default" w:ascii="Times New Roman" w:hAnsi="Times New Roman" w:eastAsia="宋体" w:cs="Times New Roman"/>
          <w:color w:val="auto"/>
          <w:spacing w:val="-2"/>
          <w:sz w:val="24"/>
          <w:szCs w:val="24"/>
        </w:rPr>
        <w:t>和道路而设，</w:t>
      </w:r>
      <w:r>
        <w:rPr>
          <w:rFonts w:hint="default" w:ascii="Times New Roman" w:hAnsi="Times New Roman" w:eastAsia="宋体" w:cs="Times New Roman"/>
          <w:color w:val="auto"/>
          <w:spacing w:val="-2"/>
          <w:sz w:val="24"/>
          <w:szCs w:val="24"/>
          <w:lang w:val="en-US" w:eastAsia="zh-CN"/>
        </w:rPr>
        <w:t>项目所有</w:t>
      </w:r>
      <w:r>
        <w:rPr>
          <w:rFonts w:hint="default" w:ascii="Times New Roman" w:hAnsi="Times New Roman" w:eastAsia="宋体" w:cs="Times New Roman"/>
          <w:color w:val="auto"/>
          <w:spacing w:val="-2"/>
          <w:sz w:val="24"/>
          <w:szCs w:val="24"/>
        </w:rPr>
        <w:t>桥梁无涉水基础</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lang w:val="en-US" w:eastAsia="zh-CN"/>
        </w:rPr>
        <w:t>全线</w:t>
      </w:r>
      <w:r>
        <w:rPr>
          <w:rFonts w:hint="default" w:ascii="Times New Roman" w:hAnsi="Times New Roman" w:eastAsia="宋体" w:cs="Times New Roman"/>
          <w:color w:val="auto"/>
          <w:spacing w:val="-2"/>
          <w:sz w:val="24"/>
          <w:szCs w:val="24"/>
        </w:rPr>
        <w:t>天桥</w:t>
      </w:r>
      <w:r>
        <w:rPr>
          <w:rFonts w:hint="default" w:ascii="Times New Roman" w:hAnsi="Times New Roman" w:eastAsia="宋体" w:cs="Times New Roman"/>
          <w:color w:val="auto"/>
          <w:spacing w:val="-2"/>
          <w:sz w:val="24"/>
          <w:szCs w:val="24"/>
          <w:lang w:val="en-US" w:eastAsia="zh-CN"/>
        </w:rPr>
        <w:t>7</w:t>
      </w:r>
      <w:r>
        <w:rPr>
          <w:rFonts w:hint="default" w:ascii="Times New Roman" w:hAnsi="Times New Roman" w:eastAsia="宋体" w:cs="Times New Roman"/>
          <w:color w:val="auto"/>
          <w:spacing w:val="-2"/>
          <w:sz w:val="24"/>
          <w:szCs w:val="24"/>
        </w:rPr>
        <w:t>座，</w:t>
      </w:r>
      <w:r>
        <w:rPr>
          <w:rFonts w:hint="default" w:ascii="Times New Roman" w:hAnsi="Times New Roman" w:eastAsia="宋体" w:cs="Times New Roman"/>
          <w:color w:val="auto"/>
          <w:spacing w:val="-2"/>
          <w:sz w:val="24"/>
          <w:szCs w:val="24"/>
          <w:lang w:val="en-US" w:eastAsia="zh-CN"/>
        </w:rPr>
        <w:t>另</w:t>
      </w:r>
      <w:r>
        <w:rPr>
          <w:rFonts w:hint="default" w:ascii="Times New Roman" w:hAnsi="Times New Roman" w:eastAsia="宋体" w:cs="Times New Roman"/>
          <w:color w:val="auto"/>
          <w:spacing w:val="-2"/>
          <w:sz w:val="24"/>
          <w:szCs w:val="24"/>
        </w:rPr>
        <w:t>设涵洞及通道</w:t>
      </w:r>
      <w:r>
        <w:rPr>
          <w:rFonts w:hint="default" w:ascii="Times New Roman" w:hAnsi="Times New Roman" w:eastAsia="宋体" w:cs="Times New Roman"/>
          <w:color w:val="auto"/>
          <w:spacing w:val="-2"/>
          <w:sz w:val="24"/>
          <w:szCs w:val="24"/>
          <w:lang w:val="en-US" w:eastAsia="zh-CN"/>
        </w:rPr>
        <w:t>共计</w:t>
      </w:r>
      <w:r>
        <w:rPr>
          <w:rFonts w:hint="default" w:ascii="Times New Roman" w:hAnsi="Times New Roman" w:eastAsia="宋体" w:cs="Times New Roman"/>
          <w:color w:val="auto"/>
          <w:spacing w:val="-2"/>
          <w:sz w:val="24"/>
          <w:szCs w:val="24"/>
        </w:rPr>
        <w:t>5</w:t>
      </w:r>
      <w:r>
        <w:rPr>
          <w:rFonts w:hint="default" w:ascii="Times New Roman" w:hAnsi="Times New Roman" w:eastAsia="宋体" w:cs="Times New Roman"/>
          <w:color w:val="auto"/>
          <w:spacing w:val="-2"/>
          <w:sz w:val="24"/>
          <w:szCs w:val="24"/>
          <w:lang w:val="en-US" w:eastAsia="zh-CN"/>
        </w:rPr>
        <w:t>7</w:t>
      </w:r>
      <w:r>
        <w:rPr>
          <w:rFonts w:hint="default" w:ascii="Times New Roman" w:hAnsi="Times New Roman" w:eastAsia="宋体" w:cs="Times New Roman"/>
          <w:color w:val="auto"/>
          <w:spacing w:val="-2"/>
          <w:sz w:val="24"/>
          <w:szCs w:val="24"/>
        </w:rPr>
        <w:t>道，其中</w:t>
      </w:r>
      <w:r>
        <w:rPr>
          <w:rFonts w:hint="default" w:ascii="Times New Roman" w:hAnsi="Times New Roman" w:eastAsia="宋体" w:cs="Times New Roman"/>
          <w:color w:val="auto"/>
          <w:spacing w:val="-2"/>
          <w:sz w:val="24"/>
          <w:szCs w:val="24"/>
          <w:lang w:val="en-US" w:eastAsia="zh-CN"/>
        </w:rPr>
        <w:t>30</w:t>
      </w:r>
      <w:r>
        <w:rPr>
          <w:rFonts w:hint="default" w:ascii="Times New Roman" w:hAnsi="Times New Roman" w:eastAsia="宋体" w:cs="Times New Roman"/>
          <w:color w:val="auto"/>
          <w:spacing w:val="-2"/>
          <w:sz w:val="24"/>
          <w:szCs w:val="24"/>
        </w:rPr>
        <w:t>处排水涵洞、1处车行通道、1处人行通道、2处排水兼车行通道、13处排水兼人行通道、</w:t>
      </w:r>
      <w:r>
        <w:rPr>
          <w:rFonts w:hint="default" w:ascii="Times New Roman" w:hAnsi="Times New Roman" w:eastAsia="宋体" w:cs="Times New Roman"/>
          <w:color w:val="auto"/>
          <w:spacing w:val="-2"/>
          <w:sz w:val="24"/>
          <w:szCs w:val="24"/>
          <w:lang w:val="en-US" w:eastAsia="zh-CN"/>
        </w:rPr>
        <w:t>9</w:t>
      </w:r>
      <w:r>
        <w:rPr>
          <w:rFonts w:hint="default" w:ascii="Times New Roman" w:hAnsi="Times New Roman" w:eastAsia="宋体" w:cs="Times New Roman"/>
          <w:color w:val="auto"/>
          <w:spacing w:val="-2"/>
          <w:sz w:val="24"/>
          <w:szCs w:val="24"/>
        </w:rPr>
        <w:t>处机耕通道）</w:t>
      </w:r>
      <w:r>
        <w:rPr>
          <w:rFonts w:hint="default" w:ascii="Times New Roman" w:hAnsi="Times New Roman" w:eastAsia="宋体" w:cs="Times New Roman"/>
          <w:color w:val="auto"/>
          <w:spacing w:val="-2"/>
          <w:sz w:val="24"/>
          <w:szCs w:val="24"/>
          <w:lang w:eastAsia="zh-CN"/>
        </w:rPr>
        <w:t>；</w:t>
      </w:r>
      <w:r>
        <w:rPr>
          <w:rFonts w:hint="default" w:ascii="Times New Roman" w:hAnsi="Times New Roman" w:cs="Times New Roman"/>
          <w:color w:val="auto"/>
          <w:spacing w:val="-2"/>
          <w:sz w:val="24"/>
          <w:szCs w:val="24"/>
          <w:lang w:val="en-US" w:eastAsia="zh-CN"/>
        </w:rPr>
        <w:t>项目主线</w:t>
      </w:r>
      <w:r>
        <w:rPr>
          <w:rFonts w:hint="default" w:ascii="Times New Roman" w:hAnsi="Times New Roman" w:eastAsia="宋体" w:cs="Times New Roman"/>
          <w:color w:val="auto"/>
          <w:highlight w:val="none"/>
        </w:rPr>
        <w:t>桥梁设置情况</w:t>
      </w:r>
      <w:r>
        <w:rPr>
          <w:rFonts w:hint="default" w:ascii="Times New Roman" w:hAnsi="Times New Roman" w:eastAsia="宋体" w:cs="Times New Roman"/>
          <w:color w:val="auto"/>
          <w:spacing w:val="0"/>
          <w:w w:val="100"/>
          <w:kern w:val="0"/>
          <w:position w:val="0"/>
          <w:sz w:val="24"/>
          <w:szCs w:val="24"/>
        </w:rPr>
        <w:t>详见下表</w:t>
      </w:r>
      <w:r>
        <w:rPr>
          <w:rFonts w:hint="default" w:ascii="Times New Roman" w:hAnsi="Times New Roman" w:cs="Times New Roman"/>
          <w:color w:val="auto"/>
          <w:spacing w:val="0"/>
          <w:w w:val="100"/>
          <w:kern w:val="0"/>
          <w:position w:val="0"/>
          <w:sz w:val="24"/>
          <w:szCs w:val="24"/>
          <w:lang w:val="en-US" w:eastAsia="zh-CN"/>
        </w:rPr>
        <w:t>，互通</w:t>
      </w:r>
      <w:r>
        <w:rPr>
          <w:rFonts w:hint="default" w:ascii="Times New Roman" w:hAnsi="Times New Roman" w:eastAsia="宋体" w:cs="Times New Roman"/>
          <w:color w:val="auto"/>
          <w:highlight w:val="none"/>
        </w:rPr>
        <w:t>桥梁设置情况</w:t>
      </w:r>
      <w:r>
        <w:rPr>
          <w:rFonts w:hint="default" w:ascii="Times New Roman" w:hAnsi="Times New Roman" w:eastAsia="宋体" w:cs="Times New Roman"/>
          <w:color w:val="auto"/>
          <w:spacing w:val="0"/>
          <w:w w:val="100"/>
          <w:kern w:val="0"/>
          <w:position w:val="0"/>
          <w:sz w:val="24"/>
          <w:szCs w:val="24"/>
        </w:rPr>
        <w:t>详见下表。</w:t>
      </w:r>
    </w:p>
    <w:p w14:paraId="578FDFAA">
      <w:pPr>
        <w:numPr>
          <w:ilvl w:val="4"/>
          <w:numId w:val="0"/>
        </w:numPr>
        <w:tabs>
          <w:tab w:val="left" w:pos="0"/>
        </w:tabs>
        <w:bidi w:val="0"/>
        <w:ind w:left="0" w:leftChars="0" w:firstLine="0" w:firstLineChars="0"/>
        <w:jc w:val="center"/>
        <w:outlineLvl w:val="9"/>
        <w:rPr>
          <w:rFonts w:hint="default" w:ascii="Times New Roman" w:hAnsi="Times New Roman" w:eastAsia="宋体" w:cs="Times New Roman"/>
          <w:color w:val="auto"/>
          <w:spacing w:val="0"/>
          <w:w w:val="100"/>
          <w:kern w:val="0"/>
          <w:position w:val="0"/>
          <w:sz w:val="21"/>
          <w:szCs w:val="21"/>
        </w:rPr>
      </w:pPr>
      <w:r>
        <w:rPr>
          <w:rFonts w:hint="default" w:ascii="Times New Roman" w:hAnsi="Times New Roman" w:eastAsia="宋体" w:cs="Times New Roman"/>
          <w:b/>
          <w:bCs/>
          <w:snapToGrid w:val="0"/>
          <w:color w:val="auto"/>
          <w:kern w:val="0"/>
          <w:sz w:val="21"/>
          <w:szCs w:val="21"/>
          <w:lang w:val="en-US" w:eastAsia="en-US" w:bidi="ar-SA"/>
        </w:rPr>
        <w:t>表2.</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en-US" w:bidi="ar-SA"/>
        </w:rPr>
        <w:t>-</w:t>
      </w:r>
      <w:r>
        <w:rPr>
          <w:rFonts w:hint="eastAsia" w:cs="Times New Roman"/>
          <w:b/>
          <w:bCs/>
          <w:snapToGrid w:val="0"/>
          <w:color w:val="auto"/>
          <w:kern w:val="0"/>
          <w:sz w:val="21"/>
          <w:szCs w:val="21"/>
          <w:lang w:val="en-US" w:eastAsia="zh-CN" w:bidi="ar-SA"/>
        </w:rPr>
        <w:t>6</w:t>
      </w:r>
      <w:r>
        <w:rPr>
          <w:rFonts w:hint="default" w:ascii="Times New Roman" w:hAnsi="Times New Roman" w:eastAsia="宋体" w:cs="Times New Roman"/>
          <w:b/>
          <w:bCs/>
          <w:snapToGrid w:val="0"/>
          <w:color w:val="auto"/>
          <w:kern w:val="0"/>
          <w:sz w:val="21"/>
          <w:szCs w:val="21"/>
          <w:lang w:val="en-US" w:eastAsia="en-US" w:bidi="ar-SA"/>
        </w:rPr>
        <w:t xml:space="preserve">  </w:t>
      </w:r>
      <w:r>
        <w:rPr>
          <w:rFonts w:hint="default" w:ascii="Times New Roman" w:hAnsi="Times New Roman" w:eastAsia="宋体" w:cs="Times New Roman"/>
          <w:b/>
          <w:bCs/>
          <w:color w:val="auto"/>
          <w:sz w:val="21"/>
          <w:szCs w:val="21"/>
        </w:rPr>
        <w:t>主线桥梁</w:t>
      </w:r>
      <w:r>
        <w:rPr>
          <w:rFonts w:hint="default" w:ascii="Times New Roman" w:hAnsi="Times New Roman" w:eastAsia="宋体" w:cs="Times New Roman"/>
          <w:b/>
          <w:bCs/>
          <w:color w:val="auto"/>
          <w:sz w:val="21"/>
          <w:szCs w:val="21"/>
          <w:lang w:val="en-US" w:eastAsia="zh-CN"/>
        </w:rPr>
        <w:t>设置</w:t>
      </w:r>
      <w:r>
        <w:rPr>
          <w:rFonts w:hint="default" w:ascii="Times New Roman" w:hAnsi="Times New Roman" w:eastAsia="宋体" w:cs="Times New Roman"/>
          <w:b/>
          <w:bCs/>
          <w:color w:val="auto"/>
          <w:sz w:val="21"/>
          <w:szCs w:val="21"/>
        </w:rPr>
        <w:t>一览表</w:t>
      </w:r>
    </w:p>
    <w:tbl>
      <w:tblPr>
        <w:tblStyle w:val="3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29"/>
        <w:gridCol w:w="1461"/>
        <w:gridCol w:w="2225"/>
        <w:gridCol w:w="711"/>
        <w:gridCol w:w="714"/>
        <w:gridCol w:w="1143"/>
        <w:gridCol w:w="999"/>
        <w:gridCol w:w="1716"/>
        <w:gridCol w:w="1575"/>
        <w:gridCol w:w="2108"/>
        <w:gridCol w:w="1603"/>
      </w:tblGrid>
      <w:tr w14:paraId="39573D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46" w:type="pct"/>
            <w:vMerge w:val="restart"/>
            <w:tcBorders>
              <w:tl2br w:val="nil"/>
              <w:tr2bl w:val="nil"/>
            </w:tcBorders>
            <w:noWrap w:val="0"/>
            <w:textDirection w:val="tbRlV"/>
            <w:vAlign w:val="center"/>
          </w:tcPr>
          <w:p w14:paraId="4855B45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序号</w:t>
            </w:r>
          </w:p>
        </w:tc>
        <w:tc>
          <w:tcPr>
            <w:tcW w:w="497" w:type="pct"/>
            <w:vMerge w:val="restart"/>
            <w:tcBorders>
              <w:tl2br w:val="nil"/>
              <w:tr2bl w:val="nil"/>
            </w:tcBorders>
            <w:noWrap w:val="0"/>
            <w:vAlign w:val="center"/>
          </w:tcPr>
          <w:p w14:paraId="464762B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中心桩号</w:t>
            </w:r>
          </w:p>
        </w:tc>
        <w:tc>
          <w:tcPr>
            <w:tcW w:w="757" w:type="pct"/>
            <w:vMerge w:val="restart"/>
            <w:tcBorders>
              <w:tl2br w:val="nil"/>
              <w:tr2bl w:val="nil"/>
            </w:tcBorders>
            <w:noWrap w:val="0"/>
            <w:vAlign w:val="center"/>
          </w:tcPr>
          <w:p w14:paraId="1B51539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河名及桥名</w:t>
            </w:r>
          </w:p>
        </w:tc>
        <w:tc>
          <w:tcPr>
            <w:tcW w:w="242" w:type="pct"/>
            <w:vMerge w:val="restart"/>
            <w:tcBorders>
              <w:tl2br w:val="nil"/>
              <w:tr2bl w:val="nil"/>
            </w:tcBorders>
            <w:noWrap w:val="0"/>
            <w:vAlign w:val="center"/>
          </w:tcPr>
          <w:p w14:paraId="634AC90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桥面宽度</w:t>
            </w:r>
            <w:r>
              <w:rPr>
                <w:rFonts w:hint="eastAsia" w:cs="Times New Roman"/>
                <w:snapToGrid/>
                <w:color w:val="auto"/>
                <w:kern w:val="0"/>
                <w:sz w:val="21"/>
                <w:szCs w:val="21"/>
                <w:lang w:val="en-US" w:eastAsia="zh-CN" w:bidi="ar"/>
              </w:rPr>
              <w:t>（</w:t>
            </w:r>
            <w:r>
              <w:rPr>
                <w:rFonts w:hint="default" w:ascii="Times New Roman" w:hAnsi="Times New Roman" w:eastAsia="宋体" w:cs="Times New Roman"/>
                <w:snapToGrid/>
                <w:color w:val="auto"/>
                <w:kern w:val="0"/>
                <w:sz w:val="21"/>
                <w:szCs w:val="21"/>
                <w:lang w:val="en-US" w:eastAsia="zh-CN" w:bidi="ar"/>
              </w:rPr>
              <w:t>m</w:t>
            </w:r>
            <w:r>
              <w:rPr>
                <w:rFonts w:hint="eastAsia" w:cs="Times New Roman"/>
                <w:snapToGrid/>
                <w:color w:val="auto"/>
                <w:kern w:val="0"/>
                <w:sz w:val="21"/>
                <w:szCs w:val="21"/>
                <w:lang w:val="en-US" w:eastAsia="zh-CN" w:bidi="ar"/>
              </w:rPr>
              <w:t>）</w:t>
            </w:r>
          </w:p>
        </w:tc>
        <w:tc>
          <w:tcPr>
            <w:tcW w:w="243" w:type="pct"/>
            <w:vMerge w:val="restart"/>
            <w:tcBorders>
              <w:tl2br w:val="nil"/>
              <w:tr2bl w:val="nil"/>
            </w:tcBorders>
            <w:noWrap w:val="0"/>
            <w:vAlign w:val="center"/>
          </w:tcPr>
          <w:p w14:paraId="5B487E9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最大桥高</w:t>
            </w:r>
            <w:r>
              <w:rPr>
                <w:rFonts w:hint="eastAsia" w:cs="Times New Roman"/>
                <w:snapToGrid/>
                <w:color w:val="auto"/>
                <w:kern w:val="0"/>
                <w:sz w:val="21"/>
                <w:szCs w:val="21"/>
                <w:lang w:val="en-US" w:eastAsia="zh-CN" w:bidi="ar"/>
              </w:rPr>
              <w:t>（</w:t>
            </w:r>
            <w:r>
              <w:rPr>
                <w:rFonts w:hint="default" w:ascii="Times New Roman" w:hAnsi="Times New Roman" w:eastAsia="宋体" w:cs="Times New Roman"/>
                <w:snapToGrid/>
                <w:color w:val="auto"/>
                <w:kern w:val="0"/>
                <w:sz w:val="21"/>
                <w:szCs w:val="21"/>
                <w:lang w:val="en-US" w:eastAsia="zh-CN" w:bidi="ar"/>
              </w:rPr>
              <w:t>m</w:t>
            </w:r>
            <w:r>
              <w:rPr>
                <w:rFonts w:hint="eastAsia" w:cs="Times New Roman"/>
                <w:snapToGrid/>
                <w:color w:val="auto"/>
                <w:kern w:val="0"/>
                <w:sz w:val="21"/>
                <w:szCs w:val="21"/>
                <w:lang w:val="en-US" w:eastAsia="zh-CN" w:bidi="ar"/>
              </w:rPr>
              <w:t>）</w:t>
            </w:r>
          </w:p>
        </w:tc>
        <w:tc>
          <w:tcPr>
            <w:tcW w:w="389" w:type="pct"/>
            <w:vMerge w:val="restart"/>
            <w:tcBorders>
              <w:tl2br w:val="nil"/>
              <w:tr2bl w:val="nil"/>
            </w:tcBorders>
            <w:noWrap w:val="0"/>
            <w:vAlign w:val="center"/>
          </w:tcPr>
          <w:p w14:paraId="334463F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孔数及跨径（孔-m）</w:t>
            </w:r>
          </w:p>
        </w:tc>
        <w:tc>
          <w:tcPr>
            <w:tcW w:w="340" w:type="pct"/>
            <w:vMerge w:val="restart"/>
            <w:tcBorders>
              <w:tl2br w:val="nil"/>
              <w:tr2bl w:val="nil"/>
            </w:tcBorders>
            <w:noWrap w:val="0"/>
            <w:vAlign w:val="center"/>
          </w:tcPr>
          <w:p w14:paraId="4B1C030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桥梁全长</w:t>
            </w:r>
          </w:p>
          <w:p w14:paraId="4E09977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(m)</w:t>
            </w:r>
          </w:p>
        </w:tc>
        <w:tc>
          <w:tcPr>
            <w:tcW w:w="1837" w:type="pct"/>
            <w:gridSpan w:val="3"/>
            <w:tcBorders>
              <w:tl2br w:val="nil"/>
              <w:tr2bl w:val="nil"/>
            </w:tcBorders>
            <w:noWrap w:val="0"/>
            <w:vAlign w:val="center"/>
          </w:tcPr>
          <w:p w14:paraId="34BAE0D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结构类型</w:t>
            </w:r>
          </w:p>
        </w:tc>
        <w:tc>
          <w:tcPr>
            <w:tcW w:w="545" w:type="pct"/>
            <w:vMerge w:val="restart"/>
            <w:tcBorders>
              <w:tl2br w:val="nil"/>
              <w:tr2bl w:val="nil"/>
            </w:tcBorders>
            <w:noWrap w:val="0"/>
            <w:vAlign w:val="center"/>
          </w:tcPr>
          <w:p w14:paraId="1E06199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备注</w:t>
            </w:r>
          </w:p>
        </w:tc>
      </w:tr>
      <w:tr w14:paraId="7C2B9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146" w:type="pct"/>
            <w:vMerge w:val="continue"/>
            <w:tcBorders>
              <w:tl2br w:val="nil"/>
              <w:tr2bl w:val="nil"/>
            </w:tcBorders>
            <w:noWrap w:val="0"/>
            <w:textDirection w:val="tbRlV"/>
            <w:vAlign w:val="center"/>
          </w:tcPr>
          <w:p w14:paraId="2256A9E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497" w:type="pct"/>
            <w:vMerge w:val="continue"/>
            <w:tcBorders>
              <w:tl2br w:val="nil"/>
              <w:tr2bl w:val="nil"/>
            </w:tcBorders>
            <w:noWrap w:val="0"/>
            <w:vAlign w:val="center"/>
          </w:tcPr>
          <w:p w14:paraId="058B55C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757" w:type="pct"/>
            <w:vMerge w:val="continue"/>
            <w:tcBorders>
              <w:tl2br w:val="nil"/>
              <w:tr2bl w:val="nil"/>
            </w:tcBorders>
            <w:noWrap w:val="0"/>
            <w:vAlign w:val="center"/>
          </w:tcPr>
          <w:p w14:paraId="711460A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2" w:type="pct"/>
            <w:vMerge w:val="continue"/>
            <w:tcBorders>
              <w:tl2br w:val="nil"/>
              <w:tr2bl w:val="nil"/>
            </w:tcBorders>
            <w:noWrap w:val="0"/>
            <w:vAlign w:val="center"/>
          </w:tcPr>
          <w:p w14:paraId="522419D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3" w:type="pct"/>
            <w:vMerge w:val="continue"/>
            <w:tcBorders>
              <w:tl2br w:val="nil"/>
              <w:tr2bl w:val="nil"/>
            </w:tcBorders>
            <w:noWrap w:val="0"/>
            <w:vAlign w:val="center"/>
          </w:tcPr>
          <w:p w14:paraId="2418779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389" w:type="pct"/>
            <w:vMerge w:val="continue"/>
            <w:tcBorders>
              <w:tl2br w:val="nil"/>
              <w:tr2bl w:val="nil"/>
            </w:tcBorders>
            <w:noWrap w:val="0"/>
            <w:vAlign w:val="center"/>
          </w:tcPr>
          <w:p w14:paraId="39A9430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340" w:type="pct"/>
            <w:vMerge w:val="continue"/>
            <w:tcBorders>
              <w:tl2br w:val="nil"/>
              <w:tr2bl w:val="nil"/>
            </w:tcBorders>
            <w:noWrap w:val="0"/>
            <w:vAlign w:val="center"/>
          </w:tcPr>
          <w:p w14:paraId="75DEF99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584" w:type="pct"/>
            <w:vMerge w:val="restart"/>
            <w:tcBorders>
              <w:tl2br w:val="nil"/>
              <w:tr2bl w:val="nil"/>
            </w:tcBorders>
            <w:noWrap w:val="0"/>
            <w:vAlign w:val="center"/>
          </w:tcPr>
          <w:p w14:paraId="6A611AE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上部构造</w:t>
            </w:r>
          </w:p>
        </w:tc>
        <w:tc>
          <w:tcPr>
            <w:tcW w:w="1252" w:type="pct"/>
            <w:gridSpan w:val="2"/>
            <w:tcBorders>
              <w:tl2br w:val="nil"/>
              <w:tr2bl w:val="nil"/>
            </w:tcBorders>
            <w:noWrap w:val="0"/>
            <w:vAlign w:val="center"/>
          </w:tcPr>
          <w:p w14:paraId="55A4512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下部构造</w:t>
            </w:r>
          </w:p>
        </w:tc>
        <w:tc>
          <w:tcPr>
            <w:tcW w:w="545" w:type="pct"/>
            <w:vMerge w:val="continue"/>
            <w:tcBorders>
              <w:tl2br w:val="nil"/>
              <w:tr2bl w:val="nil"/>
            </w:tcBorders>
            <w:noWrap w:val="0"/>
            <w:vAlign w:val="center"/>
          </w:tcPr>
          <w:p w14:paraId="7404240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r>
      <w:tr w14:paraId="0AF07C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jc w:val="center"/>
        </w:trPr>
        <w:tc>
          <w:tcPr>
            <w:tcW w:w="146" w:type="pct"/>
            <w:vMerge w:val="continue"/>
            <w:tcBorders>
              <w:tl2br w:val="nil"/>
              <w:tr2bl w:val="nil"/>
            </w:tcBorders>
            <w:noWrap w:val="0"/>
            <w:textDirection w:val="tbRlV"/>
            <w:vAlign w:val="center"/>
          </w:tcPr>
          <w:p w14:paraId="2578B29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497" w:type="pct"/>
            <w:vMerge w:val="continue"/>
            <w:tcBorders>
              <w:tl2br w:val="nil"/>
              <w:tr2bl w:val="nil"/>
            </w:tcBorders>
            <w:noWrap w:val="0"/>
            <w:vAlign w:val="center"/>
          </w:tcPr>
          <w:p w14:paraId="21E0AF8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757" w:type="pct"/>
            <w:vMerge w:val="continue"/>
            <w:tcBorders>
              <w:tl2br w:val="nil"/>
              <w:tr2bl w:val="nil"/>
            </w:tcBorders>
            <w:noWrap w:val="0"/>
            <w:vAlign w:val="center"/>
          </w:tcPr>
          <w:p w14:paraId="25D6CF6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2" w:type="pct"/>
            <w:vMerge w:val="continue"/>
            <w:tcBorders>
              <w:tl2br w:val="nil"/>
              <w:tr2bl w:val="nil"/>
            </w:tcBorders>
            <w:noWrap w:val="0"/>
            <w:vAlign w:val="center"/>
          </w:tcPr>
          <w:p w14:paraId="1C50C2A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3" w:type="pct"/>
            <w:vMerge w:val="continue"/>
            <w:tcBorders>
              <w:tl2br w:val="nil"/>
              <w:tr2bl w:val="nil"/>
            </w:tcBorders>
            <w:noWrap w:val="0"/>
            <w:vAlign w:val="center"/>
          </w:tcPr>
          <w:p w14:paraId="00630D2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389" w:type="pct"/>
            <w:vMerge w:val="continue"/>
            <w:tcBorders>
              <w:tl2br w:val="nil"/>
              <w:tr2bl w:val="nil"/>
            </w:tcBorders>
            <w:noWrap w:val="0"/>
            <w:vAlign w:val="center"/>
          </w:tcPr>
          <w:p w14:paraId="2D66DBF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340" w:type="pct"/>
            <w:vMerge w:val="continue"/>
            <w:tcBorders>
              <w:tl2br w:val="nil"/>
              <w:tr2bl w:val="nil"/>
            </w:tcBorders>
            <w:noWrap w:val="0"/>
            <w:vAlign w:val="center"/>
          </w:tcPr>
          <w:p w14:paraId="0F839D2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584" w:type="pct"/>
            <w:vMerge w:val="continue"/>
            <w:tcBorders>
              <w:tl2br w:val="nil"/>
              <w:tr2bl w:val="nil"/>
            </w:tcBorders>
            <w:noWrap w:val="0"/>
            <w:vAlign w:val="center"/>
          </w:tcPr>
          <w:p w14:paraId="10EBDF3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536" w:type="pct"/>
            <w:tcBorders>
              <w:tl2br w:val="nil"/>
              <w:tr2bl w:val="nil"/>
            </w:tcBorders>
            <w:noWrap w:val="0"/>
            <w:vAlign w:val="center"/>
          </w:tcPr>
          <w:p w14:paraId="581DB64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墩及基础</w:t>
            </w:r>
          </w:p>
        </w:tc>
        <w:tc>
          <w:tcPr>
            <w:tcW w:w="716" w:type="pct"/>
            <w:tcBorders>
              <w:tl2br w:val="nil"/>
              <w:tr2bl w:val="nil"/>
            </w:tcBorders>
            <w:noWrap w:val="0"/>
            <w:vAlign w:val="center"/>
          </w:tcPr>
          <w:p w14:paraId="7596CD2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台及基础</w:t>
            </w:r>
          </w:p>
        </w:tc>
        <w:tc>
          <w:tcPr>
            <w:tcW w:w="545" w:type="pct"/>
            <w:vMerge w:val="continue"/>
            <w:tcBorders>
              <w:tl2br w:val="nil"/>
              <w:tr2bl w:val="nil"/>
            </w:tcBorders>
            <w:noWrap w:val="0"/>
            <w:vAlign w:val="center"/>
          </w:tcPr>
          <w:p w14:paraId="537C2BB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r>
      <w:tr w14:paraId="1730A5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146" w:type="pct"/>
            <w:tcBorders>
              <w:tl2br w:val="nil"/>
              <w:tr2bl w:val="nil"/>
            </w:tcBorders>
            <w:noWrap w:val="0"/>
            <w:vAlign w:val="center"/>
          </w:tcPr>
          <w:p w14:paraId="538D458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w:t>
            </w:r>
          </w:p>
        </w:tc>
        <w:tc>
          <w:tcPr>
            <w:tcW w:w="497" w:type="pct"/>
            <w:tcBorders>
              <w:tl2br w:val="nil"/>
              <w:tr2bl w:val="nil"/>
            </w:tcBorders>
            <w:noWrap w:val="0"/>
            <w:vAlign w:val="center"/>
          </w:tcPr>
          <w:p w14:paraId="672E4FD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K71+465.00</w:t>
            </w:r>
          </w:p>
        </w:tc>
        <w:tc>
          <w:tcPr>
            <w:tcW w:w="757" w:type="pct"/>
            <w:tcBorders>
              <w:tl2br w:val="nil"/>
              <w:tr2bl w:val="nil"/>
            </w:tcBorders>
            <w:noWrap w:val="0"/>
            <w:vAlign w:val="center"/>
          </w:tcPr>
          <w:p w14:paraId="140ADF2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新桂大桥</w:t>
            </w:r>
          </w:p>
        </w:tc>
        <w:tc>
          <w:tcPr>
            <w:tcW w:w="242" w:type="pct"/>
            <w:tcBorders>
              <w:tl2br w:val="nil"/>
              <w:tr2bl w:val="nil"/>
            </w:tcBorders>
            <w:noWrap w:val="0"/>
            <w:vAlign w:val="center"/>
          </w:tcPr>
          <w:p w14:paraId="16E5847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25.50</w:t>
            </w:r>
          </w:p>
        </w:tc>
        <w:tc>
          <w:tcPr>
            <w:tcW w:w="243" w:type="pct"/>
            <w:tcBorders>
              <w:tl2br w:val="nil"/>
              <w:tr2bl w:val="nil"/>
            </w:tcBorders>
            <w:noWrap w:val="0"/>
            <w:vAlign w:val="center"/>
          </w:tcPr>
          <w:p w14:paraId="58E8AE5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13.0</w:t>
            </w:r>
          </w:p>
        </w:tc>
        <w:tc>
          <w:tcPr>
            <w:tcW w:w="389" w:type="pct"/>
            <w:tcBorders>
              <w:tl2br w:val="nil"/>
              <w:tr2bl w:val="nil"/>
            </w:tcBorders>
            <w:noWrap w:val="0"/>
            <w:vAlign w:val="center"/>
          </w:tcPr>
          <w:p w14:paraId="7939D94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5-20</w:t>
            </w:r>
          </w:p>
        </w:tc>
        <w:tc>
          <w:tcPr>
            <w:tcW w:w="340" w:type="pct"/>
            <w:tcBorders>
              <w:tl2br w:val="nil"/>
              <w:tr2bl w:val="nil"/>
            </w:tcBorders>
            <w:noWrap w:val="0"/>
            <w:vAlign w:val="center"/>
          </w:tcPr>
          <w:p w14:paraId="616CDCE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106.50</w:t>
            </w:r>
          </w:p>
        </w:tc>
        <w:tc>
          <w:tcPr>
            <w:tcW w:w="584" w:type="pct"/>
            <w:tcBorders>
              <w:tl2br w:val="nil"/>
              <w:tr2bl w:val="nil"/>
            </w:tcBorders>
            <w:noWrap w:val="0"/>
            <w:vAlign w:val="center"/>
          </w:tcPr>
          <w:p w14:paraId="7353A2C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预应力砼简支</w:t>
            </w:r>
          </w:p>
          <w:p w14:paraId="6B24F4E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小箱梁</w:t>
            </w:r>
          </w:p>
        </w:tc>
        <w:tc>
          <w:tcPr>
            <w:tcW w:w="536" w:type="pct"/>
            <w:tcBorders>
              <w:tl2br w:val="nil"/>
              <w:tr2bl w:val="nil"/>
            </w:tcBorders>
            <w:noWrap w:val="0"/>
            <w:vAlign w:val="center"/>
          </w:tcPr>
          <w:p w14:paraId="7A416F1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6" w:type="pct"/>
            <w:tcBorders>
              <w:tl2br w:val="nil"/>
              <w:tr2bl w:val="nil"/>
            </w:tcBorders>
            <w:noWrap w:val="0"/>
            <w:vAlign w:val="center"/>
          </w:tcPr>
          <w:p w14:paraId="4F35BFA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肋板式桥台、重力式台</w:t>
            </w:r>
          </w:p>
        </w:tc>
        <w:tc>
          <w:tcPr>
            <w:tcW w:w="545" w:type="pct"/>
            <w:tcBorders>
              <w:tl2br w:val="nil"/>
              <w:tr2bl w:val="nil"/>
            </w:tcBorders>
            <w:noWrap w:val="0"/>
            <w:vAlign w:val="center"/>
          </w:tcPr>
          <w:p w14:paraId="2335DC4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上跨代峨溪、</w:t>
            </w:r>
          </w:p>
          <w:p w14:paraId="78C25E5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道路；不涉及涉水桥墩</w:t>
            </w:r>
          </w:p>
        </w:tc>
      </w:tr>
      <w:tr w14:paraId="1902A5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46" w:type="pct"/>
            <w:tcBorders>
              <w:tl2br w:val="nil"/>
              <w:tr2bl w:val="nil"/>
            </w:tcBorders>
            <w:noWrap w:val="0"/>
            <w:vAlign w:val="center"/>
          </w:tcPr>
          <w:p w14:paraId="11A8664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w:t>
            </w:r>
          </w:p>
        </w:tc>
        <w:tc>
          <w:tcPr>
            <w:tcW w:w="497" w:type="pct"/>
            <w:tcBorders>
              <w:tl2br w:val="nil"/>
              <w:tr2bl w:val="nil"/>
            </w:tcBorders>
            <w:noWrap w:val="0"/>
            <w:vAlign w:val="center"/>
          </w:tcPr>
          <w:p w14:paraId="2D2B871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K73+286.827</w:t>
            </w:r>
          </w:p>
        </w:tc>
        <w:tc>
          <w:tcPr>
            <w:tcW w:w="757" w:type="pct"/>
            <w:tcBorders>
              <w:tl2br w:val="nil"/>
              <w:tr2bl w:val="nil"/>
            </w:tcBorders>
            <w:noWrap w:val="0"/>
            <w:vAlign w:val="center"/>
          </w:tcPr>
          <w:p w14:paraId="70BC53F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陈家坝大桥</w:t>
            </w:r>
          </w:p>
        </w:tc>
        <w:tc>
          <w:tcPr>
            <w:tcW w:w="242" w:type="pct"/>
            <w:tcBorders>
              <w:tl2br w:val="nil"/>
              <w:tr2bl w:val="nil"/>
            </w:tcBorders>
            <w:noWrap w:val="0"/>
            <w:vAlign w:val="center"/>
          </w:tcPr>
          <w:p w14:paraId="5261C35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25.50</w:t>
            </w:r>
          </w:p>
        </w:tc>
        <w:tc>
          <w:tcPr>
            <w:tcW w:w="243" w:type="pct"/>
            <w:tcBorders>
              <w:tl2br w:val="nil"/>
              <w:tr2bl w:val="nil"/>
            </w:tcBorders>
            <w:noWrap w:val="0"/>
            <w:vAlign w:val="center"/>
          </w:tcPr>
          <w:p w14:paraId="6867F6B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27.0</w:t>
            </w:r>
          </w:p>
        </w:tc>
        <w:tc>
          <w:tcPr>
            <w:tcW w:w="389" w:type="pct"/>
            <w:tcBorders>
              <w:tl2br w:val="nil"/>
              <w:tr2bl w:val="nil"/>
            </w:tcBorders>
            <w:noWrap w:val="0"/>
            <w:vAlign w:val="center"/>
          </w:tcPr>
          <w:p w14:paraId="48DE5C6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9-30</w:t>
            </w:r>
          </w:p>
        </w:tc>
        <w:tc>
          <w:tcPr>
            <w:tcW w:w="340" w:type="pct"/>
            <w:tcBorders>
              <w:tl2br w:val="nil"/>
              <w:tr2bl w:val="nil"/>
            </w:tcBorders>
            <w:noWrap w:val="0"/>
            <w:vAlign w:val="center"/>
          </w:tcPr>
          <w:p w14:paraId="53FC602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277.50</w:t>
            </w:r>
          </w:p>
        </w:tc>
        <w:tc>
          <w:tcPr>
            <w:tcW w:w="584" w:type="pct"/>
            <w:tcBorders>
              <w:tl2br w:val="nil"/>
              <w:tr2bl w:val="nil"/>
            </w:tcBorders>
            <w:noWrap w:val="0"/>
            <w:vAlign w:val="center"/>
          </w:tcPr>
          <w:p w14:paraId="1BBF462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预应力砼简支T梁</w:t>
            </w:r>
          </w:p>
        </w:tc>
        <w:tc>
          <w:tcPr>
            <w:tcW w:w="536" w:type="pct"/>
            <w:tcBorders>
              <w:tl2br w:val="nil"/>
              <w:tr2bl w:val="nil"/>
            </w:tcBorders>
            <w:noWrap w:val="0"/>
            <w:vAlign w:val="center"/>
          </w:tcPr>
          <w:p w14:paraId="607BABA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6" w:type="pct"/>
            <w:tcBorders>
              <w:tl2br w:val="nil"/>
              <w:tr2bl w:val="nil"/>
            </w:tcBorders>
            <w:noWrap w:val="0"/>
            <w:vAlign w:val="center"/>
          </w:tcPr>
          <w:p w14:paraId="087A4B7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重力式台、扩大基础</w:t>
            </w:r>
          </w:p>
        </w:tc>
        <w:tc>
          <w:tcPr>
            <w:tcW w:w="545" w:type="pct"/>
            <w:tcBorders>
              <w:tl2br w:val="nil"/>
              <w:tr2bl w:val="nil"/>
            </w:tcBorders>
            <w:noWrap w:val="0"/>
            <w:vAlign w:val="center"/>
          </w:tcPr>
          <w:p w14:paraId="2A6273A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上跨道路；不涉及涉水桥墩</w:t>
            </w:r>
          </w:p>
        </w:tc>
      </w:tr>
      <w:tr w14:paraId="2E5E41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146" w:type="pct"/>
            <w:vMerge w:val="restart"/>
            <w:tcBorders>
              <w:tl2br w:val="nil"/>
              <w:tr2bl w:val="nil"/>
            </w:tcBorders>
            <w:noWrap w:val="0"/>
            <w:vAlign w:val="center"/>
          </w:tcPr>
          <w:p w14:paraId="34CB617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3</w:t>
            </w:r>
          </w:p>
        </w:tc>
        <w:tc>
          <w:tcPr>
            <w:tcW w:w="497" w:type="pct"/>
            <w:tcBorders>
              <w:tl2br w:val="nil"/>
              <w:tr2bl w:val="nil"/>
            </w:tcBorders>
            <w:noWrap w:val="0"/>
            <w:vAlign w:val="center"/>
          </w:tcPr>
          <w:p w14:paraId="3FB48AB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K77+138.000</w:t>
            </w:r>
          </w:p>
        </w:tc>
        <w:tc>
          <w:tcPr>
            <w:tcW w:w="757" w:type="pct"/>
            <w:tcBorders>
              <w:tl2br w:val="nil"/>
              <w:tr2bl w:val="nil"/>
            </w:tcBorders>
            <w:noWrap w:val="0"/>
            <w:vAlign w:val="center"/>
          </w:tcPr>
          <w:p w14:paraId="36423AE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团结水库大桥（左幅）</w:t>
            </w:r>
          </w:p>
        </w:tc>
        <w:tc>
          <w:tcPr>
            <w:tcW w:w="242" w:type="pct"/>
            <w:tcBorders>
              <w:tl2br w:val="nil"/>
              <w:tr2bl w:val="nil"/>
            </w:tcBorders>
            <w:noWrap w:val="0"/>
            <w:vAlign w:val="center"/>
          </w:tcPr>
          <w:p w14:paraId="1A41F77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12.75</w:t>
            </w:r>
          </w:p>
        </w:tc>
        <w:tc>
          <w:tcPr>
            <w:tcW w:w="243" w:type="pct"/>
            <w:tcBorders>
              <w:tl2br w:val="nil"/>
              <w:tr2bl w:val="nil"/>
            </w:tcBorders>
            <w:noWrap w:val="0"/>
            <w:vAlign w:val="center"/>
          </w:tcPr>
          <w:p w14:paraId="6191A2E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5.0</w:t>
            </w:r>
          </w:p>
        </w:tc>
        <w:tc>
          <w:tcPr>
            <w:tcW w:w="389" w:type="pct"/>
            <w:tcBorders>
              <w:tl2br w:val="nil"/>
              <w:tr2bl w:val="nil"/>
            </w:tcBorders>
            <w:noWrap w:val="0"/>
            <w:vAlign w:val="center"/>
          </w:tcPr>
          <w:p w14:paraId="64B3E7B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5-20</w:t>
            </w:r>
          </w:p>
        </w:tc>
        <w:tc>
          <w:tcPr>
            <w:tcW w:w="340" w:type="pct"/>
            <w:tcBorders>
              <w:tl2br w:val="nil"/>
              <w:tr2bl w:val="nil"/>
            </w:tcBorders>
            <w:noWrap w:val="0"/>
            <w:vAlign w:val="center"/>
          </w:tcPr>
          <w:p w14:paraId="4981E71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eastAsia" w:ascii="Times New Roman" w:hAnsi="Times New Roman" w:eastAsia="宋体" w:cs="Times New Roman"/>
                <w:snapToGrid/>
                <w:color w:val="auto"/>
                <w:kern w:val="0"/>
                <w:sz w:val="21"/>
                <w:szCs w:val="21"/>
                <w:lang w:val="en-US" w:eastAsia="zh-CN" w:bidi="ar"/>
              </w:rPr>
              <w:t>9</w:t>
            </w:r>
            <w:r>
              <w:rPr>
                <w:rFonts w:hint="default" w:ascii="Times New Roman" w:hAnsi="Times New Roman" w:eastAsia="宋体" w:cs="Times New Roman"/>
                <w:snapToGrid/>
                <w:color w:val="auto"/>
                <w:kern w:val="0"/>
                <w:sz w:val="21"/>
                <w:szCs w:val="21"/>
                <w:lang w:val="en-US" w:eastAsia="zh-CN" w:bidi="ar"/>
              </w:rPr>
              <w:t>7.00</w:t>
            </w:r>
          </w:p>
        </w:tc>
        <w:tc>
          <w:tcPr>
            <w:tcW w:w="584" w:type="pct"/>
            <w:tcBorders>
              <w:tl2br w:val="nil"/>
              <w:tr2bl w:val="nil"/>
            </w:tcBorders>
            <w:noWrap w:val="0"/>
            <w:vAlign w:val="center"/>
          </w:tcPr>
          <w:p w14:paraId="790180A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预应力砼简支</w:t>
            </w:r>
          </w:p>
          <w:p w14:paraId="276C0DB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小箱梁</w:t>
            </w:r>
          </w:p>
        </w:tc>
        <w:tc>
          <w:tcPr>
            <w:tcW w:w="536" w:type="pct"/>
            <w:tcBorders>
              <w:tl2br w:val="nil"/>
              <w:tr2bl w:val="nil"/>
            </w:tcBorders>
            <w:noWrap w:val="0"/>
            <w:vAlign w:val="center"/>
          </w:tcPr>
          <w:p w14:paraId="4404202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6" w:type="pct"/>
            <w:tcBorders>
              <w:tl2br w:val="nil"/>
              <w:tr2bl w:val="nil"/>
            </w:tcBorders>
            <w:noWrap w:val="0"/>
            <w:vAlign w:val="center"/>
          </w:tcPr>
          <w:p w14:paraId="1D80D74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肋板式桥台、重力式台</w:t>
            </w:r>
          </w:p>
        </w:tc>
        <w:tc>
          <w:tcPr>
            <w:tcW w:w="545" w:type="pct"/>
            <w:vMerge w:val="restart"/>
            <w:tcBorders>
              <w:tl2br w:val="nil"/>
              <w:tr2bl w:val="nil"/>
            </w:tcBorders>
            <w:noWrap w:val="0"/>
            <w:vAlign w:val="center"/>
          </w:tcPr>
          <w:p w14:paraId="13CCE25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上跨团结水库泄流沟、道路；不涉及涉水桥墩</w:t>
            </w:r>
          </w:p>
        </w:tc>
      </w:tr>
      <w:tr w14:paraId="1BCBFC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jc w:val="center"/>
        </w:trPr>
        <w:tc>
          <w:tcPr>
            <w:tcW w:w="146" w:type="pct"/>
            <w:vMerge w:val="continue"/>
            <w:tcBorders>
              <w:tl2br w:val="nil"/>
              <w:tr2bl w:val="nil"/>
            </w:tcBorders>
            <w:noWrap w:val="0"/>
            <w:vAlign w:val="center"/>
          </w:tcPr>
          <w:p w14:paraId="348D5EE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497" w:type="pct"/>
            <w:tcBorders>
              <w:tl2br w:val="nil"/>
              <w:tr2bl w:val="nil"/>
            </w:tcBorders>
            <w:noWrap w:val="0"/>
            <w:vAlign w:val="center"/>
          </w:tcPr>
          <w:p w14:paraId="575995D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K77+128.000</w:t>
            </w:r>
          </w:p>
        </w:tc>
        <w:tc>
          <w:tcPr>
            <w:tcW w:w="757" w:type="pct"/>
            <w:tcBorders>
              <w:tl2br w:val="nil"/>
              <w:tr2bl w:val="nil"/>
            </w:tcBorders>
            <w:noWrap w:val="0"/>
            <w:vAlign w:val="center"/>
          </w:tcPr>
          <w:p w14:paraId="51B5208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团结水库大桥（右幅）</w:t>
            </w:r>
          </w:p>
        </w:tc>
        <w:tc>
          <w:tcPr>
            <w:tcW w:w="242" w:type="pct"/>
            <w:tcBorders>
              <w:tl2br w:val="nil"/>
              <w:tr2bl w:val="nil"/>
            </w:tcBorders>
            <w:noWrap w:val="0"/>
            <w:vAlign w:val="center"/>
          </w:tcPr>
          <w:p w14:paraId="186CA23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12.75</w:t>
            </w:r>
          </w:p>
        </w:tc>
        <w:tc>
          <w:tcPr>
            <w:tcW w:w="243" w:type="pct"/>
            <w:tcBorders>
              <w:tl2br w:val="nil"/>
              <w:tr2bl w:val="nil"/>
            </w:tcBorders>
            <w:noWrap w:val="0"/>
            <w:vAlign w:val="center"/>
          </w:tcPr>
          <w:p w14:paraId="6403B57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5.0</w:t>
            </w:r>
          </w:p>
        </w:tc>
        <w:tc>
          <w:tcPr>
            <w:tcW w:w="389" w:type="pct"/>
            <w:tcBorders>
              <w:tl2br w:val="nil"/>
              <w:tr2bl w:val="nil"/>
            </w:tcBorders>
            <w:noWrap w:val="0"/>
            <w:vAlign w:val="center"/>
          </w:tcPr>
          <w:p w14:paraId="220C7A1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4-20</w:t>
            </w:r>
          </w:p>
        </w:tc>
        <w:tc>
          <w:tcPr>
            <w:tcW w:w="340" w:type="pct"/>
            <w:tcBorders>
              <w:tl2br w:val="nil"/>
              <w:tr2bl w:val="nil"/>
            </w:tcBorders>
            <w:noWrap w:val="0"/>
            <w:vAlign w:val="center"/>
          </w:tcPr>
          <w:p w14:paraId="4EC13D4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87.00</w:t>
            </w:r>
          </w:p>
        </w:tc>
        <w:tc>
          <w:tcPr>
            <w:tcW w:w="584" w:type="pct"/>
            <w:tcBorders>
              <w:tl2br w:val="nil"/>
              <w:tr2bl w:val="nil"/>
            </w:tcBorders>
            <w:noWrap w:val="0"/>
            <w:vAlign w:val="center"/>
          </w:tcPr>
          <w:p w14:paraId="1BC3AB0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预应力砼简支</w:t>
            </w:r>
          </w:p>
          <w:p w14:paraId="366DCE3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小箱梁</w:t>
            </w:r>
          </w:p>
        </w:tc>
        <w:tc>
          <w:tcPr>
            <w:tcW w:w="536" w:type="pct"/>
            <w:tcBorders>
              <w:tl2br w:val="nil"/>
              <w:tr2bl w:val="nil"/>
            </w:tcBorders>
            <w:noWrap w:val="0"/>
            <w:vAlign w:val="center"/>
          </w:tcPr>
          <w:p w14:paraId="7606B83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6" w:type="pct"/>
            <w:tcBorders>
              <w:tl2br w:val="nil"/>
              <w:tr2bl w:val="nil"/>
            </w:tcBorders>
            <w:noWrap w:val="0"/>
            <w:vAlign w:val="center"/>
          </w:tcPr>
          <w:p w14:paraId="7C7BD41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肋板式桥台、重力式台</w:t>
            </w:r>
          </w:p>
        </w:tc>
        <w:tc>
          <w:tcPr>
            <w:tcW w:w="545" w:type="pct"/>
            <w:vMerge w:val="continue"/>
            <w:tcBorders>
              <w:tl2br w:val="nil"/>
              <w:tr2bl w:val="nil"/>
            </w:tcBorders>
            <w:noWrap w:val="0"/>
            <w:vAlign w:val="center"/>
          </w:tcPr>
          <w:p w14:paraId="7432CC5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r>
    </w:tbl>
    <w:p w14:paraId="6B4C3A69">
      <w:pPr>
        <w:spacing w:line="360" w:lineRule="auto"/>
        <w:rPr>
          <w:rFonts w:hint="default" w:ascii="Times New Roman" w:hAnsi="Times New Roman" w:eastAsia="宋体" w:cs="Times New Roman"/>
          <w:color w:val="auto"/>
          <w:spacing w:val="0"/>
          <w:w w:val="100"/>
          <w:kern w:val="0"/>
          <w:position w:val="0"/>
          <w:sz w:val="15"/>
          <w:szCs w:val="15"/>
        </w:rPr>
      </w:pPr>
    </w:p>
    <w:p w14:paraId="14575C26">
      <w:pPr>
        <w:spacing w:line="360" w:lineRule="auto"/>
        <w:ind w:left="0" w:leftChars="0" w:firstLine="0" w:firstLineChars="0"/>
        <w:jc w:val="center"/>
        <w:rPr>
          <w:rFonts w:hint="default" w:ascii="Times New Roman" w:hAnsi="Times New Roman" w:eastAsia="宋体" w:cs="Times New Roman"/>
          <w:b/>
          <w:bCs/>
          <w:color w:val="auto"/>
          <w:spacing w:val="0"/>
          <w:w w:val="100"/>
          <w:kern w:val="0"/>
          <w:position w:val="0"/>
          <w:sz w:val="21"/>
          <w:szCs w:val="21"/>
        </w:rPr>
      </w:pPr>
      <w:r>
        <w:rPr>
          <w:rFonts w:hint="default" w:ascii="Times New Roman" w:hAnsi="Times New Roman" w:eastAsia="宋体" w:cs="Times New Roman"/>
          <w:b/>
          <w:bCs/>
          <w:color w:val="auto"/>
          <w:spacing w:val="0"/>
          <w:w w:val="100"/>
          <w:kern w:val="0"/>
          <w:position w:val="0"/>
          <w:sz w:val="21"/>
          <w:szCs w:val="21"/>
        </w:rPr>
        <w:t>表2.</w:t>
      </w:r>
      <w:r>
        <w:rPr>
          <w:rFonts w:hint="eastAsia" w:cs="Times New Roman"/>
          <w:b/>
          <w:bCs/>
          <w:color w:val="auto"/>
          <w:spacing w:val="0"/>
          <w:w w:val="100"/>
          <w:kern w:val="0"/>
          <w:position w:val="0"/>
          <w:sz w:val="21"/>
          <w:szCs w:val="21"/>
          <w:lang w:val="en-US" w:eastAsia="zh-CN"/>
        </w:rPr>
        <w:t>3</w:t>
      </w:r>
      <w:r>
        <w:rPr>
          <w:rFonts w:hint="default" w:ascii="Times New Roman" w:hAnsi="Times New Roman" w:eastAsia="宋体" w:cs="Times New Roman"/>
          <w:b/>
          <w:bCs/>
          <w:color w:val="auto"/>
          <w:spacing w:val="0"/>
          <w:w w:val="100"/>
          <w:kern w:val="0"/>
          <w:position w:val="0"/>
          <w:sz w:val="21"/>
          <w:szCs w:val="21"/>
        </w:rPr>
        <w:t>-</w:t>
      </w:r>
      <w:r>
        <w:rPr>
          <w:rFonts w:hint="eastAsia" w:cs="Times New Roman"/>
          <w:b/>
          <w:bCs/>
          <w:color w:val="auto"/>
          <w:spacing w:val="0"/>
          <w:w w:val="100"/>
          <w:kern w:val="0"/>
          <w:position w:val="0"/>
          <w:sz w:val="21"/>
          <w:szCs w:val="21"/>
          <w:lang w:val="en-US" w:eastAsia="zh-CN"/>
        </w:rPr>
        <w:t>7</w:t>
      </w:r>
      <w:r>
        <w:rPr>
          <w:rFonts w:hint="default" w:ascii="Times New Roman" w:hAnsi="Times New Roman" w:eastAsia="宋体" w:cs="Times New Roman"/>
          <w:b/>
          <w:bCs/>
          <w:color w:val="auto"/>
          <w:spacing w:val="0"/>
          <w:w w:val="100"/>
          <w:kern w:val="0"/>
          <w:position w:val="0"/>
          <w:sz w:val="21"/>
          <w:szCs w:val="21"/>
        </w:rPr>
        <w:t xml:space="preserve">  </w:t>
      </w:r>
      <w:r>
        <w:rPr>
          <w:rFonts w:hint="default" w:ascii="Times New Roman" w:hAnsi="Times New Roman" w:eastAsia="宋体" w:cs="Times New Roman"/>
          <w:b/>
          <w:bCs/>
          <w:color w:val="auto"/>
          <w:spacing w:val="0"/>
          <w:w w:val="100"/>
          <w:kern w:val="0"/>
          <w:position w:val="0"/>
          <w:sz w:val="21"/>
          <w:szCs w:val="21"/>
          <w:lang w:val="en-US" w:eastAsia="zh-CN"/>
        </w:rPr>
        <w:t>互通</w:t>
      </w:r>
      <w:r>
        <w:rPr>
          <w:rFonts w:hint="default" w:ascii="Times New Roman" w:hAnsi="Times New Roman" w:eastAsia="宋体" w:cs="Times New Roman"/>
          <w:b/>
          <w:bCs/>
          <w:color w:val="auto"/>
          <w:spacing w:val="0"/>
          <w:w w:val="100"/>
          <w:kern w:val="0"/>
          <w:position w:val="0"/>
          <w:sz w:val="21"/>
          <w:szCs w:val="21"/>
        </w:rPr>
        <w:t>桥梁设置一览表</w:t>
      </w:r>
    </w:p>
    <w:tbl>
      <w:tblPr>
        <w:tblStyle w:val="36"/>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97"/>
        <w:gridCol w:w="1411"/>
        <w:gridCol w:w="2175"/>
        <w:gridCol w:w="664"/>
        <w:gridCol w:w="668"/>
        <w:gridCol w:w="1604"/>
        <w:gridCol w:w="721"/>
        <w:gridCol w:w="1900"/>
        <w:gridCol w:w="1526"/>
        <w:gridCol w:w="2058"/>
        <w:gridCol w:w="1556"/>
      </w:tblGrid>
      <w:tr w14:paraId="30F450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jc w:val="center"/>
        </w:trPr>
        <w:tc>
          <w:tcPr>
            <w:tcW w:w="151" w:type="pct"/>
            <w:vMerge w:val="restart"/>
            <w:tcBorders>
              <w:top w:val="single" w:color="000000" w:sz="2" w:space="0"/>
              <w:left w:val="single" w:color="000000" w:sz="2" w:space="0"/>
              <w:bottom w:val="single" w:color="000000" w:sz="4" w:space="0"/>
              <w:right w:val="single" w:color="000000" w:sz="4" w:space="0"/>
            </w:tcBorders>
            <w:noWrap w:val="0"/>
            <w:textDirection w:val="tbRlV"/>
            <w:vAlign w:val="center"/>
          </w:tcPr>
          <w:p w14:paraId="2E88467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序 号</w:t>
            </w:r>
          </w:p>
        </w:tc>
        <w:tc>
          <w:tcPr>
            <w:tcW w:w="496" w:type="pct"/>
            <w:vMerge w:val="restart"/>
            <w:tcBorders>
              <w:top w:val="single" w:color="000000" w:sz="2" w:space="0"/>
              <w:left w:val="single" w:color="000000" w:sz="4" w:space="0"/>
              <w:bottom w:val="single" w:color="000000" w:sz="4" w:space="0"/>
              <w:right w:val="single" w:color="000000" w:sz="4" w:space="0"/>
            </w:tcBorders>
            <w:noWrap w:val="0"/>
            <w:vAlign w:val="center"/>
          </w:tcPr>
          <w:p w14:paraId="00373C5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中心桩号</w:t>
            </w:r>
          </w:p>
        </w:tc>
        <w:tc>
          <w:tcPr>
            <w:tcW w:w="756" w:type="pct"/>
            <w:vMerge w:val="restart"/>
            <w:tcBorders>
              <w:top w:val="single" w:color="000000" w:sz="2" w:space="0"/>
              <w:left w:val="single" w:color="000000" w:sz="4" w:space="0"/>
              <w:bottom w:val="single" w:color="000000" w:sz="4" w:space="0"/>
              <w:right w:val="single" w:color="000000" w:sz="4" w:space="0"/>
            </w:tcBorders>
            <w:noWrap w:val="0"/>
            <w:vAlign w:val="center"/>
          </w:tcPr>
          <w:p w14:paraId="31FB1D1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河名及桥名</w:t>
            </w:r>
          </w:p>
        </w:tc>
        <w:tc>
          <w:tcPr>
            <w:tcW w:w="242" w:type="pct"/>
            <w:vMerge w:val="restart"/>
            <w:tcBorders>
              <w:top w:val="single" w:color="000000" w:sz="2" w:space="0"/>
              <w:left w:val="single" w:color="000000" w:sz="4" w:space="0"/>
              <w:bottom w:val="single" w:color="000000" w:sz="4" w:space="0"/>
              <w:right w:val="single" w:color="000000" w:sz="4" w:space="0"/>
            </w:tcBorders>
            <w:noWrap w:val="0"/>
            <w:vAlign w:val="center"/>
          </w:tcPr>
          <w:p w14:paraId="788FE90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桥面宽度</w:t>
            </w:r>
            <w:r>
              <w:rPr>
                <w:rFonts w:hint="eastAsia" w:cs="Times New Roman"/>
                <w:snapToGrid/>
                <w:color w:val="auto"/>
                <w:kern w:val="0"/>
                <w:sz w:val="21"/>
                <w:szCs w:val="21"/>
                <w:lang w:val="en-US" w:eastAsia="zh-CN" w:bidi="ar"/>
              </w:rPr>
              <w:t>（</w:t>
            </w:r>
            <w:r>
              <w:rPr>
                <w:rFonts w:hint="default" w:ascii="Times New Roman" w:hAnsi="Times New Roman" w:eastAsia="宋体" w:cs="Times New Roman"/>
                <w:snapToGrid/>
                <w:color w:val="auto"/>
                <w:kern w:val="0"/>
                <w:sz w:val="21"/>
                <w:szCs w:val="21"/>
                <w:lang w:val="en-US" w:eastAsia="en-US" w:bidi="ar"/>
              </w:rPr>
              <w:t>m</w:t>
            </w:r>
            <w:r>
              <w:rPr>
                <w:rFonts w:hint="eastAsia" w:cs="Times New Roman"/>
                <w:snapToGrid/>
                <w:color w:val="auto"/>
                <w:kern w:val="0"/>
                <w:sz w:val="21"/>
                <w:szCs w:val="21"/>
                <w:lang w:val="en-US" w:eastAsia="zh-CN" w:bidi="ar"/>
              </w:rPr>
              <w:t>）</w:t>
            </w:r>
          </w:p>
        </w:tc>
        <w:tc>
          <w:tcPr>
            <w:tcW w:w="243" w:type="pct"/>
            <w:vMerge w:val="restart"/>
            <w:tcBorders>
              <w:top w:val="single" w:color="000000" w:sz="2" w:space="0"/>
              <w:left w:val="single" w:color="000000" w:sz="4" w:space="0"/>
              <w:bottom w:val="single" w:color="000000" w:sz="4" w:space="0"/>
              <w:right w:val="single" w:color="000000" w:sz="4" w:space="0"/>
            </w:tcBorders>
            <w:noWrap w:val="0"/>
            <w:vAlign w:val="center"/>
          </w:tcPr>
          <w:p w14:paraId="5135B3E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最大桥高</w:t>
            </w:r>
            <w:r>
              <w:rPr>
                <w:rFonts w:hint="eastAsia" w:cs="Times New Roman"/>
                <w:snapToGrid/>
                <w:color w:val="auto"/>
                <w:kern w:val="0"/>
                <w:sz w:val="21"/>
                <w:szCs w:val="21"/>
                <w:lang w:val="en-US" w:eastAsia="zh-CN" w:bidi="ar"/>
              </w:rPr>
              <w:t>（</w:t>
            </w:r>
            <w:r>
              <w:rPr>
                <w:rFonts w:hint="default" w:ascii="Times New Roman" w:hAnsi="Times New Roman" w:eastAsia="宋体" w:cs="Times New Roman"/>
                <w:snapToGrid/>
                <w:color w:val="auto"/>
                <w:kern w:val="0"/>
                <w:sz w:val="21"/>
                <w:szCs w:val="21"/>
                <w:lang w:val="en-US" w:eastAsia="en-US" w:bidi="ar"/>
              </w:rPr>
              <w:t>m</w:t>
            </w:r>
            <w:r>
              <w:rPr>
                <w:rFonts w:hint="eastAsia" w:cs="Times New Roman"/>
                <w:snapToGrid/>
                <w:color w:val="auto"/>
                <w:kern w:val="0"/>
                <w:sz w:val="21"/>
                <w:szCs w:val="21"/>
                <w:lang w:val="en-US" w:eastAsia="zh-CN" w:bidi="ar"/>
              </w:rPr>
              <w:t>）</w:t>
            </w:r>
          </w:p>
        </w:tc>
        <w:tc>
          <w:tcPr>
            <w:tcW w:w="388" w:type="pct"/>
            <w:vMerge w:val="restart"/>
            <w:tcBorders>
              <w:top w:val="single" w:color="000000" w:sz="2" w:space="0"/>
              <w:left w:val="single" w:color="000000" w:sz="4" w:space="0"/>
              <w:bottom w:val="single" w:color="000000" w:sz="4" w:space="0"/>
              <w:right w:val="single" w:color="000000" w:sz="4" w:space="0"/>
            </w:tcBorders>
            <w:noWrap w:val="0"/>
            <w:vAlign w:val="center"/>
          </w:tcPr>
          <w:p w14:paraId="22B2ACA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孔数及跨径（孔-m）</w:t>
            </w:r>
          </w:p>
        </w:tc>
        <w:tc>
          <w:tcPr>
            <w:tcW w:w="261" w:type="pct"/>
            <w:vMerge w:val="restart"/>
            <w:tcBorders>
              <w:top w:val="single" w:color="000000" w:sz="2" w:space="0"/>
              <w:left w:val="single" w:color="000000" w:sz="4" w:space="0"/>
              <w:bottom w:val="single" w:color="000000" w:sz="4" w:space="0"/>
              <w:right w:val="single" w:color="000000" w:sz="4" w:space="0"/>
            </w:tcBorders>
            <w:noWrap w:val="0"/>
            <w:vAlign w:val="center"/>
          </w:tcPr>
          <w:p w14:paraId="1953C84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zh-CN" w:bidi="ar"/>
              </w:rPr>
              <w:t>桥梁全长</w:t>
            </w:r>
            <w:r>
              <w:rPr>
                <w:rFonts w:hint="eastAsia" w:cs="Times New Roman"/>
                <w:snapToGrid/>
                <w:color w:val="auto"/>
                <w:kern w:val="0"/>
                <w:sz w:val="21"/>
                <w:szCs w:val="21"/>
                <w:lang w:val="en-US" w:eastAsia="zh-CN" w:bidi="ar"/>
              </w:rPr>
              <w:t>（</w:t>
            </w:r>
            <w:r>
              <w:rPr>
                <w:rFonts w:hint="default" w:ascii="Times New Roman" w:hAnsi="Times New Roman" w:eastAsia="宋体" w:cs="Times New Roman"/>
                <w:snapToGrid/>
                <w:color w:val="auto"/>
                <w:kern w:val="0"/>
                <w:sz w:val="21"/>
                <w:szCs w:val="21"/>
                <w:lang w:val="en-US" w:eastAsia="en-US" w:bidi="ar"/>
              </w:rPr>
              <w:t>m</w:t>
            </w:r>
            <w:r>
              <w:rPr>
                <w:rFonts w:hint="eastAsia" w:cs="Times New Roman"/>
                <w:snapToGrid/>
                <w:color w:val="auto"/>
                <w:kern w:val="0"/>
                <w:sz w:val="21"/>
                <w:szCs w:val="21"/>
                <w:lang w:val="en-US" w:eastAsia="zh-CN" w:bidi="ar"/>
              </w:rPr>
              <w:t>）</w:t>
            </w:r>
          </w:p>
        </w:tc>
        <w:tc>
          <w:tcPr>
            <w:tcW w:w="1913" w:type="pct"/>
            <w:gridSpan w:val="3"/>
            <w:tcBorders>
              <w:top w:val="single" w:color="000000" w:sz="2" w:space="0"/>
              <w:left w:val="single" w:color="000000" w:sz="4" w:space="0"/>
              <w:bottom w:val="single" w:color="000000" w:sz="4" w:space="0"/>
              <w:right w:val="single" w:color="000000" w:sz="4" w:space="0"/>
            </w:tcBorders>
            <w:noWrap w:val="0"/>
            <w:vAlign w:val="center"/>
          </w:tcPr>
          <w:p w14:paraId="2D189B9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结  构  类  型</w:t>
            </w:r>
          </w:p>
        </w:tc>
        <w:tc>
          <w:tcPr>
            <w:tcW w:w="545" w:type="pct"/>
            <w:vMerge w:val="restart"/>
            <w:tcBorders>
              <w:top w:val="single" w:color="000000" w:sz="2" w:space="0"/>
              <w:left w:val="single" w:color="000000" w:sz="4" w:space="0"/>
              <w:bottom w:val="single" w:color="000000" w:sz="4" w:space="0"/>
              <w:right w:val="single" w:color="000000" w:sz="2" w:space="0"/>
            </w:tcBorders>
            <w:noWrap w:val="0"/>
            <w:vAlign w:val="center"/>
          </w:tcPr>
          <w:p w14:paraId="3EF388E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备注</w:t>
            </w:r>
          </w:p>
        </w:tc>
      </w:tr>
      <w:tr w14:paraId="425CBC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jc w:val="center"/>
        </w:trPr>
        <w:tc>
          <w:tcPr>
            <w:tcW w:w="151" w:type="pct"/>
            <w:vMerge w:val="continue"/>
            <w:tcBorders>
              <w:top w:val="single" w:color="000000" w:sz="4" w:space="0"/>
              <w:left w:val="single" w:color="000000" w:sz="2" w:space="0"/>
              <w:bottom w:val="single" w:color="000000" w:sz="4" w:space="0"/>
              <w:right w:val="single" w:color="000000" w:sz="4" w:space="0"/>
            </w:tcBorders>
            <w:noWrap w:val="0"/>
            <w:textDirection w:val="tbRlV"/>
            <w:vAlign w:val="center"/>
          </w:tcPr>
          <w:p w14:paraId="734AABA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496" w:type="pct"/>
            <w:vMerge w:val="continue"/>
            <w:tcBorders>
              <w:top w:val="single" w:color="000000" w:sz="4" w:space="0"/>
              <w:left w:val="single" w:color="000000" w:sz="4" w:space="0"/>
              <w:bottom w:val="single" w:color="000000" w:sz="4" w:space="0"/>
              <w:right w:val="single" w:color="000000" w:sz="4" w:space="0"/>
            </w:tcBorders>
            <w:noWrap w:val="0"/>
            <w:vAlign w:val="center"/>
          </w:tcPr>
          <w:p w14:paraId="47AD89F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7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056A1E9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2" w:type="pct"/>
            <w:vMerge w:val="continue"/>
            <w:tcBorders>
              <w:top w:val="single" w:color="000000" w:sz="4" w:space="0"/>
              <w:left w:val="single" w:color="000000" w:sz="4" w:space="0"/>
              <w:bottom w:val="single" w:color="000000" w:sz="4" w:space="0"/>
              <w:right w:val="single" w:color="000000" w:sz="4" w:space="0"/>
            </w:tcBorders>
            <w:noWrap w:val="0"/>
            <w:vAlign w:val="center"/>
          </w:tcPr>
          <w:p w14:paraId="4D703C6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3" w:type="pct"/>
            <w:vMerge w:val="continue"/>
            <w:tcBorders>
              <w:top w:val="single" w:color="000000" w:sz="4" w:space="0"/>
              <w:left w:val="single" w:color="000000" w:sz="4" w:space="0"/>
              <w:bottom w:val="single" w:color="000000" w:sz="4" w:space="0"/>
              <w:right w:val="single" w:color="000000" w:sz="4" w:space="0"/>
            </w:tcBorders>
            <w:noWrap w:val="0"/>
            <w:vAlign w:val="center"/>
          </w:tcPr>
          <w:p w14:paraId="350934F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vAlign w:val="center"/>
          </w:tcPr>
          <w:p w14:paraId="6560709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61" w:type="pct"/>
            <w:vMerge w:val="continue"/>
            <w:tcBorders>
              <w:top w:val="single" w:color="000000" w:sz="4" w:space="0"/>
              <w:left w:val="single" w:color="000000" w:sz="4" w:space="0"/>
              <w:bottom w:val="single" w:color="000000" w:sz="4" w:space="0"/>
              <w:right w:val="single" w:color="000000" w:sz="4" w:space="0"/>
            </w:tcBorders>
            <w:noWrap w:val="0"/>
            <w:vAlign w:val="center"/>
          </w:tcPr>
          <w:p w14:paraId="2BC48D7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662" w:type="pct"/>
            <w:vMerge w:val="restart"/>
            <w:tcBorders>
              <w:top w:val="single" w:color="000000" w:sz="4" w:space="0"/>
              <w:left w:val="single" w:color="000000" w:sz="4" w:space="0"/>
              <w:bottom w:val="single" w:color="000000" w:sz="4" w:space="0"/>
              <w:right w:val="single" w:color="000000" w:sz="4" w:space="0"/>
            </w:tcBorders>
            <w:noWrap w:val="0"/>
            <w:vAlign w:val="center"/>
          </w:tcPr>
          <w:p w14:paraId="63D89F6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上部构造</w:t>
            </w:r>
          </w:p>
        </w:tc>
        <w:tc>
          <w:tcPr>
            <w:tcW w:w="1250" w:type="pct"/>
            <w:gridSpan w:val="2"/>
            <w:tcBorders>
              <w:top w:val="single" w:color="000000" w:sz="4" w:space="0"/>
              <w:left w:val="single" w:color="000000" w:sz="4" w:space="0"/>
              <w:bottom w:val="single" w:color="000000" w:sz="4" w:space="0"/>
              <w:right w:val="single" w:color="000000" w:sz="4" w:space="0"/>
            </w:tcBorders>
            <w:noWrap w:val="0"/>
            <w:vAlign w:val="center"/>
          </w:tcPr>
          <w:p w14:paraId="2803691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下部构造</w:t>
            </w:r>
          </w:p>
        </w:tc>
        <w:tc>
          <w:tcPr>
            <w:tcW w:w="545" w:type="pct"/>
            <w:vMerge w:val="continue"/>
            <w:tcBorders>
              <w:top w:val="single" w:color="000000" w:sz="4" w:space="0"/>
              <w:left w:val="single" w:color="000000" w:sz="4" w:space="0"/>
              <w:bottom w:val="single" w:color="000000" w:sz="4" w:space="0"/>
              <w:right w:val="single" w:color="000000" w:sz="2" w:space="0"/>
            </w:tcBorders>
            <w:noWrap w:val="0"/>
            <w:vAlign w:val="center"/>
          </w:tcPr>
          <w:p w14:paraId="21E7D03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r>
      <w:tr w14:paraId="22F8F6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jc w:val="center"/>
        </w:trPr>
        <w:tc>
          <w:tcPr>
            <w:tcW w:w="151" w:type="pct"/>
            <w:vMerge w:val="continue"/>
            <w:tcBorders>
              <w:top w:val="single" w:color="000000" w:sz="4" w:space="0"/>
              <w:left w:val="single" w:color="000000" w:sz="2" w:space="0"/>
              <w:bottom w:val="single" w:color="000000" w:sz="4" w:space="0"/>
              <w:right w:val="single" w:color="000000" w:sz="4" w:space="0"/>
            </w:tcBorders>
            <w:noWrap w:val="0"/>
            <w:textDirection w:val="tbRlV"/>
            <w:vAlign w:val="center"/>
          </w:tcPr>
          <w:p w14:paraId="447B39E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496" w:type="pct"/>
            <w:vMerge w:val="continue"/>
            <w:tcBorders>
              <w:top w:val="single" w:color="000000" w:sz="4" w:space="0"/>
              <w:left w:val="single" w:color="000000" w:sz="4" w:space="0"/>
              <w:bottom w:val="single" w:color="000000" w:sz="4" w:space="0"/>
              <w:right w:val="single" w:color="000000" w:sz="4" w:space="0"/>
            </w:tcBorders>
            <w:noWrap w:val="0"/>
            <w:vAlign w:val="center"/>
          </w:tcPr>
          <w:p w14:paraId="5174679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7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291B9B9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2" w:type="pct"/>
            <w:vMerge w:val="continue"/>
            <w:tcBorders>
              <w:top w:val="single" w:color="000000" w:sz="4" w:space="0"/>
              <w:left w:val="single" w:color="000000" w:sz="4" w:space="0"/>
              <w:bottom w:val="single" w:color="000000" w:sz="4" w:space="0"/>
              <w:right w:val="single" w:color="000000" w:sz="4" w:space="0"/>
            </w:tcBorders>
            <w:noWrap w:val="0"/>
            <w:vAlign w:val="center"/>
          </w:tcPr>
          <w:p w14:paraId="73FA237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43" w:type="pct"/>
            <w:vMerge w:val="continue"/>
            <w:tcBorders>
              <w:top w:val="single" w:color="000000" w:sz="4" w:space="0"/>
              <w:left w:val="single" w:color="000000" w:sz="4" w:space="0"/>
              <w:bottom w:val="single" w:color="000000" w:sz="4" w:space="0"/>
              <w:right w:val="single" w:color="000000" w:sz="4" w:space="0"/>
            </w:tcBorders>
            <w:noWrap w:val="0"/>
            <w:vAlign w:val="center"/>
          </w:tcPr>
          <w:p w14:paraId="261E134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388" w:type="pct"/>
            <w:vMerge w:val="continue"/>
            <w:tcBorders>
              <w:top w:val="single" w:color="000000" w:sz="4" w:space="0"/>
              <w:left w:val="single" w:color="000000" w:sz="4" w:space="0"/>
              <w:bottom w:val="single" w:color="000000" w:sz="4" w:space="0"/>
              <w:right w:val="single" w:color="000000" w:sz="4" w:space="0"/>
            </w:tcBorders>
            <w:noWrap w:val="0"/>
            <w:vAlign w:val="center"/>
          </w:tcPr>
          <w:p w14:paraId="5F37671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261" w:type="pct"/>
            <w:vMerge w:val="continue"/>
            <w:tcBorders>
              <w:top w:val="single" w:color="000000" w:sz="4" w:space="0"/>
              <w:left w:val="single" w:color="000000" w:sz="4" w:space="0"/>
              <w:bottom w:val="single" w:color="000000" w:sz="4" w:space="0"/>
              <w:right w:val="single" w:color="000000" w:sz="4" w:space="0"/>
            </w:tcBorders>
            <w:noWrap w:val="0"/>
            <w:vAlign w:val="center"/>
          </w:tcPr>
          <w:p w14:paraId="1E08D00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662" w:type="pct"/>
            <w:vMerge w:val="continue"/>
            <w:tcBorders>
              <w:top w:val="single" w:color="000000" w:sz="4" w:space="0"/>
              <w:left w:val="single" w:color="000000" w:sz="4" w:space="0"/>
              <w:bottom w:val="single" w:color="000000" w:sz="4" w:space="0"/>
              <w:right w:val="single" w:color="000000" w:sz="4" w:space="0"/>
            </w:tcBorders>
            <w:noWrap w:val="0"/>
            <w:vAlign w:val="center"/>
          </w:tcPr>
          <w:p w14:paraId="77F4F64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00275D3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墩及基础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47F3165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台及基础</w:t>
            </w:r>
          </w:p>
        </w:tc>
        <w:tc>
          <w:tcPr>
            <w:tcW w:w="545" w:type="pct"/>
            <w:vMerge w:val="continue"/>
            <w:tcBorders>
              <w:top w:val="single" w:color="000000" w:sz="4" w:space="0"/>
              <w:left w:val="single" w:color="000000" w:sz="4" w:space="0"/>
              <w:bottom w:val="single" w:color="000000" w:sz="4" w:space="0"/>
              <w:right w:val="single" w:color="000000" w:sz="2" w:space="0"/>
            </w:tcBorders>
            <w:noWrap w:val="0"/>
            <w:vAlign w:val="center"/>
          </w:tcPr>
          <w:p w14:paraId="64EDD83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r>
      <w:tr w14:paraId="1A7D67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4"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133B3C2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0FD52BC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AK0+986.550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7872938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A 匝道 1#大桥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724835A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10.50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5D66DA6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14.5</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24E2351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2-20+2-25+5-20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559B715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198.0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1466DB0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预应力砼现浇箱梁</w:t>
            </w:r>
            <w:r>
              <w:rPr>
                <w:rFonts w:hint="default" w:ascii="Times New Roman" w:hAnsi="Times New Roman" w:eastAsia="宋体" w:cs="Times New Roman"/>
                <w:snapToGrid/>
                <w:color w:val="auto"/>
                <w:kern w:val="0"/>
                <w:sz w:val="21"/>
                <w:szCs w:val="21"/>
                <w:lang w:val="en-US" w:eastAsia="en-US" w:bidi="ar"/>
              </w:rPr>
              <w:t>+预应力砼简支小</w:t>
            </w:r>
            <w:r>
              <w:rPr>
                <w:rFonts w:hint="default" w:ascii="Times New Roman" w:hAnsi="Times New Roman" w:eastAsia="宋体" w:cs="Times New Roman"/>
                <w:snapToGrid/>
                <w:color w:val="auto"/>
                <w:kern w:val="0"/>
                <w:sz w:val="21"/>
                <w:szCs w:val="21"/>
                <w:lang w:val="en-US" w:eastAsia="zh-CN" w:bidi="ar"/>
              </w:rPr>
              <w:t>箱梁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469BB07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0F9F256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重力式台、柱式桥台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50349BC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跨高速公路主线</w:t>
            </w:r>
          </w:p>
        </w:tc>
      </w:tr>
      <w:tr w14:paraId="333F50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29E8F3B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0C0D95F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p w14:paraId="2BF8279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AK1+323.451</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324FE73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A 匝道 2#大桥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2C0A98B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变宽</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6E438C4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32.0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75461DB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3-20+3-30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024D6EA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155.0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44C406E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预应力砼现浇箱梁</w:t>
            </w:r>
            <w:r>
              <w:rPr>
                <w:rFonts w:hint="default" w:ascii="Times New Roman" w:hAnsi="Times New Roman" w:eastAsia="宋体" w:cs="Times New Roman"/>
                <w:snapToGrid/>
                <w:color w:val="auto"/>
                <w:kern w:val="0"/>
                <w:sz w:val="21"/>
                <w:szCs w:val="21"/>
                <w:lang w:val="en-US" w:eastAsia="en-US" w:bidi="ar"/>
              </w:rPr>
              <w:t>+预应力砼简支小</w:t>
            </w:r>
            <w:r>
              <w:rPr>
                <w:rFonts w:hint="default" w:ascii="Times New Roman" w:hAnsi="Times New Roman" w:eastAsia="宋体" w:cs="Times New Roman"/>
                <w:snapToGrid/>
                <w:color w:val="auto"/>
                <w:kern w:val="0"/>
                <w:sz w:val="21"/>
                <w:szCs w:val="21"/>
                <w:lang w:val="en-US" w:eastAsia="zh-CN" w:bidi="ar"/>
              </w:rPr>
              <w:t>箱梁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6E30677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0E66ED9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01ECB69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接渝广高速加宽桥</w:t>
            </w:r>
          </w:p>
        </w:tc>
      </w:tr>
      <w:tr w14:paraId="393F59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3521EE9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48633FD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CK0+546.480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5454FCF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C 匝道大桥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67E4524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9.00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736A933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21.5</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2836E68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2-20+2-25+4-20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0932D7D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176.0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462694D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预应力砼现浇箱梁</w:t>
            </w:r>
            <w:r>
              <w:rPr>
                <w:rFonts w:hint="default" w:ascii="Times New Roman" w:hAnsi="Times New Roman" w:eastAsia="宋体" w:cs="Times New Roman"/>
                <w:snapToGrid/>
                <w:color w:val="auto"/>
                <w:kern w:val="0"/>
                <w:sz w:val="21"/>
                <w:szCs w:val="21"/>
                <w:lang w:val="en-US" w:eastAsia="en-US" w:bidi="ar"/>
              </w:rPr>
              <w:t>+预应力砼简支小</w:t>
            </w:r>
            <w:r>
              <w:rPr>
                <w:rFonts w:hint="default" w:ascii="Times New Roman" w:hAnsi="Times New Roman" w:eastAsia="宋体" w:cs="Times New Roman"/>
                <w:snapToGrid/>
                <w:color w:val="auto"/>
                <w:kern w:val="0"/>
                <w:sz w:val="21"/>
                <w:szCs w:val="21"/>
                <w:lang w:val="en-US" w:eastAsia="zh-CN" w:bidi="ar"/>
              </w:rPr>
              <w:t>箱梁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092F6EA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1C24F91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肋板式桥台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36BEBF3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跨渝广高速</w:t>
            </w:r>
          </w:p>
        </w:tc>
      </w:tr>
      <w:tr w14:paraId="234E7E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6641FDC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4</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034E129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EK0+453.180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2327E61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E 匝道大桥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01B896B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10.50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729FA89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31.0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0DBF5E3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4-20+（23+23+34+23</w:t>
            </w:r>
            <w:r>
              <w:rPr>
                <w:rFonts w:hint="eastAsia" w:cs="Times New Roman"/>
                <w:snapToGrid/>
                <w:color w:val="auto"/>
                <w:kern w:val="0"/>
                <w:sz w:val="21"/>
                <w:szCs w:val="21"/>
                <w:lang w:val="en-US" w:eastAsia="zh-CN" w:bidi="ar"/>
              </w:rPr>
              <w:t>)</w:t>
            </w:r>
            <w:r>
              <w:rPr>
                <w:rFonts w:hint="default" w:ascii="Times New Roman" w:hAnsi="Times New Roman" w:eastAsia="宋体" w:cs="Times New Roman"/>
                <w:snapToGrid/>
                <w:color w:val="auto"/>
                <w:kern w:val="0"/>
                <w:sz w:val="21"/>
                <w:szCs w:val="21"/>
                <w:lang w:val="en-US" w:eastAsia="en-US" w:bidi="ar"/>
              </w:rPr>
              <w:t>+（23+34+23+23</w:t>
            </w:r>
            <w:r>
              <w:rPr>
                <w:rFonts w:hint="eastAsia" w:cs="Times New Roman"/>
                <w:snapToGrid/>
                <w:color w:val="auto"/>
                <w:kern w:val="0"/>
                <w:sz w:val="21"/>
                <w:szCs w:val="21"/>
                <w:lang w:val="en-US" w:eastAsia="zh-CN" w:bidi="ar"/>
              </w:rPr>
              <w:t>)</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553FFA6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294.0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311F793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预应力砼现浇箱梁</w:t>
            </w:r>
            <w:r>
              <w:rPr>
                <w:rFonts w:hint="default" w:ascii="Times New Roman" w:hAnsi="Times New Roman" w:eastAsia="宋体" w:cs="Times New Roman"/>
                <w:snapToGrid/>
                <w:color w:val="auto"/>
                <w:kern w:val="0"/>
                <w:sz w:val="21"/>
                <w:szCs w:val="21"/>
                <w:lang w:val="en-US" w:eastAsia="en-US" w:bidi="ar"/>
              </w:rPr>
              <w:t>+预应力砼简支小</w:t>
            </w:r>
            <w:r>
              <w:rPr>
                <w:rFonts w:hint="default" w:ascii="Times New Roman" w:hAnsi="Times New Roman" w:eastAsia="宋体" w:cs="Times New Roman"/>
                <w:snapToGrid/>
                <w:color w:val="auto"/>
                <w:kern w:val="0"/>
                <w:sz w:val="21"/>
                <w:szCs w:val="21"/>
                <w:lang w:val="en-US" w:eastAsia="zh-CN" w:bidi="ar"/>
              </w:rPr>
              <w:t>箱梁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34FDDB3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46BD4E5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重力式台、肋板式桥台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6D5D4F2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en-US" w:bidi="ar"/>
              </w:rPr>
              <w:t>跨 F 、A 匝道及渝广高速</w:t>
            </w:r>
          </w:p>
        </w:tc>
      </w:tr>
      <w:tr w14:paraId="3C83AC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7C44BD2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5</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0217334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EK0+746.130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45BB1C3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E 匝道中桥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495A97A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10.50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53550C2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14.0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441430D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40EA7DE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99.0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202441B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 T 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23FC1AF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0E38870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肋板式桥台、重力式台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63BF960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跨高速公路主线</w:t>
            </w:r>
          </w:p>
        </w:tc>
      </w:tr>
      <w:tr w14:paraId="6D3E1B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9"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43F0893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6</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5F7F9DB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FK0+585.00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027950C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F 匝道大桥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33A9CAB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9.00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73C136C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23.0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16A06E4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8-20.4</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4AD0556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171.2</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61D5A2A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预应力砼简支小箱梁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637E930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0CE10AE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4DFE8AD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跨高速公路主线</w:t>
            </w:r>
          </w:p>
        </w:tc>
      </w:tr>
      <w:tr w14:paraId="5044AA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2D8C095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7</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6D3C693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GK0+152.138</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61DCBB1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G 匝道 1#中桥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156E0F7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变宽</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43B25D2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7148B95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4661F1C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64.0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042D1E2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预应力砼简支T 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1FD7B25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517D8BC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4D20DFA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接渝广高速加宽桥</w:t>
            </w:r>
          </w:p>
        </w:tc>
      </w:tr>
      <w:tr w14:paraId="6FE7C3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4EEC85E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8</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42AB7C2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GK0+527.265</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58F3F0E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G 匝道 2#中桥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0B34A43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9.00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5837172B">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8.0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7E26662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6300C27A">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72.0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69EA933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预应力砼简支T 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1C759F3C">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11A2D36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17E045E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跨高速公路主线</w:t>
            </w:r>
          </w:p>
        </w:tc>
      </w:tr>
      <w:tr w14:paraId="7C2CF6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9"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2391F73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9</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55A70BB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YGK48+395.00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48FFCB5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双河口左幅加宽大桥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242A093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变宽</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11FC713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37.0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3A04783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11E8A91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300.0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63901345">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 T 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578C5A7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1D2B8824">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7DB31A3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渝广高速加宽桥</w:t>
            </w:r>
          </w:p>
        </w:tc>
      </w:tr>
      <w:tr w14:paraId="268D3D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15D7101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7B74E11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YGK48+530.00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72150B1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双河口右幅加宽大桥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77127A5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变宽</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41ED275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33.0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49F4A3A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7-30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7EDE5F3D">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210.0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042A3C2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 T 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19C7364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0B696AD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56FEE53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渝广高速加宽桥</w:t>
            </w:r>
          </w:p>
        </w:tc>
      </w:tr>
      <w:tr w14:paraId="284C3F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151" w:type="pct"/>
            <w:tcBorders>
              <w:top w:val="single" w:color="000000" w:sz="4" w:space="0"/>
              <w:left w:val="single" w:color="000000" w:sz="2" w:space="0"/>
              <w:bottom w:val="single" w:color="000000" w:sz="4" w:space="0"/>
              <w:right w:val="single" w:color="000000" w:sz="4" w:space="0"/>
            </w:tcBorders>
            <w:noWrap w:val="0"/>
            <w:vAlign w:val="center"/>
          </w:tcPr>
          <w:p w14:paraId="64F7725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11</w:t>
            </w:r>
          </w:p>
        </w:tc>
        <w:tc>
          <w:tcPr>
            <w:tcW w:w="496" w:type="pct"/>
            <w:tcBorders>
              <w:top w:val="single" w:color="000000" w:sz="4" w:space="0"/>
              <w:left w:val="single" w:color="000000" w:sz="4" w:space="0"/>
              <w:bottom w:val="single" w:color="000000" w:sz="4" w:space="0"/>
              <w:right w:val="single" w:color="000000" w:sz="4" w:space="0"/>
            </w:tcBorders>
            <w:noWrap w:val="0"/>
            <w:vAlign w:val="center"/>
          </w:tcPr>
          <w:p w14:paraId="5874188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YGK48+994.70</w:t>
            </w:r>
          </w:p>
        </w:tc>
        <w:tc>
          <w:tcPr>
            <w:tcW w:w="756" w:type="pct"/>
            <w:tcBorders>
              <w:top w:val="single" w:color="000000" w:sz="4" w:space="0"/>
              <w:left w:val="single" w:color="000000" w:sz="4" w:space="0"/>
              <w:bottom w:val="single" w:color="000000" w:sz="4" w:space="0"/>
              <w:right w:val="single" w:color="000000" w:sz="4" w:space="0"/>
            </w:tcBorders>
            <w:noWrap w:val="0"/>
            <w:vAlign w:val="center"/>
          </w:tcPr>
          <w:p w14:paraId="0DBB132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渝广高速主线跨线桥</w:t>
            </w:r>
          </w:p>
        </w:tc>
        <w:tc>
          <w:tcPr>
            <w:tcW w:w="242" w:type="pct"/>
            <w:tcBorders>
              <w:top w:val="single" w:color="000000" w:sz="4" w:space="0"/>
              <w:left w:val="single" w:color="000000" w:sz="4" w:space="0"/>
              <w:bottom w:val="single" w:color="000000" w:sz="4" w:space="0"/>
              <w:right w:val="single" w:color="000000" w:sz="4" w:space="0"/>
            </w:tcBorders>
            <w:noWrap w:val="0"/>
            <w:vAlign w:val="center"/>
          </w:tcPr>
          <w:p w14:paraId="203A4FB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24.50</w:t>
            </w:r>
          </w:p>
        </w:tc>
        <w:tc>
          <w:tcPr>
            <w:tcW w:w="243" w:type="pct"/>
            <w:tcBorders>
              <w:top w:val="single" w:color="000000" w:sz="4" w:space="0"/>
              <w:left w:val="single" w:color="000000" w:sz="4" w:space="0"/>
              <w:bottom w:val="single" w:color="000000" w:sz="4" w:space="0"/>
              <w:right w:val="single" w:color="000000" w:sz="4" w:space="0"/>
            </w:tcBorders>
            <w:noWrap w:val="0"/>
            <w:vAlign w:val="center"/>
          </w:tcPr>
          <w:p w14:paraId="2E2FFC1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8.0</w:t>
            </w:r>
          </w:p>
        </w:tc>
        <w:tc>
          <w:tcPr>
            <w:tcW w:w="388" w:type="pct"/>
            <w:tcBorders>
              <w:top w:val="single" w:color="000000" w:sz="4" w:space="0"/>
              <w:left w:val="single" w:color="000000" w:sz="4" w:space="0"/>
              <w:bottom w:val="single" w:color="000000" w:sz="4" w:space="0"/>
              <w:right w:val="single" w:color="000000" w:sz="4" w:space="0"/>
            </w:tcBorders>
            <w:noWrap w:val="0"/>
            <w:vAlign w:val="center"/>
          </w:tcPr>
          <w:p w14:paraId="449CC256">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3-30</w:t>
            </w:r>
          </w:p>
        </w:tc>
        <w:tc>
          <w:tcPr>
            <w:tcW w:w="261" w:type="pct"/>
            <w:tcBorders>
              <w:top w:val="single" w:color="000000" w:sz="4" w:space="0"/>
              <w:left w:val="single" w:color="000000" w:sz="4" w:space="0"/>
              <w:bottom w:val="single" w:color="000000" w:sz="4" w:space="0"/>
              <w:right w:val="single" w:color="000000" w:sz="4" w:space="0"/>
            </w:tcBorders>
            <w:noWrap w:val="0"/>
            <w:vAlign w:val="center"/>
          </w:tcPr>
          <w:p w14:paraId="694984C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104.0</w:t>
            </w:r>
          </w:p>
        </w:tc>
        <w:tc>
          <w:tcPr>
            <w:tcW w:w="662" w:type="pct"/>
            <w:tcBorders>
              <w:top w:val="single" w:color="000000" w:sz="4" w:space="0"/>
              <w:left w:val="single" w:color="000000" w:sz="4" w:space="0"/>
              <w:bottom w:val="single" w:color="000000" w:sz="4" w:space="0"/>
              <w:right w:val="single" w:color="000000" w:sz="4" w:space="0"/>
            </w:tcBorders>
            <w:noWrap w:val="0"/>
            <w:vAlign w:val="center"/>
          </w:tcPr>
          <w:p w14:paraId="6D74DD52">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 T 梁</w:t>
            </w:r>
          </w:p>
        </w:tc>
        <w:tc>
          <w:tcPr>
            <w:tcW w:w="535" w:type="pct"/>
            <w:tcBorders>
              <w:top w:val="single" w:color="000000" w:sz="4" w:space="0"/>
              <w:left w:val="single" w:color="000000" w:sz="4" w:space="0"/>
              <w:bottom w:val="single" w:color="000000" w:sz="4" w:space="0"/>
              <w:right w:val="single" w:color="000000" w:sz="4" w:space="0"/>
            </w:tcBorders>
            <w:noWrap w:val="0"/>
            <w:vAlign w:val="center"/>
          </w:tcPr>
          <w:p w14:paraId="3F3994D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4" w:space="0"/>
              <w:right w:val="single" w:color="000000" w:sz="4" w:space="0"/>
            </w:tcBorders>
            <w:noWrap w:val="0"/>
            <w:vAlign w:val="center"/>
          </w:tcPr>
          <w:p w14:paraId="2895A91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柱式桥台、重力式台</w:t>
            </w:r>
          </w:p>
        </w:tc>
        <w:tc>
          <w:tcPr>
            <w:tcW w:w="545" w:type="pct"/>
            <w:tcBorders>
              <w:top w:val="single" w:color="000000" w:sz="4" w:space="0"/>
              <w:left w:val="single" w:color="000000" w:sz="4" w:space="0"/>
              <w:bottom w:val="single" w:color="000000" w:sz="4" w:space="0"/>
              <w:right w:val="single" w:color="000000" w:sz="2" w:space="0"/>
            </w:tcBorders>
            <w:noWrap w:val="0"/>
            <w:vAlign w:val="center"/>
          </w:tcPr>
          <w:p w14:paraId="668E31D3">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跨高速公路主线</w:t>
            </w:r>
          </w:p>
        </w:tc>
      </w:tr>
      <w:tr w14:paraId="09C55D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51" w:type="pct"/>
            <w:tcBorders>
              <w:top w:val="single" w:color="000000" w:sz="4" w:space="0"/>
              <w:left w:val="single" w:color="000000" w:sz="2" w:space="0"/>
              <w:bottom w:val="single" w:color="000000" w:sz="2" w:space="0"/>
              <w:right w:val="single" w:color="000000" w:sz="4" w:space="0"/>
            </w:tcBorders>
            <w:noWrap w:val="0"/>
            <w:vAlign w:val="center"/>
          </w:tcPr>
          <w:p w14:paraId="0AACD451">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12</w:t>
            </w:r>
          </w:p>
        </w:tc>
        <w:tc>
          <w:tcPr>
            <w:tcW w:w="496" w:type="pct"/>
            <w:tcBorders>
              <w:top w:val="single" w:color="000000" w:sz="4" w:space="0"/>
              <w:left w:val="single" w:color="000000" w:sz="4" w:space="0"/>
              <w:bottom w:val="single" w:color="000000" w:sz="2" w:space="0"/>
              <w:right w:val="single" w:color="000000" w:sz="4" w:space="0"/>
            </w:tcBorders>
            <w:noWrap w:val="0"/>
            <w:vAlign w:val="center"/>
          </w:tcPr>
          <w:p w14:paraId="65E7BAB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YGK49+193.00</w:t>
            </w:r>
          </w:p>
        </w:tc>
        <w:tc>
          <w:tcPr>
            <w:tcW w:w="756" w:type="pct"/>
            <w:tcBorders>
              <w:top w:val="single" w:color="000000" w:sz="4" w:space="0"/>
              <w:left w:val="single" w:color="000000" w:sz="4" w:space="0"/>
              <w:bottom w:val="single" w:color="000000" w:sz="2" w:space="0"/>
              <w:right w:val="single" w:color="000000" w:sz="4" w:space="0"/>
            </w:tcBorders>
            <w:noWrap w:val="0"/>
            <w:vAlign w:val="center"/>
          </w:tcPr>
          <w:p w14:paraId="760125B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渝广高速A匝道跨线桥</w:t>
            </w:r>
          </w:p>
        </w:tc>
        <w:tc>
          <w:tcPr>
            <w:tcW w:w="242" w:type="pct"/>
            <w:tcBorders>
              <w:top w:val="single" w:color="000000" w:sz="4" w:space="0"/>
              <w:left w:val="single" w:color="000000" w:sz="4" w:space="0"/>
              <w:bottom w:val="single" w:color="000000" w:sz="2" w:space="0"/>
              <w:right w:val="single" w:color="000000" w:sz="4" w:space="0"/>
            </w:tcBorders>
            <w:noWrap w:val="0"/>
            <w:vAlign w:val="center"/>
          </w:tcPr>
          <w:p w14:paraId="69D4A550">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变宽</w:t>
            </w:r>
          </w:p>
        </w:tc>
        <w:tc>
          <w:tcPr>
            <w:tcW w:w="243" w:type="pct"/>
            <w:tcBorders>
              <w:top w:val="single" w:color="000000" w:sz="4" w:space="0"/>
              <w:left w:val="single" w:color="000000" w:sz="4" w:space="0"/>
              <w:bottom w:val="single" w:color="000000" w:sz="2" w:space="0"/>
              <w:right w:val="single" w:color="000000" w:sz="4" w:space="0"/>
            </w:tcBorders>
            <w:noWrap w:val="0"/>
            <w:vAlign w:val="center"/>
          </w:tcPr>
          <w:p w14:paraId="76DE9A4F">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8.0</w:t>
            </w:r>
          </w:p>
        </w:tc>
        <w:tc>
          <w:tcPr>
            <w:tcW w:w="388" w:type="pct"/>
            <w:tcBorders>
              <w:top w:val="single" w:color="000000" w:sz="4" w:space="0"/>
              <w:left w:val="single" w:color="000000" w:sz="4" w:space="0"/>
              <w:bottom w:val="single" w:color="000000" w:sz="2" w:space="0"/>
              <w:right w:val="single" w:color="000000" w:sz="4" w:space="0"/>
            </w:tcBorders>
            <w:noWrap w:val="0"/>
            <w:vAlign w:val="center"/>
          </w:tcPr>
          <w:p w14:paraId="726729A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2-30</w:t>
            </w:r>
          </w:p>
        </w:tc>
        <w:tc>
          <w:tcPr>
            <w:tcW w:w="261" w:type="pct"/>
            <w:tcBorders>
              <w:top w:val="single" w:color="000000" w:sz="4" w:space="0"/>
              <w:left w:val="single" w:color="000000" w:sz="4" w:space="0"/>
              <w:bottom w:val="single" w:color="000000" w:sz="2" w:space="0"/>
              <w:right w:val="single" w:color="000000" w:sz="4" w:space="0"/>
            </w:tcBorders>
            <w:noWrap w:val="0"/>
            <w:vAlign w:val="center"/>
          </w:tcPr>
          <w:p w14:paraId="0B147CE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60</w:t>
            </w:r>
          </w:p>
        </w:tc>
        <w:tc>
          <w:tcPr>
            <w:tcW w:w="662" w:type="pct"/>
            <w:tcBorders>
              <w:top w:val="single" w:color="000000" w:sz="4" w:space="0"/>
              <w:left w:val="single" w:color="000000" w:sz="4" w:space="0"/>
              <w:bottom w:val="single" w:color="000000" w:sz="2" w:space="0"/>
              <w:right w:val="single" w:color="000000" w:sz="4" w:space="0"/>
            </w:tcBorders>
            <w:noWrap w:val="0"/>
            <w:vAlign w:val="center"/>
          </w:tcPr>
          <w:p w14:paraId="1616FDE7">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预应力砼简支T 梁</w:t>
            </w:r>
          </w:p>
        </w:tc>
        <w:tc>
          <w:tcPr>
            <w:tcW w:w="535" w:type="pct"/>
            <w:tcBorders>
              <w:top w:val="single" w:color="000000" w:sz="4" w:space="0"/>
              <w:left w:val="single" w:color="000000" w:sz="4" w:space="0"/>
              <w:bottom w:val="single" w:color="000000" w:sz="2" w:space="0"/>
              <w:right w:val="single" w:color="000000" w:sz="4" w:space="0"/>
            </w:tcBorders>
            <w:noWrap w:val="0"/>
            <w:vAlign w:val="center"/>
          </w:tcPr>
          <w:p w14:paraId="7656A0E9">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柱式墩、桩基础</w:t>
            </w:r>
          </w:p>
        </w:tc>
        <w:tc>
          <w:tcPr>
            <w:tcW w:w="715" w:type="pct"/>
            <w:tcBorders>
              <w:top w:val="single" w:color="000000" w:sz="4" w:space="0"/>
              <w:left w:val="single" w:color="000000" w:sz="4" w:space="0"/>
              <w:bottom w:val="single" w:color="000000" w:sz="2" w:space="0"/>
              <w:right w:val="single" w:color="000000" w:sz="4" w:space="0"/>
            </w:tcBorders>
            <w:noWrap w:val="0"/>
            <w:vAlign w:val="center"/>
          </w:tcPr>
          <w:p w14:paraId="27CD9BEE">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zh-CN" w:bidi="ar"/>
              </w:rPr>
            </w:pPr>
            <w:r>
              <w:rPr>
                <w:rFonts w:hint="default" w:ascii="Times New Roman" w:hAnsi="Times New Roman" w:eastAsia="宋体" w:cs="Times New Roman"/>
                <w:snapToGrid/>
                <w:color w:val="auto"/>
                <w:kern w:val="0"/>
                <w:sz w:val="21"/>
                <w:szCs w:val="21"/>
                <w:lang w:val="en-US" w:eastAsia="zh-CN" w:bidi="ar"/>
              </w:rPr>
              <w:t>重力式台、柱式桥台</w:t>
            </w:r>
          </w:p>
        </w:tc>
        <w:tc>
          <w:tcPr>
            <w:tcW w:w="545" w:type="pct"/>
            <w:tcBorders>
              <w:top w:val="single" w:color="000000" w:sz="4" w:space="0"/>
              <w:left w:val="single" w:color="000000" w:sz="4" w:space="0"/>
              <w:bottom w:val="single" w:color="000000" w:sz="2" w:space="0"/>
              <w:right w:val="single" w:color="000000" w:sz="2" w:space="0"/>
            </w:tcBorders>
            <w:noWrap w:val="0"/>
            <w:vAlign w:val="center"/>
          </w:tcPr>
          <w:p w14:paraId="640B7228">
            <w:pPr>
              <w:pStyle w:val="19"/>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snapToGrid/>
                <w:color w:val="auto"/>
                <w:kern w:val="0"/>
                <w:sz w:val="21"/>
                <w:szCs w:val="21"/>
                <w:lang w:val="en-US" w:eastAsia="en-US" w:bidi="ar"/>
              </w:rPr>
            </w:pPr>
            <w:r>
              <w:rPr>
                <w:rFonts w:hint="default" w:ascii="Times New Roman" w:hAnsi="Times New Roman" w:eastAsia="宋体" w:cs="Times New Roman"/>
                <w:snapToGrid/>
                <w:color w:val="auto"/>
                <w:kern w:val="0"/>
                <w:sz w:val="21"/>
                <w:szCs w:val="21"/>
                <w:lang w:val="en-US" w:eastAsia="en-US" w:bidi="ar"/>
              </w:rPr>
              <w:t>跨 A 匝道</w:t>
            </w:r>
          </w:p>
        </w:tc>
      </w:tr>
    </w:tbl>
    <w:p w14:paraId="65E4373C">
      <w:pPr>
        <w:spacing w:line="360" w:lineRule="auto"/>
        <w:ind w:left="0" w:leftChars="0" w:firstLine="0" w:firstLineChars="0"/>
        <w:jc w:val="center"/>
        <w:rPr>
          <w:rFonts w:hint="default" w:ascii="Times New Roman" w:hAnsi="Times New Roman" w:eastAsia="宋体" w:cs="Times New Roman"/>
          <w:b/>
          <w:bCs/>
          <w:color w:val="auto"/>
          <w:spacing w:val="0"/>
          <w:w w:val="100"/>
          <w:kern w:val="0"/>
          <w:position w:val="0"/>
          <w:sz w:val="24"/>
          <w:szCs w:val="24"/>
        </w:rPr>
      </w:pPr>
    </w:p>
    <w:p w14:paraId="5C64102F">
      <w:pPr>
        <w:spacing w:line="360" w:lineRule="auto"/>
        <w:ind w:left="0" w:leftChars="0" w:firstLine="0" w:firstLineChars="0"/>
        <w:jc w:val="center"/>
        <w:rPr>
          <w:rFonts w:hint="default" w:ascii="Times New Roman" w:hAnsi="Times New Roman" w:eastAsia="宋体" w:cs="Times New Roman"/>
          <w:b/>
          <w:bCs/>
          <w:color w:val="auto"/>
          <w:spacing w:val="0"/>
          <w:w w:val="100"/>
          <w:kern w:val="0"/>
          <w:position w:val="0"/>
          <w:sz w:val="24"/>
          <w:szCs w:val="24"/>
        </w:rPr>
        <w:sectPr>
          <w:pgSz w:w="16840" w:h="11905"/>
          <w:pgMar w:top="1440" w:right="1080" w:bottom="1440" w:left="1080" w:header="1049" w:footer="1010" w:gutter="0"/>
          <w:pgBorders>
            <w:top w:val="none" w:sz="0" w:space="0"/>
            <w:left w:val="none" w:sz="0" w:space="0"/>
            <w:bottom w:val="none" w:sz="0" w:space="0"/>
            <w:right w:val="none" w:sz="0" w:space="0"/>
          </w:pgBorders>
          <w:pgNumType w:fmt="decimal"/>
          <w:cols w:space="720" w:num="1"/>
        </w:sectPr>
      </w:pPr>
    </w:p>
    <w:p w14:paraId="1271CD49">
      <w:pPr>
        <w:pStyle w:val="5"/>
        <w:numPr>
          <w:ilvl w:val="1"/>
          <w:numId w:val="0"/>
        </w:numPr>
        <w:ind w:left="578" w:leftChars="0" w:hanging="578" w:firstLineChars="0"/>
        <w:rPr>
          <w:rFonts w:hint="default" w:ascii="Times New Roman" w:hAnsi="Times New Roman" w:eastAsia="宋体" w:cs="Times New Roman"/>
          <w:b/>
          <w:bCs/>
          <w:color w:val="auto"/>
          <w:lang w:val="en-US" w:eastAsia="en-US"/>
        </w:rPr>
      </w:pPr>
      <w:r>
        <w:rPr>
          <w:rFonts w:hint="default" w:ascii="Times New Roman" w:hAnsi="Times New Roman" w:eastAsia="宋体" w:cs="Times New Roman"/>
          <w:b/>
          <w:bCs/>
          <w:color w:val="auto"/>
          <w:lang w:val="en-US" w:eastAsia="en-US"/>
        </w:rPr>
        <w:t>2.</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eastAsia" w:ascii="Times New Roman" w:hAnsi="Times New Roman" w:eastAsia="宋体" w:cs="Times New Roman"/>
          <w:b/>
          <w:bCs/>
          <w:color w:val="auto"/>
          <w:lang w:val="en-US" w:eastAsia="zh-CN"/>
        </w:rPr>
        <w:t>5.</w:t>
      </w:r>
      <w:r>
        <w:rPr>
          <w:rFonts w:hint="default" w:ascii="Times New Roman" w:hAnsi="Times New Roman" w:eastAsia="宋体" w:cs="Times New Roman"/>
          <w:b/>
          <w:bCs/>
          <w:color w:val="auto"/>
          <w:lang w:val="en-US" w:eastAsia="en-US"/>
        </w:rPr>
        <w:t>1</w:t>
      </w:r>
      <w:r>
        <w:rPr>
          <w:rFonts w:hint="default" w:ascii="Times New Roman" w:hAnsi="Times New Roman" w:eastAsia="宋体" w:cs="Times New Roman"/>
          <w:b/>
          <w:bCs/>
          <w:color w:val="auto"/>
          <w:lang w:val="en-US" w:eastAsia="zh-CN"/>
        </w:rPr>
        <w:t xml:space="preserve"> 陈家坝大桥</w:t>
      </w:r>
    </w:p>
    <w:p w14:paraId="06435EA7">
      <w:pPr>
        <w:bidi w:val="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4"/>
          <w:sz w:val="24"/>
          <w:szCs w:val="24"/>
        </w:rPr>
        <w:t>本桥跨小沟渠和道路而设，桥位处上覆粉质粘土，下伏粉砂质泥岩，细砂岩、泥</w:t>
      </w:r>
      <w:r>
        <w:rPr>
          <w:rFonts w:hint="default" w:ascii="Times New Roman" w:hAnsi="Times New Roman" w:eastAsia="宋体" w:cs="Times New Roman"/>
          <w:color w:val="auto"/>
          <w:spacing w:val="-3"/>
          <w:sz w:val="24"/>
          <w:szCs w:val="24"/>
        </w:rPr>
        <w:t>质砂岩。桥梁全长277.5m，最大桥高2</w:t>
      </w:r>
      <w:r>
        <w:rPr>
          <w:rFonts w:hint="default" w:ascii="Times New Roman" w:hAnsi="Times New Roman" w:eastAsia="宋体" w:cs="Times New Roman"/>
          <w:color w:val="auto"/>
          <w:spacing w:val="-3"/>
          <w:sz w:val="24"/>
          <w:szCs w:val="24"/>
          <w:lang w:val="en-US" w:eastAsia="zh-CN"/>
        </w:rPr>
        <w:t>7</w:t>
      </w:r>
      <w:r>
        <w:rPr>
          <w:rFonts w:hint="default" w:ascii="Times New Roman" w:hAnsi="Times New Roman" w:eastAsia="宋体" w:cs="Times New Roman"/>
          <w:color w:val="auto"/>
          <w:spacing w:val="-3"/>
          <w:sz w:val="24"/>
          <w:szCs w:val="24"/>
        </w:rPr>
        <w:t>m，桥梁交角90°。桥梁上</w:t>
      </w:r>
      <w:r>
        <w:rPr>
          <w:rFonts w:hint="default" w:ascii="Times New Roman" w:hAnsi="Times New Roman" w:eastAsia="宋体" w:cs="Times New Roman"/>
          <w:color w:val="auto"/>
          <w:spacing w:val="-4"/>
          <w:sz w:val="24"/>
          <w:szCs w:val="24"/>
        </w:rPr>
        <w:t>部结构采用3×</w:t>
      </w:r>
      <w:r>
        <w:rPr>
          <w:rFonts w:hint="default" w:ascii="Times New Roman" w:hAnsi="Times New Roman" w:eastAsia="宋体" w:cs="Times New Roman"/>
          <w:color w:val="auto"/>
          <w:spacing w:val="-5"/>
          <w:sz w:val="24"/>
          <w:szCs w:val="24"/>
        </w:rPr>
        <w:t>30+3×30+3×30m预应力砼（后张）先简支后桥面连续T梁。全桥共设置3联，起</w:t>
      </w:r>
      <w:r>
        <w:rPr>
          <w:rFonts w:hint="default" w:ascii="Times New Roman" w:hAnsi="Times New Roman" w:eastAsia="宋体" w:cs="Times New Roman"/>
          <w:color w:val="auto"/>
          <w:spacing w:val="-3"/>
          <w:sz w:val="24"/>
          <w:szCs w:val="24"/>
        </w:rPr>
        <w:t>终点桥台均设置80型伸缩缝，4号桥墩处设</w:t>
      </w:r>
      <w:r>
        <w:rPr>
          <w:rFonts w:hint="default" w:ascii="Times New Roman" w:hAnsi="Times New Roman" w:eastAsia="宋体" w:cs="Times New Roman"/>
          <w:color w:val="auto"/>
          <w:spacing w:val="-4"/>
          <w:sz w:val="24"/>
          <w:szCs w:val="24"/>
        </w:rPr>
        <w:t>置80型伸缩缝。下部结构桥墩采用双柱</w:t>
      </w:r>
      <w:r>
        <w:rPr>
          <w:rFonts w:hint="default" w:ascii="Times New Roman" w:hAnsi="Times New Roman" w:eastAsia="宋体" w:cs="Times New Roman"/>
          <w:color w:val="auto"/>
          <w:spacing w:val="-7"/>
          <w:sz w:val="24"/>
          <w:szCs w:val="24"/>
        </w:rPr>
        <w:t>式桥墩，桩基础。起终点桥台采用重力式桥台，明挖扩大基础。桩基均按端承</w:t>
      </w:r>
      <w:r>
        <w:rPr>
          <w:rFonts w:hint="default" w:ascii="Times New Roman" w:hAnsi="Times New Roman" w:eastAsia="宋体" w:cs="Times New Roman"/>
          <w:color w:val="auto"/>
          <w:spacing w:val="-8"/>
          <w:sz w:val="24"/>
          <w:szCs w:val="24"/>
        </w:rPr>
        <w:t>桩设计</w:t>
      </w:r>
      <w:r>
        <w:rPr>
          <w:rFonts w:hint="default" w:ascii="Times New Roman" w:hAnsi="Times New Roman" w:eastAsia="宋体" w:cs="Times New Roman"/>
          <w:color w:val="auto"/>
          <w:spacing w:val="0"/>
          <w:w w:val="100"/>
          <w:kern w:val="0"/>
          <w:position w:val="0"/>
          <w:sz w:val="24"/>
          <w:szCs w:val="24"/>
        </w:rPr>
        <w:t>。桥位区交通条件较好，有</w:t>
      </w:r>
      <w:r>
        <w:rPr>
          <w:rFonts w:hint="default" w:ascii="Times New Roman" w:hAnsi="Times New Roman" w:cs="Times New Roman"/>
          <w:color w:val="auto"/>
          <w:spacing w:val="0"/>
          <w:w w:val="100"/>
          <w:kern w:val="0"/>
          <w:position w:val="0"/>
          <w:sz w:val="24"/>
          <w:szCs w:val="24"/>
          <w:lang w:val="en-US" w:eastAsia="zh-CN"/>
        </w:rPr>
        <w:t>乡道</w:t>
      </w:r>
      <w:r>
        <w:rPr>
          <w:rFonts w:hint="default" w:ascii="Times New Roman" w:hAnsi="Times New Roman" w:eastAsia="宋体" w:cs="Times New Roman"/>
          <w:color w:val="auto"/>
          <w:spacing w:val="0"/>
          <w:w w:val="100"/>
          <w:kern w:val="0"/>
          <w:position w:val="0"/>
          <w:sz w:val="24"/>
          <w:szCs w:val="24"/>
        </w:rPr>
        <w:t>可到达桥位区。</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1"/>
      </w:tblGrid>
      <w:tr w14:paraId="320C6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6" w:type="dxa"/>
            <w:noWrap w:val="0"/>
            <w:vAlign w:val="top"/>
          </w:tcPr>
          <w:p w14:paraId="73634118">
            <w:pPr>
              <w:pStyle w:val="38"/>
              <w:bidi w:val="0"/>
              <w:rPr>
                <w:rFonts w:hint="default" w:ascii="Times New Roman" w:hAnsi="Times New Roman" w:eastAsia="宋体" w:cs="Times New Roman"/>
                <w:color w:val="auto"/>
                <w:highlight w:val="none"/>
                <w:lang w:eastAsia="zh-CN"/>
              </w:rPr>
            </w:pPr>
            <w:r>
              <w:rPr>
                <w:color w:val="auto"/>
              </w:rPr>
              <w:drawing>
                <wp:inline distT="0" distB="0" distL="114300" distR="114300">
                  <wp:extent cx="6182995" cy="3556000"/>
                  <wp:effectExtent l="0" t="0" r="8255" b="635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29"/>
                          <a:stretch>
                            <a:fillRect/>
                          </a:stretch>
                        </pic:blipFill>
                        <pic:spPr>
                          <a:xfrm>
                            <a:off x="0" y="0"/>
                            <a:ext cx="6182995" cy="3556000"/>
                          </a:xfrm>
                          <a:prstGeom prst="rect">
                            <a:avLst/>
                          </a:prstGeom>
                          <a:noFill/>
                          <a:ln>
                            <a:noFill/>
                          </a:ln>
                        </pic:spPr>
                      </pic:pic>
                    </a:graphicData>
                  </a:graphic>
                </wp:inline>
              </w:drawing>
            </w:r>
          </w:p>
        </w:tc>
      </w:tr>
      <w:tr w14:paraId="714A4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86" w:type="dxa"/>
            <w:noWrap w:val="0"/>
            <w:vAlign w:val="top"/>
          </w:tcPr>
          <w:p w14:paraId="62CEA06E">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b/>
                <w:bCs/>
                <w:color w:val="auto"/>
                <w:highlight w:val="none"/>
                <w:lang w:val="en-US" w:eastAsia="zh-CN"/>
              </w:rPr>
              <w:t xml:space="preserve"> 图2.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-4  陈家坝大桥总平面布置图</w:t>
            </w:r>
          </w:p>
        </w:tc>
      </w:tr>
    </w:tbl>
    <w:p w14:paraId="66A5373F">
      <w:pPr>
        <w:pStyle w:val="5"/>
        <w:numPr>
          <w:ilvl w:val="1"/>
          <w:numId w:val="0"/>
        </w:numPr>
        <w:ind w:left="578" w:leftChars="0" w:hanging="578" w:firstLineChars="0"/>
        <w:rPr>
          <w:rFonts w:hint="default" w:ascii="Times New Roman" w:hAnsi="Times New Roman" w:eastAsia="宋体" w:cs="Times New Roman"/>
          <w:b/>
          <w:bCs/>
          <w:color w:val="auto"/>
          <w:lang w:val="en-US" w:eastAsia="en-US"/>
        </w:rPr>
      </w:pPr>
      <w:r>
        <w:rPr>
          <w:rFonts w:hint="default" w:ascii="Times New Roman" w:hAnsi="Times New Roman" w:eastAsia="宋体" w:cs="Times New Roman"/>
          <w:b/>
          <w:bCs/>
          <w:color w:val="auto"/>
          <w:lang w:val="en-US" w:eastAsia="en-US"/>
        </w:rPr>
        <w:t>2.</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eastAsia" w:ascii="Times New Roman" w:hAnsi="Times New Roman" w:eastAsia="宋体" w:cs="Times New Roman"/>
          <w:b/>
          <w:bCs/>
          <w:color w:val="auto"/>
          <w:lang w:val="en-US" w:eastAsia="zh-CN"/>
        </w:rPr>
        <w:t>5</w:t>
      </w:r>
      <w:r>
        <w:rPr>
          <w:rFonts w:hint="default" w:ascii="Times New Roman" w:hAnsi="Times New Roman" w:eastAsia="宋体" w:cs="Times New Roman"/>
          <w:b/>
          <w:bCs/>
          <w:color w:val="auto"/>
          <w:lang w:val="en-US" w:eastAsia="en-US"/>
        </w:rPr>
        <w:t>.2</w:t>
      </w:r>
      <w:r>
        <w:rPr>
          <w:rFonts w:hint="default" w:ascii="Times New Roman" w:hAnsi="Times New Roman" w:eastAsia="宋体" w:cs="Times New Roman"/>
          <w:b/>
          <w:bCs/>
          <w:color w:val="auto"/>
          <w:lang w:val="en-US" w:eastAsia="zh-CN"/>
        </w:rPr>
        <w:t xml:space="preserve"> 新桂大桥</w:t>
      </w:r>
    </w:p>
    <w:p w14:paraId="190AB0EE">
      <w:pPr>
        <w:bidi w:val="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本桥为跨代峨溪和道路而设，代峨溪下穿桥梁第2、3孔，代峨溪</w:t>
      </w:r>
      <w:r>
        <w:rPr>
          <w:rFonts w:hint="default" w:ascii="Times New Roman" w:hAnsi="Times New Roman" w:eastAsia="宋体" w:cs="Times New Roman"/>
          <w:color w:val="auto"/>
          <w:spacing w:val="0"/>
          <w:w w:val="100"/>
          <w:kern w:val="0"/>
          <w:position w:val="0"/>
          <w:sz w:val="24"/>
          <w:szCs w:val="24"/>
          <w:lang w:val="en-US" w:eastAsia="zh-CN"/>
        </w:rPr>
        <w:t>水</w:t>
      </w:r>
      <w:r>
        <w:rPr>
          <w:rFonts w:hint="default" w:ascii="Times New Roman" w:hAnsi="Times New Roman" w:eastAsia="宋体" w:cs="Times New Roman"/>
          <w:color w:val="auto"/>
          <w:spacing w:val="0"/>
          <w:w w:val="100"/>
          <w:kern w:val="0"/>
          <w:position w:val="0"/>
          <w:sz w:val="24"/>
          <w:szCs w:val="24"/>
        </w:rPr>
        <w:t>宽</w:t>
      </w:r>
      <w:r>
        <w:rPr>
          <w:rFonts w:hint="default" w:ascii="Times New Roman" w:hAnsi="Times New Roman" w:eastAsia="宋体" w:cs="Times New Roman"/>
          <w:color w:val="auto"/>
          <w:spacing w:val="0"/>
          <w:w w:val="100"/>
          <w:kern w:val="0"/>
          <w:position w:val="0"/>
          <w:sz w:val="24"/>
          <w:szCs w:val="24"/>
          <w:lang w:val="en-US" w:eastAsia="zh-CN"/>
        </w:rPr>
        <w:t>2</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5</w:t>
      </w:r>
      <w:r>
        <w:rPr>
          <w:rFonts w:hint="default" w:ascii="Times New Roman" w:hAnsi="Times New Roman" w:eastAsia="宋体" w:cs="Times New Roman"/>
          <w:color w:val="auto"/>
          <w:spacing w:val="0"/>
          <w:w w:val="100"/>
          <w:kern w:val="0"/>
          <w:position w:val="0"/>
          <w:sz w:val="24"/>
          <w:szCs w:val="24"/>
        </w:rPr>
        <w:t>m，平常水流较缓，水深</w:t>
      </w:r>
      <w:r>
        <w:rPr>
          <w:rFonts w:hint="default" w:ascii="Times New Roman" w:hAnsi="Times New Roman" w:eastAsia="宋体" w:cs="Times New Roman"/>
          <w:color w:val="auto"/>
          <w:spacing w:val="0"/>
          <w:w w:val="100"/>
          <w:kern w:val="0"/>
          <w:position w:val="0"/>
          <w:sz w:val="24"/>
          <w:szCs w:val="24"/>
          <w:lang w:val="en-US" w:eastAsia="zh-CN"/>
        </w:rPr>
        <w:t>1</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rPr>
        <w:t>2m之间</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道路下穿桥梁第4、5孔。桥位处上覆粉质粘土，下伏粉砂质泥岩，细砂岩。桥梁全长106.5m，最大桥高1</w:t>
      </w:r>
      <w:r>
        <w:rPr>
          <w:rFonts w:hint="default" w:ascii="Times New Roman" w:hAnsi="Times New Roman" w:eastAsia="宋体" w:cs="Times New Roman"/>
          <w:color w:val="auto"/>
          <w:spacing w:val="0"/>
          <w:w w:val="100"/>
          <w:kern w:val="0"/>
          <w:position w:val="0"/>
          <w:sz w:val="24"/>
          <w:szCs w:val="24"/>
          <w:lang w:val="en-US" w:eastAsia="zh-CN"/>
        </w:rPr>
        <w:t>3</w:t>
      </w:r>
      <w:r>
        <w:rPr>
          <w:rFonts w:hint="default" w:ascii="Times New Roman" w:hAnsi="Times New Roman" w:eastAsia="宋体" w:cs="Times New Roman"/>
          <w:color w:val="auto"/>
          <w:spacing w:val="0"/>
          <w:w w:val="100"/>
          <w:kern w:val="0"/>
          <w:position w:val="0"/>
          <w:sz w:val="24"/>
          <w:szCs w:val="24"/>
        </w:rPr>
        <w:t>m，桥梁交角90°。桥梁上部结构采用</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2x20+3x20</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m预应力砼</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后张</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先简支后桥面连续小箱梁。全桥共设置2联，起终点桥台均设置80型伸缩，4号桥墩处设置80型伸缩缝。下部结构桥墩采用双柱式桥墩，桩基础</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起点桥台采用肋板式桥台，基础</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终点桥台采用重力式桥台，明挖扩大基础。桩基均按端承桩设计。施工时可根据开挖后的实际地质情况酌情调整桩长。桥位区交通条件较好，有</w:t>
      </w:r>
      <w:r>
        <w:rPr>
          <w:rFonts w:hint="default" w:ascii="Times New Roman" w:hAnsi="Times New Roman" w:cs="Times New Roman"/>
          <w:color w:val="auto"/>
          <w:spacing w:val="0"/>
          <w:w w:val="100"/>
          <w:kern w:val="0"/>
          <w:position w:val="0"/>
          <w:sz w:val="24"/>
          <w:szCs w:val="24"/>
          <w:lang w:val="en-US" w:eastAsia="zh-CN"/>
        </w:rPr>
        <w:t>乡道</w:t>
      </w:r>
      <w:r>
        <w:rPr>
          <w:rFonts w:hint="default" w:ascii="Times New Roman" w:hAnsi="Times New Roman" w:eastAsia="宋体" w:cs="Times New Roman"/>
          <w:color w:val="auto"/>
          <w:spacing w:val="0"/>
          <w:w w:val="100"/>
          <w:kern w:val="0"/>
          <w:position w:val="0"/>
          <w:sz w:val="24"/>
          <w:szCs w:val="24"/>
        </w:rPr>
        <w:t>可到达桥位区。</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14:paraId="7F3D2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287" w:type="dxa"/>
            <w:noWrap w:val="0"/>
            <w:vAlign w:val="top"/>
          </w:tcPr>
          <w:p w14:paraId="237586D4">
            <w:pPr>
              <w:pStyle w:val="38"/>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688330" cy="5269865"/>
                  <wp:effectExtent l="0" t="0" r="7620" b="6985"/>
                  <wp:docPr id="16" name="图片 2" descr="1.TJ11 第一册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1.TJ11 第一册_175"/>
                          <pic:cNvPicPr>
                            <a:picLocks noChangeAspect="1"/>
                          </pic:cNvPicPr>
                        </pic:nvPicPr>
                        <pic:blipFill>
                          <a:blip r:embed="rId30"/>
                          <a:srcRect l="9547" t="4596" r="42236" b="32228"/>
                          <a:stretch>
                            <a:fillRect/>
                          </a:stretch>
                        </pic:blipFill>
                        <pic:spPr>
                          <a:xfrm>
                            <a:off x="0" y="0"/>
                            <a:ext cx="5688330" cy="5269865"/>
                          </a:xfrm>
                          <a:prstGeom prst="rect">
                            <a:avLst/>
                          </a:prstGeom>
                          <a:noFill/>
                          <a:ln>
                            <a:noFill/>
                          </a:ln>
                        </pic:spPr>
                      </pic:pic>
                    </a:graphicData>
                  </a:graphic>
                </wp:inline>
              </w:drawing>
            </w:r>
          </w:p>
        </w:tc>
      </w:tr>
      <w:tr w14:paraId="3BE9E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7" w:type="dxa"/>
            <w:noWrap w:val="0"/>
            <w:vAlign w:val="top"/>
          </w:tcPr>
          <w:p w14:paraId="5D0B7118">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b/>
                <w:bCs/>
                <w:color w:val="auto"/>
                <w:highlight w:val="none"/>
                <w:lang w:val="en-US" w:eastAsia="zh-CN"/>
              </w:rPr>
              <w:t>图2.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-5  新桂大桥总平面布置图</w:t>
            </w:r>
          </w:p>
        </w:tc>
      </w:tr>
    </w:tbl>
    <w:p w14:paraId="622162DA">
      <w:pPr>
        <w:pStyle w:val="5"/>
        <w:numPr>
          <w:ilvl w:val="1"/>
          <w:numId w:val="0"/>
        </w:numPr>
        <w:ind w:left="578" w:leftChars="0" w:hanging="578" w:firstLineChars="0"/>
        <w:rPr>
          <w:rFonts w:hint="default" w:ascii="Times New Roman" w:hAnsi="Times New Roman" w:eastAsia="宋体" w:cs="Times New Roman"/>
          <w:b/>
          <w:bCs/>
          <w:color w:val="auto"/>
          <w:lang w:val="en-US" w:eastAsia="en-US"/>
        </w:rPr>
      </w:pPr>
      <w:r>
        <w:rPr>
          <w:rFonts w:hint="default" w:ascii="Times New Roman" w:hAnsi="Times New Roman" w:eastAsia="宋体" w:cs="Times New Roman"/>
          <w:b/>
          <w:bCs/>
          <w:color w:val="auto"/>
          <w:lang w:val="en-US" w:eastAsia="en-US"/>
        </w:rPr>
        <w:t>2.</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val="en-US" w:eastAsia="en-US"/>
        </w:rPr>
        <w:t>.</w:t>
      </w:r>
      <w:r>
        <w:rPr>
          <w:rFonts w:hint="eastAsia" w:ascii="Times New Roman" w:hAnsi="Times New Roman" w:eastAsia="宋体" w:cs="Times New Roman"/>
          <w:b/>
          <w:bCs/>
          <w:color w:val="auto"/>
          <w:lang w:val="en-US" w:eastAsia="zh-CN"/>
        </w:rPr>
        <w:t>5</w:t>
      </w:r>
      <w:r>
        <w:rPr>
          <w:rFonts w:hint="default" w:ascii="Times New Roman" w:hAnsi="Times New Roman" w:eastAsia="宋体" w:cs="Times New Roman"/>
          <w:b/>
          <w:bCs/>
          <w:color w:val="auto"/>
          <w:lang w:val="en-US" w:eastAsia="en-US"/>
        </w:rPr>
        <w:t>.3</w:t>
      </w:r>
      <w:r>
        <w:rPr>
          <w:rFonts w:hint="default" w:ascii="Times New Roman" w:hAnsi="Times New Roman" w:eastAsia="宋体" w:cs="Times New Roman"/>
          <w:b/>
          <w:bCs/>
          <w:color w:val="auto"/>
          <w:lang w:val="en-US" w:eastAsia="zh-CN"/>
        </w:rPr>
        <w:t xml:space="preserve"> 团结水库大桥</w:t>
      </w:r>
    </w:p>
    <w:p w14:paraId="378EB261">
      <w:pPr>
        <w:bidi w:val="0"/>
        <w:rPr>
          <w:rFonts w:hint="default" w:ascii="Times New Roman" w:hAnsi="Times New Roman" w:cs="Times New Roman"/>
          <w:color w:val="auto"/>
          <w:lang w:val="en-US" w:eastAsia="zh-CN"/>
        </w:rPr>
      </w:pPr>
      <w:r>
        <w:rPr>
          <w:rFonts w:hint="default" w:ascii="Times New Roman" w:hAnsi="Times New Roman" w:eastAsia="宋体" w:cs="Times New Roman"/>
          <w:color w:val="auto"/>
          <w:spacing w:val="0"/>
          <w:w w:val="100"/>
          <w:kern w:val="0"/>
          <w:position w:val="0"/>
          <w:sz w:val="24"/>
          <w:szCs w:val="24"/>
        </w:rPr>
        <w:t>本桥为跨团结水库泄流沟和道路而设，桥位处上覆粉质粘土，下伏粉砂质泥岩，细砂岩。桥梁全长左幅</w:t>
      </w:r>
      <w:r>
        <w:rPr>
          <w:rFonts w:hint="eastAsia" w:ascii="Times New Roman" w:hAnsi="Times New Roman" w:eastAsia="宋体" w:cs="Times New Roman"/>
          <w:color w:val="auto"/>
          <w:spacing w:val="0"/>
          <w:w w:val="100"/>
          <w:kern w:val="0"/>
          <w:position w:val="0"/>
          <w:sz w:val="24"/>
          <w:szCs w:val="24"/>
          <w:lang w:val="en-US" w:eastAsia="zh-CN"/>
        </w:rPr>
        <w:t>9</w:t>
      </w:r>
      <w:r>
        <w:rPr>
          <w:rFonts w:hint="default" w:ascii="Times New Roman" w:hAnsi="Times New Roman" w:eastAsia="宋体" w:cs="Times New Roman"/>
          <w:color w:val="auto"/>
          <w:spacing w:val="0"/>
          <w:w w:val="100"/>
          <w:kern w:val="0"/>
          <w:position w:val="0"/>
          <w:sz w:val="24"/>
          <w:szCs w:val="24"/>
        </w:rPr>
        <w:t>7m，右幅87m。最大桥高</w:t>
      </w:r>
      <w:r>
        <w:rPr>
          <w:rFonts w:hint="default" w:ascii="Times New Roman" w:hAnsi="Times New Roman" w:eastAsia="宋体" w:cs="Times New Roman"/>
          <w:color w:val="auto"/>
          <w:spacing w:val="0"/>
          <w:w w:val="100"/>
          <w:kern w:val="0"/>
          <w:position w:val="0"/>
          <w:sz w:val="24"/>
          <w:szCs w:val="24"/>
          <w:lang w:val="en-US" w:eastAsia="zh-CN"/>
        </w:rPr>
        <w:t>5</w:t>
      </w:r>
      <w:r>
        <w:rPr>
          <w:rFonts w:hint="default" w:ascii="Times New Roman" w:hAnsi="Times New Roman" w:eastAsia="宋体" w:cs="Times New Roman"/>
          <w:color w:val="auto"/>
          <w:spacing w:val="0"/>
          <w:w w:val="100"/>
          <w:kern w:val="0"/>
          <w:position w:val="0"/>
          <w:sz w:val="24"/>
          <w:szCs w:val="24"/>
        </w:rPr>
        <w:t>m，桥梁交角90°。桥梁上部结构左幅采用</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5x20</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m预应力砼</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后张</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先简支后桥面连续小箱梁，右幅采用</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4x20</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m预应力砼</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后张</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先简支后桥面连续小箱梁。</w:t>
      </w:r>
      <w:bookmarkStart w:id="44" w:name="_Toc29323"/>
      <w:bookmarkStart w:id="45" w:name="_Toc29602"/>
      <w:bookmarkStart w:id="46" w:name="_Toc27943"/>
      <w:bookmarkStart w:id="47" w:name="_Toc16261"/>
      <w:r>
        <w:rPr>
          <w:rFonts w:hint="default" w:ascii="Times New Roman" w:hAnsi="Times New Roman" w:eastAsia="宋体" w:cs="Times New Roman"/>
          <w:color w:val="auto"/>
          <w:spacing w:val="0"/>
          <w:w w:val="100"/>
          <w:kern w:val="0"/>
          <w:position w:val="0"/>
          <w:sz w:val="24"/>
          <w:szCs w:val="24"/>
        </w:rPr>
        <w:t>桥位区交通条件较好，有</w:t>
      </w:r>
      <w:r>
        <w:rPr>
          <w:rFonts w:hint="default" w:ascii="Times New Roman" w:hAnsi="Times New Roman" w:cs="Times New Roman"/>
          <w:color w:val="auto"/>
          <w:spacing w:val="0"/>
          <w:w w:val="100"/>
          <w:kern w:val="0"/>
          <w:position w:val="0"/>
          <w:sz w:val="24"/>
          <w:szCs w:val="24"/>
          <w:lang w:val="en-US" w:eastAsia="zh-CN"/>
        </w:rPr>
        <w:t>乡道</w:t>
      </w:r>
      <w:r>
        <w:rPr>
          <w:rFonts w:hint="default" w:ascii="Times New Roman" w:hAnsi="Times New Roman" w:eastAsia="宋体" w:cs="Times New Roman"/>
          <w:color w:val="auto"/>
          <w:spacing w:val="0"/>
          <w:w w:val="100"/>
          <w:kern w:val="0"/>
          <w:position w:val="0"/>
          <w:sz w:val="24"/>
          <w:szCs w:val="24"/>
        </w:rPr>
        <w:t>可到达桥位区。</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66"/>
      </w:tblGrid>
      <w:tr w14:paraId="7ED05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66" w:type="dxa"/>
            <w:noWrap w:val="0"/>
            <w:vAlign w:val="top"/>
          </w:tcPr>
          <w:p w14:paraId="2DF5AE7B">
            <w:pPr>
              <w:pStyle w:val="38"/>
              <w:bidi w:val="0"/>
              <w:rPr>
                <w:rFonts w:hint="default" w:ascii="Times New Roman" w:hAnsi="Times New Roman" w:eastAsia="宋体" w:cs="Times New Roman"/>
                <w:color w:val="auto"/>
                <w:highlight w:val="none"/>
                <w:lang w:eastAsia="zh-CN"/>
              </w:rPr>
            </w:pPr>
          </w:p>
          <w:p w14:paraId="1173BC1B">
            <w:pPr>
              <w:pStyle w:val="38"/>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857240" cy="7051040"/>
                  <wp:effectExtent l="0" t="0" r="10160" b="16510"/>
                  <wp:docPr id="17" name="图片 3" descr="1.TJ11 第一册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1.TJ11 第一册_219"/>
                          <pic:cNvPicPr>
                            <a:picLocks noChangeAspect="1"/>
                          </pic:cNvPicPr>
                        </pic:nvPicPr>
                        <pic:blipFill>
                          <a:blip r:embed="rId31"/>
                          <a:srcRect l="11018" t="4799" r="50702" b="30025"/>
                          <a:stretch>
                            <a:fillRect/>
                          </a:stretch>
                        </pic:blipFill>
                        <pic:spPr>
                          <a:xfrm>
                            <a:off x="0" y="0"/>
                            <a:ext cx="5857240" cy="7051040"/>
                          </a:xfrm>
                          <a:prstGeom prst="rect">
                            <a:avLst/>
                          </a:prstGeom>
                          <a:noFill/>
                          <a:ln>
                            <a:noFill/>
                          </a:ln>
                        </pic:spPr>
                      </pic:pic>
                    </a:graphicData>
                  </a:graphic>
                </wp:inline>
              </w:drawing>
            </w:r>
          </w:p>
        </w:tc>
      </w:tr>
      <w:tr w14:paraId="5DD5A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66" w:type="dxa"/>
            <w:noWrap w:val="0"/>
            <w:vAlign w:val="top"/>
          </w:tcPr>
          <w:p w14:paraId="6393EA7D">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b/>
                <w:bCs/>
                <w:color w:val="auto"/>
                <w:highlight w:val="none"/>
                <w:lang w:val="en-US" w:eastAsia="zh-CN"/>
              </w:rPr>
              <w:t xml:space="preserve"> 图2.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6  团结水库大桥总平面布置图</w:t>
            </w:r>
          </w:p>
        </w:tc>
      </w:tr>
    </w:tbl>
    <w:p w14:paraId="77D239B4">
      <w:pPr>
        <w:pStyle w:val="4"/>
        <w:numPr>
          <w:ilvl w:val="1"/>
          <w:numId w:val="0"/>
        </w:numPr>
        <w:ind w:left="578" w:leftChars="0" w:hanging="578"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6</w:t>
      </w:r>
      <w:r>
        <w:rPr>
          <w:rFonts w:hint="default" w:ascii="Times New Roman" w:hAnsi="Times New Roman" w:eastAsia="宋体" w:cs="Times New Roman"/>
          <w:color w:val="auto"/>
          <w:lang w:val="en-US" w:eastAsia="zh-CN"/>
        </w:rPr>
        <w:t xml:space="preserve"> 交叉工程</w:t>
      </w:r>
      <w:bookmarkEnd w:id="44"/>
      <w:bookmarkEnd w:id="45"/>
      <w:bookmarkEnd w:id="46"/>
      <w:bookmarkEnd w:id="47"/>
    </w:p>
    <w:p w14:paraId="0AC14D45">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本项目全线共设1处互通式立交，为小沔枢纽互通；</w:t>
      </w:r>
      <w:r>
        <w:rPr>
          <w:rFonts w:hint="default" w:ascii="Times New Roman" w:hAnsi="Times New Roman" w:eastAsia="宋体" w:cs="Times New Roman"/>
          <w:color w:val="auto"/>
          <w:lang w:val="en-US" w:eastAsia="zh-CN"/>
        </w:rPr>
        <w:t>项目交叉工程一览表见</w:t>
      </w:r>
      <w:r>
        <w:rPr>
          <w:rFonts w:hint="eastAsia" w:cs="Times New Roman"/>
          <w:color w:val="auto"/>
          <w:lang w:val="en-US" w:eastAsia="zh-CN"/>
        </w:rPr>
        <w:t>下</w:t>
      </w:r>
      <w:r>
        <w:rPr>
          <w:rFonts w:hint="default" w:ascii="Times New Roman" w:hAnsi="Times New Roman" w:eastAsia="宋体" w:cs="Times New Roman"/>
          <w:color w:val="auto"/>
          <w:lang w:val="en-US" w:eastAsia="zh-CN"/>
        </w:rPr>
        <w:t>表</w:t>
      </w:r>
      <w:r>
        <w:rPr>
          <w:rFonts w:hint="default" w:ascii="Times New Roman" w:hAnsi="Times New Roman" w:cs="Times New Roman"/>
          <w:color w:val="auto"/>
          <w:lang w:val="en-US" w:eastAsia="zh-CN"/>
        </w:rPr>
        <w:t>。</w:t>
      </w:r>
    </w:p>
    <w:p w14:paraId="43941A3C">
      <w:pPr>
        <w:keepNext w:val="0"/>
        <w:keepLines w:val="0"/>
        <w:pageBreakBefore w:val="0"/>
        <w:widowControl w:val="0"/>
        <w:kinsoku/>
        <w:wordWrap/>
        <w:overflowPunct w:val="0"/>
        <w:topLinePunct w:val="0"/>
        <w:autoSpaceDE w:val="0"/>
        <w:autoSpaceDN w:val="0"/>
        <w:bidi w:val="0"/>
        <w:adjustRightInd w:val="0"/>
        <w:snapToGrid w:val="0"/>
        <w:ind w:left="0" w:leftChars="0" w:firstLine="0" w:firstLineChars="0"/>
        <w:jc w:val="center"/>
        <w:textAlignment w:val="baseline"/>
        <w:rPr>
          <w:rFonts w:hint="default" w:ascii="Times New Roman" w:hAnsi="Times New Roman" w:cs="Times New Roman"/>
          <w:b/>
          <w:bCs/>
          <w:color w:val="auto"/>
          <w:highlight w:val="yellow"/>
          <w:lang w:val="en-US" w:eastAsia="zh-CN"/>
        </w:rPr>
      </w:pPr>
      <w:r>
        <w:rPr>
          <w:rFonts w:hint="default" w:ascii="Times New Roman" w:hAnsi="Times New Roman" w:eastAsia="宋体" w:cs="Times New Roman"/>
          <w:b/>
          <w:bCs/>
          <w:snapToGrid w:val="0"/>
          <w:color w:val="auto"/>
          <w:kern w:val="0"/>
          <w:sz w:val="24"/>
          <w:szCs w:val="18"/>
          <w:lang w:val="en-US" w:eastAsia="en-US" w:bidi="ar-SA"/>
        </w:rPr>
        <w:t>表2.</w:t>
      </w:r>
      <w:r>
        <w:rPr>
          <w:rFonts w:hint="eastAsia" w:cs="Times New Roman"/>
          <w:b/>
          <w:bCs/>
          <w:snapToGrid w:val="0"/>
          <w:color w:val="auto"/>
          <w:kern w:val="0"/>
          <w:sz w:val="24"/>
          <w:szCs w:val="18"/>
          <w:lang w:val="en-US" w:eastAsia="zh-CN" w:bidi="ar-SA"/>
        </w:rPr>
        <w:t>3</w:t>
      </w:r>
      <w:r>
        <w:rPr>
          <w:rFonts w:hint="default" w:ascii="Times New Roman" w:hAnsi="Times New Roman" w:eastAsia="宋体" w:cs="Times New Roman"/>
          <w:b/>
          <w:bCs/>
          <w:snapToGrid w:val="0"/>
          <w:color w:val="auto"/>
          <w:kern w:val="0"/>
          <w:sz w:val="24"/>
          <w:szCs w:val="18"/>
          <w:lang w:val="en-US" w:eastAsia="en-US" w:bidi="ar-SA"/>
        </w:rPr>
        <w:t>-</w:t>
      </w:r>
      <w:r>
        <w:rPr>
          <w:rFonts w:hint="eastAsia" w:cs="Times New Roman"/>
          <w:b/>
          <w:bCs/>
          <w:snapToGrid w:val="0"/>
          <w:color w:val="auto"/>
          <w:kern w:val="0"/>
          <w:sz w:val="24"/>
          <w:szCs w:val="18"/>
          <w:lang w:val="en-US" w:eastAsia="zh-CN" w:bidi="ar-SA"/>
        </w:rPr>
        <w:t>8</w:t>
      </w:r>
      <w:r>
        <w:rPr>
          <w:rFonts w:hint="default" w:ascii="Times New Roman" w:hAnsi="Times New Roman" w:eastAsia="宋体" w:cs="Times New Roman"/>
          <w:b/>
          <w:bCs/>
          <w:snapToGrid w:val="0"/>
          <w:color w:val="auto"/>
          <w:kern w:val="0"/>
          <w:sz w:val="24"/>
          <w:szCs w:val="18"/>
          <w:lang w:val="en-US" w:eastAsia="en-US" w:bidi="ar-SA"/>
        </w:rPr>
        <w:t xml:space="preserve">  </w:t>
      </w:r>
      <w:r>
        <w:rPr>
          <w:rFonts w:hint="default" w:ascii="Times New Roman" w:hAnsi="Times New Roman" w:eastAsia="宋体" w:cs="Times New Roman"/>
          <w:b/>
          <w:bCs/>
          <w:color w:val="auto"/>
          <w:lang w:val="en-US" w:eastAsia="zh-CN"/>
        </w:rPr>
        <w:t>项目交叉工程</w:t>
      </w:r>
      <w:r>
        <w:rPr>
          <w:rFonts w:hint="default" w:ascii="Times New Roman" w:hAnsi="Times New Roman" w:eastAsia="宋体" w:cs="Times New Roman"/>
          <w:b/>
          <w:bCs/>
          <w:color w:val="auto"/>
        </w:rPr>
        <w:t>一览表</w:t>
      </w:r>
    </w:p>
    <w:tbl>
      <w:tblPr>
        <w:tblStyle w:val="20"/>
        <w:tblW w:w="496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1515"/>
        <w:gridCol w:w="1453"/>
        <w:gridCol w:w="1813"/>
        <w:gridCol w:w="1145"/>
        <w:gridCol w:w="1422"/>
        <w:gridCol w:w="1842"/>
      </w:tblGrid>
      <w:tr w14:paraId="27B16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2" w:type="pct"/>
            <w:noWrap w:val="0"/>
            <w:tcMar>
              <w:left w:w="0" w:type="dxa"/>
              <w:right w:w="0" w:type="dxa"/>
            </w:tcMar>
            <w:vAlign w:val="center"/>
          </w:tcPr>
          <w:p w14:paraId="42FDFCAE">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782" w:type="pct"/>
            <w:noWrap w:val="0"/>
            <w:tcMar>
              <w:left w:w="0" w:type="dxa"/>
              <w:right w:w="0" w:type="dxa"/>
            </w:tcMar>
            <w:vAlign w:val="center"/>
          </w:tcPr>
          <w:p w14:paraId="30C4456E">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750" w:type="pct"/>
            <w:noWrap w:val="0"/>
            <w:tcMar>
              <w:left w:w="0" w:type="dxa"/>
              <w:right w:w="0" w:type="dxa"/>
            </w:tcMar>
            <w:vAlign w:val="center"/>
          </w:tcPr>
          <w:p w14:paraId="2E582B21">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交叉</w:t>
            </w:r>
            <w:r>
              <w:rPr>
                <w:rFonts w:hint="default" w:ascii="Times New Roman" w:hAnsi="Times New Roman" w:cs="Times New Roman"/>
                <w:color w:val="auto"/>
                <w:highlight w:val="none"/>
              </w:rPr>
              <w:t>桩号</w:t>
            </w:r>
          </w:p>
        </w:tc>
        <w:tc>
          <w:tcPr>
            <w:tcW w:w="936" w:type="pct"/>
            <w:noWrap w:val="0"/>
            <w:tcMar>
              <w:left w:w="0" w:type="dxa"/>
              <w:right w:w="0" w:type="dxa"/>
            </w:tcMar>
            <w:vAlign w:val="center"/>
          </w:tcPr>
          <w:p w14:paraId="70A70800">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互通型式</w:t>
            </w:r>
          </w:p>
        </w:tc>
        <w:tc>
          <w:tcPr>
            <w:tcW w:w="591" w:type="pct"/>
            <w:noWrap w:val="0"/>
            <w:tcMar>
              <w:left w:w="0" w:type="dxa"/>
              <w:right w:w="0" w:type="dxa"/>
            </w:tcMar>
            <w:vAlign w:val="center"/>
          </w:tcPr>
          <w:p w14:paraId="4D231CDB">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占地面积</w:t>
            </w:r>
          </w:p>
        </w:tc>
        <w:tc>
          <w:tcPr>
            <w:tcW w:w="734" w:type="pct"/>
            <w:noWrap w:val="0"/>
            <w:tcMar>
              <w:left w:w="0" w:type="dxa"/>
              <w:right w:w="0" w:type="dxa"/>
            </w:tcMar>
            <w:vAlign w:val="center"/>
          </w:tcPr>
          <w:p w14:paraId="37813E83">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土地利用类型</w:t>
            </w:r>
          </w:p>
        </w:tc>
        <w:tc>
          <w:tcPr>
            <w:tcW w:w="951" w:type="pct"/>
            <w:noWrap w:val="0"/>
            <w:tcMar>
              <w:left w:w="0" w:type="dxa"/>
              <w:right w:w="0" w:type="dxa"/>
            </w:tcMar>
            <w:vAlign w:val="center"/>
          </w:tcPr>
          <w:p w14:paraId="6FA8A812">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交叉道路</w:t>
            </w:r>
            <w:r>
              <w:rPr>
                <w:rFonts w:hint="default" w:ascii="Times New Roman" w:hAnsi="Times New Roman" w:cs="Times New Roman"/>
                <w:color w:val="auto"/>
                <w:highlight w:val="none"/>
                <w:lang w:val="en-US" w:eastAsia="zh-CN"/>
              </w:rPr>
              <w:t>/等级</w:t>
            </w:r>
          </w:p>
        </w:tc>
      </w:tr>
      <w:tr w14:paraId="0279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2" w:type="pct"/>
            <w:noWrap w:val="0"/>
            <w:tcMar>
              <w:left w:w="0" w:type="dxa"/>
              <w:right w:w="0" w:type="dxa"/>
            </w:tcMar>
            <w:vAlign w:val="center"/>
          </w:tcPr>
          <w:p w14:paraId="0C9CC260">
            <w:pPr>
              <w:pStyle w:val="3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782" w:type="pct"/>
            <w:noWrap w:val="0"/>
            <w:tcMar>
              <w:left w:w="0" w:type="dxa"/>
              <w:right w:w="0" w:type="dxa"/>
            </w:tcMar>
            <w:vAlign w:val="center"/>
          </w:tcPr>
          <w:p w14:paraId="3AB5A86A">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小沔枢纽互通</w:t>
            </w:r>
          </w:p>
        </w:tc>
        <w:tc>
          <w:tcPr>
            <w:tcW w:w="750" w:type="pct"/>
            <w:noWrap w:val="0"/>
            <w:tcMar>
              <w:left w:w="0" w:type="dxa"/>
              <w:right w:w="0" w:type="dxa"/>
            </w:tcMar>
            <w:vAlign w:val="center"/>
          </w:tcPr>
          <w:p w14:paraId="6B56E96B">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K78+588.995</w:t>
            </w:r>
          </w:p>
        </w:tc>
        <w:tc>
          <w:tcPr>
            <w:tcW w:w="936" w:type="pct"/>
            <w:noWrap w:val="0"/>
            <w:tcMar>
              <w:left w:w="0" w:type="dxa"/>
              <w:right w:w="0" w:type="dxa"/>
            </w:tcMar>
            <w:vAlign w:val="center"/>
          </w:tcPr>
          <w:p w14:paraId="7FC12C00">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半枢纽半一般互通式立交</w:t>
            </w:r>
          </w:p>
        </w:tc>
        <w:tc>
          <w:tcPr>
            <w:tcW w:w="591" w:type="pct"/>
            <w:noWrap w:val="0"/>
            <w:tcMar>
              <w:left w:w="0" w:type="dxa"/>
              <w:right w:w="0" w:type="dxa"/>
            </w:tcMar>
            <w:vAlign w:val="center"/>
          </w:tcPr>
          <w:p w14:paraId="55D65243">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29.43hm</w:t>
            </w:r>
            <w:r>
              <w:rPr>
                <w:rFonts w:hint="default" w:ascii="Times New Roman" w:hAnsi="Times New Roman" w:cs="Times New Roman"/>
                <w:color w:val="auto"/>
                <w:highlight w:val="none"/>
                <w:vertAlign w:val="superscript"/>
                <w:lang w:val="en-US" w:eastAsia="zh-CN"/>
              </w:rPr>
              <w:t>2</w:t>
            </w:r>
          </w:p>
        </w:tc>
        <w:tc>
          <w:tcPr>
            <w:tcW w:w="734" w:type="pct"/>
            <w:noWrap w:val="0"/>
            <w:tcMar>
              <w:left w:w="0" w:type="dxa"/>
              <w:right w:w="0" w:type="dxa"/>
            </w:tcMar>
            <w:vAlign w:val="center"/>
          </w:tcPr>
          <w:p w14:paraId="4EA08F16">
            <w:pPr>
              <w:pStyle w:val="3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耕地、林地、住宅用地、交通运输用地</w:t>
            </w:r>
          </w:p>
        </w:tc>
        <w:tc>
          <w:tcPr>
            <w:tcW w:w="951" w:type="pct"/>
            <w:noWrap w:val="0"/>
            <w:tcMar>
              <w:left w:w="0" w:type="dxa"/>
              <w:right w:w="0" w:type="dxa"/>
            </w:tcMar>
            <w:vAlign w:val="center"/>
          </w:tcPr>
          <w:p w14:paraId="356BB2D5">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G85渝昆高速公路</w:t>
            </w:r>
          </w:p>
        </w:tc>
      </w:tr>
    </w:tbl>
    <w:p w14:paraId="4A6CD971">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小沔</w:t>
      </w:r>
      <w:r>
        <w:rPr>
          <w:rFonts w:hint="default" w:ascii="Times New Roman" w:hAnsi="Times New Roman" w:cs="Times New Roman"/>
          <w:color w:val="auto"/>
          <w:lang w:eastAsia="zh-CN"/>
        </w:rPr>
        <w:t>枢纽互通</w:t>
      </w:r>
      <w:r>
        <w:rPr>
          <w:rFonts w:hint="eastAsia" w:cs="Times New Roman"/>
          <w:color w:val="auto"/>
          <w:lang w:eastAsia="zh-CN"/>
        </w:rPr>
        <w:t>位于</w:t>
      </w:r>
      <w:r>
        <w:rPr>
          <w:rFonts w:hint="default" w:ascii="Times New Roman" w:hAnsi="Times New Roman" w:eastAsia="宋体" w:cs="Times New Roman"/>
          <w:color w:val="auto"/>
          <w:lang w:val="en-US" w:eastAsia="zh-CN"/>
        </w:rPr>
        <w:t>主线K78+588.994~K79+900</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地处合川区</w:t>
      </w:r>
      <w:r>
        <w:rPr>
          <w:rFonts w:hint="default" w:ascii="Times New Roman" w:hAnsi="Times New Roman" w:eastAsia="宋体" w:cs="Times New Roman"/>
          <w:color w:val="auto"/>
          <w:lang w:eastAsia="zh-CN"/>
        </w:rPr>
        <w:t>小沔镇斑竹村，与G</w:t>
      </w:r>
      <w:r>
        <w:rPr>
          <w:rFonts w:hint="default" w:ascii="Times New Roman" w:hAnsi="Times New Roman" w:eastAsia="宋体" w:cs="Times New Roman"/>
          <w:color w:val="auto"/>
          <w:lang w:val="en-US" w:eastAsia="zh-CN"/>
        </w:rPr>
        <w:t>85渝昆</w:t>
      </w:r>
      <w:r>
        <w:rPr>
          <w:rFonts w:hint="default" w:ascii="Times New Roman" w:hAnsi="Times New Roman" w:eastAsia="宋体" w:cs="Times New Roman"/>
          <w:color w:val="auto"/>
          <w:lang w:eastAsia="zh-CN"/>
        </w:rPr>
        <w:t>高速公路相接，</w:t>
      </w:r>
      <w:r>
        <w:rPr>
          <w:rFonts w:hint="default" w:ascii="Times New Roman" w:hAnsi="Times New Roman" w:eastAsia="宋体" w:cs="Times New Roman"/>
          <w:color w:val="auto"/>
          <w:lang w:val="en-US" w:eastAsia="zh-CN"/>
        </w:rPr>
        <w:t>交叉中心为K78+588.994</w:t>
      </w:r>
      <w:r>
        <w:rPr>
          <w:rFonts w:hint="default" w:ascii="Times New Roman" w:hAnsi="Times New Roman" w:eastAsia="宋体" w:cs="Times New Roman"/>
          <w:color w:val="auto"/>
          <w:lang w:eastAsia="zh-CN"/>
        </w:rPr>
        <w:t>，为枢纽式互通。该互通主要解决</w:t>
      </w:r>
      <w:r>
        <w:rPr>
          <w:rFonts w:hint="default" w:ascii="Times New Roman" w:hAnsi="Times New Roman" w:eastAsia="宋体" w:cs="Times New Roman"/>
          <w:color w:val="auto"/>
          <w:lang w:val="en-US" w:eastAsia="zh-CN"/>
        </w:rPr>
        <w:t>渝广高速</w:t>
      </w:r>
      <w:r>
        <w:rPr>
          <w:rFonts w:hint="default" w:ascii="Times New Roman" w:hAnsi="Times New Roman" w:eastAsia="宋体" w:cs="Times New Roman"/>
          <w:color w:val="auto"/>
          <w:lang w:eastAsia="zh-CN"/>
        </w:rPr>
        <w:t>与G</w:t>
      </w:r>
      <w:r>
        <w:rPr>
          <w:rFonts w:hint="default" w:ascii="Times New Roman" w:hAnsi="Times New Roman" w:eastAsia="宋体" w:cs="Times New Roman"/>
          <w:color w:val="auto"/>
          <w:lang w:val="en-US" w:eastAsia="zh-CN"/>
        </w:rPr>
        <w:t>85渝昆</w:t>
      </w:r>
      <w:r>
        <w:rPr>
          <w:rFonts w:hint="default" w:ascii="Times New Roman" w:hAnsi="Times New Roman" w:eastAsia="宋体" w:cs="Times New Roman"/>
          <w:color w:val="auto"/>
          <w:lang w:eastAsia="zh-CN"/>
        </w:rPr>
        <w:t>高速公路以及</w:t>
      </w:r>
      <w:r>
        <w:rPr>
          <w:rFonts w:hint="default" w:ascii="Times New Roman" w:hAnsi="Times New Roman" w:eastAsia="宋体" w:cs="Times New Roman"/>
          <w:color w:val="auto"/>
          <w:lang w:val="en-US" w:eastAsia="zh-CN"/>
        </w:rPr>
        <w:t>小沔等周边乡镇</w:t>
      </w:r>
      <w:r>
        <w:rPr>
          <w:rFonts w:hint="default" w:ascii="Times New Roman" w:hAnsi="Times New Roman" w:eastAsia="宋体" w:cs="Times New Roman"/>
          <w:color w:val="auto"/>
          <w:lang w:eastAsia="zh-CN"/>
        </w:rPr>
        <w:t>间的交通转换。</w:t>
      </w:r>
    </w:p>
    <w:p w14:paraId="1A4A7F58">
      <w:pPr>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小沔</w:t>
      </w:r>
      <w:r>
        <w:rPr>
          <w:rFonts w:hint="default" w:ascii="Times New Roman" w:hAnsi="Times New Roman" w:cs="Times New Roman"/>
          <w:color w:val="auto"/>
          <w:lang w:eastAsia="zh-CN"/>
        </w:rPr>
        <w:t>枢纽互通</w:t>
      </w:r>
      <w:r>
        <w:rPr>
          <w:rFonts w:hint="default" w:ascii="Times New Roman" w:hAnsi="Times New Roman" w:cs="Times New Roman"/>
          <w:color w:val="auto"/>
          <w:lang w:val="en-US" w:eastAsia="zh-CN"/>
        </w:rPr>
        <w:t>匝道全长7464.829m</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主线路基段</w:t>
      </w:r>
      <w:r>
        <w:rPr>
          <w:rFonts w:hint="default" w:ascii="Times New Roman" w:hAnsi="Times New Roman" w:eastAsia="宋体" w:cs="Times New Roman"/>
          <w:color w:val="auto"/>
          <w:spacing w:val="-2"/>
          <w:sz w:val="24"/>
          <w:szCs w:val="24"/>
        </w:rPr>
        <w:t>无主线桥，设置匝道桥1915.2m/12座</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lang w:val="en-US" w:eastAsia="zh-CN"/>
        </w:rPr>
        <w:t>共设置车行天桥1处</w:t>
      </w:r>
      <w:r>
        <w:rPr>
          <w:rFonts w:hint="default" w:ascii="Times New Roman" w:hAnsi="Times New Roman" w:eastAsia="宋体" w:cs="Times New Roman"/>
          <w:color w:val="auto"/>
          <w:lang w:eastAsia="zh-CN"/>
        </w:rPr>
        <w:t>，涵洞及通道</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lang w:eastAsia="zh-CN"/>
        </w:rPr>
        <w:t>道，匝道收费站</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eastAsia="zh-CN"/>
        </w:rPr>
        <w:t>座（</w:t>
      </w:r>
      <w:r>
        <w:rPr>
          <w:rFonts w:hint="default" w:ascii="Times New Roman" w:hAnsi="Times New Roman" w:eastAsia="宋体" w:cs="Times New Roman"/>
          <w:color w:val="auto"/>
          <w:lang w:val="en-US" w:eastAsia="zh-CN"/>
        </w:rPr>
        <w:t>3进3出</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匝道</w:t>
      </w:r>
      <w:r>
        <w:rPr>
          <w:rFonts w:hint="default" w:ascii="Times New Roman" w:hAnsi="Times New Roman" w:eastAsia="宋体" w:cs="Times New Roman"/>
          <w:color w:val="auto"/>
          <w:lang w:eastAsia="zh-CN"/>
        </w:rPr>
        <w:t>路基宽度分别为</w:t>
      </w:r>
      <w:r>
        <w:rPr>
          <w:rFonts w:hint="default" w:ascii="Times New Roman" w:hAnsi="Times New Roman" w:eastAsia="宋体" w:cs="Times New Roman"/>
          <w:color w:val="auto"/>
          <w:lang w:val="en-US" w:eastAsia="zh-CN"/>
        </w:rPr>
        <w:t>9m（单向单车道）、10.5m（单向双车道），</w:t>
      </w:r>
      <w:r>
        <w:rPr>
          <w:rFonts w:hint="default" w:ascii="Times New Roman" w:hAnsi="Times New Roman" w:eastAsia="宋体" w:cs="Times New Roman"/>
          <w:color w:val="auto"/>
          <w:highlight w:val="none"/>
          <w:lang w:eastAsia="zh-CN"/>
        </w:rPr>
        <w:t>设计载荷公路</w:t>
      </w:r>
      <w:r>
        <w:rPr>
          <w:rFonts w:hint="default" w:ascii="Times New Roman" w:hAnsi="Times New Roman" w:eastAsia="宋体" w:cs="Times New Roman"/>
          <w:color w:val="auto"/>
          <w:highlight w:val="none"/>
          <w:lang w:val="en-US" w:eastAsia="zh-CN"/>
        </w:rPr>
        <w:t>-Ⅰ级，设计速度40km/h，</w:t>
      </w:r>
      <w:r>
        <w:rPr>
          <w:rFonts w:hint="default" w:ascii="Times New Roman" w:hAnsi="Times New Roman" w:eastAsia="宋体" w:cs="Times New Roman"/>
          <w:color w:val="auto"/>
          <w:lang w:eastAsia="zh-CN"/>
        </w:rPr>
        <w:t>共设置A、B、C、D、E、</w:t>
      </w:r>
      <w:r>
        <w:rPr>
          <w:rFonts w:hint="default" w:ascii="Times New Roman" w:hAnsi="Times New Roman" w:eastAsia="宋体" w:cs="Times New Roman"/>
          <w:color w:val="auto"/>
          <w:lang w:val="en-US" w:eastAsia="zh-CN"/>
        </w:rPr>
        <w:t>F</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G、H</w:t>
      </w:r>
      <w:r>
        <w:rPr>
          <w:rFonts w:hint="default" w:ascii="Times New Roman" w:hAnsi="Times New Roman" w:eastAsia="宋体" w:cs="Times New Roman"/>
          <w:color w:val="auto"/>
          <w:lang w:eastAsia="zh-CN"/>
        </w:rPr>
        <w:t>共</w:t>
      </w:r>
      <w:r>
        <w:rPr>
          <w:rFonts w:hint="default" w:ascii="Times New Roman" w:hAnsi="Times New Roman" w:eastAsia="宋体" w:cs="Times New Roman"/>
          <w:color w:val="auto"/>
          <w:lang w:val="en-US" w:eastAsia="zh-CN"/>
        </w:rPr>
        <w:t>8个</w:t>
      </w:r>
      <w:r>
        <w:rPr>
          <w:rFonts w:hint="default" w:ascii="Times New Roman" w:hAnsi="Times New Roman" w:eastAsia="宋体" w:cs="Times New Roman"/>
          <w:color w:val="auto"/>
          <w:lang w:eastAsia="zh-CN"/>
        </w:rPr>
        <w:t>匝道；</w:t>
      </w:r>
      <w:r>
        <w:rPr>
          <w:rFonts w:hint="default" w:ascii="Times New Roman" w:hAnsi="Times New Roman" w:cs="Times New Roman"/>
          <w:color w:val="auto"/>
          <w:lang w:eastAsia="zh-CN"/>
        </w:rPr>
        <w:t>各匝道进出高速公路主线，减速车道采用直接式，加速车道采用平行式。主要经济技术指标详见</w:t>
      </w:r>
      <w:r>
        <w:rPr>
          <w:rFonts w:hint="eastAsia" w:cs="Times New Roman"/>
          <w:color w:val="auto"/>
          <w:lang w:val="en-US" w:eastAsia="zh-CN"/>
        </w:rPr>
        <w:t>下</w:t>
      </w:r>
      <w:r>
        <w:rPr>
          <w:rFonts w:hint="default" w:ascii="Times New Roman" w:hAnsi="Times New Roman" w:cs="Times New Roman"/>
          <w:color w:val="auto"/>
          <w:lang w:eastAsia="zh-CN"/>
        </w:rPr>
        <w:t>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1"/>
      </w:tblGrid>
      <w:tr w14:paraId="37AE5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467" w:type="dxa"/>
            <w:noWrap w:val="0"/>
            <w:vAlign w:val="top"/>
          </w:tcPr>
          <w:p w14:paraId="64A0F4FB">
            <w:pPr>
              <w:pStyle w:val="38"/>
              <w:bidi w:val="0"/>
              <w:rPr>
                <w:rFonts w:hint="default" w:ascii="Times New Roman" w:hAnsi="Times New Roman" w:eastAsia="宋体" w:cs="Times New Roman"/>
                <w:color w:val="auto"/>
                <w:highlight w:val="none"/>
                <w:lang w:eastAsia="zh-CN"/>
              </w:rPr>
            </w:pPr>
            <w:bookmarkStart w:id="48" w:name="_Toc250"/>
            <w:bookmarkStart w:id="49" w:name="_Toc10101"/>
            <w:bookmarkStart w:id="50" w:name="_Toc27242"/>
            <w:bookmarkStart w:id="51" w:name="_Toc12334"/>
            <w:r>
              <w:rPr>
                <w:rFonts w:hint="default" w:ascii="Times New Roman" w:hAnsi="Times New Roman" w:eastAsia="宋体" w:cs="Times New Roman"/>
                <w:color w:val="auto"/>
                <w:highlight w:val="none"/>
                <w:lang w:eastAsia="zh-CN"/>
              </w:rPr>
              <w:drawing>
                <wp:inline distT="0" distB="0" distL="114300" distR="114300">
                  <wp:extent cx="4095750" cy="6358255"/>
                  <wp:effectExtent l="0" t="0" r="4445" b="0"/>
                  <wp:docPr id="43" name="图片 5" descr="6.TJ12 第二册第一分册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descr="6.TJ12 第二册第一分册_18"/>
                          <pic:cNvPicPr>
                            <a:picLocks noChangeAspect="1"/>
                          </pic:cNvPicPr>
                        </pic:nvPicPr>
                        <pic:blipFill>
                          <a:blip r:embed="rId32"/>
                          <a:srcRect l="13914" t="7550" r="10497" b="3236"/>
                          <a:stretch>
                            <a:fillRect/>
                          </a:stretch>
                        </pic:blipFill>
                        <pic:spPr>
                          <a:xfrm rot="-5400000">
                            <a:off x="0" y="0"/>
                            <a:ext cx="4095750" cy="6358255"/>
                          </a:xfrm>
                          <a:prstGeom prst="rect">
                            <a:avLst/>
                          </a:prstGeom>
                          <a:noFill/>
                          <a:ln>
                            <a:noFill/>
                          </a:ln>
                        </pic:spPr>
                      </pic:pic>
                    </a:graphicData>
                  </a:graphic>
                </wp:inline>
              </w:drawing>
            </w:r>
          </w:p>
        </w:tc>
      </w:tr>
      <w:tr w14:paraId="55285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67" w:type="dxa"/>
            <w:noWrap w:val="0"/>
            <w:vAlign w:val="top"/>
          </w:tcPr>
          <w:p w14:paraId="075E316E">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b/>
                <w:bCs/>
                <w:color w:val="auto"/>
                <w:highlight w:val="none"/>
                <w:lang w:val="en-US" w:eastAsia="zh-CN"/>
              </w:rPr>
              <w:t xml:space="preserve"> 图2.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-7  小沔枢纽互通各匝道平面图</w:t>
            </w:r>
          </w:p>
        </w:tc>
      </w:tr>
    </w:tbl>
    <w:p w14:paraId="4C0BB88E">
      <w:pPr>
        <w:keepNext/>
        <w:keepLines w:val="0"/>
        <w:widowControl w:val="0"/>
        <w:numPr>
          <w:ilvl w:val="0"/>
          <w:numId w:val="0"/>
        </w:numPr>
        <w:kinsoku/>
        <w:overflowPunct w:val="0"/>
        <w:autoSpaceDE w:val="0"/>
        <w:autoSpaceDN w:val="0"/>
        <w:bidi w:val="0"/>
        <w:adjustRightInd w:val="0"/>
        <w:snapToGrid w:val="0"/>
        <w:spacing w:line="240" w:lineRule="auto"/>
        <w:ind w:left="0" w:leftChars="0" w:firstLine="0" w:firstLineChars="0"/>
        <w:jc w:val="center"/>
        <w:textAlignment w:val="baseline"/>
        <w:outlineLvl w:val="9"/>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表2.</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w:t>
      </w:r>
      <w:r>
        <w:rPr>
          <w:rFonts w:hint="eastAsia" w:cs="Times New Roman"/>
          <w:b/>
          <w:bCs/>
          <w:snapToGrid w:val="0"/>
          <w:color w:val="auto"/>
          <w:kern w:val="0"/>
          <w:sz w:val="21"/>
          <w:szCs w:val="21"/>
          <w:lang w:val="en-US" w:eastAsia="zh-CN" w:bidi="ar-SA"/>
        </w:rPr>
        <w:t>9</w:t>
      </w:r>
      <w:r>
        <w:rPr>
          <w:rFonts w:hint="default" w:ascii="Times New Roman" w:hAnsi="Times New Roman" w:eastAsia="宋体" w:cs="Times New Roman"/>
          <w:b/>
          <w:bCs/>
          <w:snapToGrid w:val="0"/>
          <w:color w:val="auto"/>
          <w:kern w:val="0"/>
          <w:sz w:val="21"/>
          <w:szCs w:val="21"/>
          <w:lang w:val="en-US" w:eastAsia="zh-CN" w:bidi="ar-SA"/>
        </w:rPr>
        <w:t xml:space="preserve">  小沔枢纽互通主要经济技术指标</w:t>
      </w:r>
    </w:p>
    <w:tbl>
      <w:tblPr>
        <w:tblStyle w:val="20"/>
        <w:tblW w:w="472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0"/>
        <w:gridCol w:w="2264"/>
        <w:gridCol w:w="1310"/>
        <w:gridCol w:w="1915"/>
        <w:gridCol w:w="3280"/>
      </w:tblGrid>
      <w:tr w14:paraId="1993B5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vMerge w:val="restart"/>
            <w:tcBorders>
              <w:tl2br w:val="nil"/>
              <w:tr2bl w:val="nil"/>
            </w:tcBorders>
            <w:noWrap w:val="0"/>
            <w:vAlign w:val="center"/>
          </w:tcPr>
          <w:p w14:paraId="67C6161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序号</w:t>
            </w:r>
          </w:p>
        </w:tc>
        <w:tc>
          <w:tcPr>
            <w:tcW w:w="2265" w:type="dxa"/>
            <w:vMerge w:val="restart"/>
            <w:tcBorders>
              <w:tl2br w:val="nil"/>
              <w:tr2bl w:val="nil"/>
            </w:tcBorders>
            <w:noWrap w:val="0"/>
            <w:vAlign w:val="center"/>
          </w:tcPr>
          <w:p w14:paraId="7DAE92F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指标名称</w:t>
            </w:r>
          </w:p>
        </w:tc>
        <w:tc>
          <w:tcPr>
            <w:tcW w:w="1310" w:type="dxa"/>
            <w:vMerge w:val="restart"/>
            <w:tcBorders>
              <w:tl2br w:val="nil"/>
              <w:tr2bl w:val="nil"/>
            </w:tcBorders>
            <w:noWrap w:val="0"/>
            <w:vAlign w:val="center"/>
          </w:tcPr>
          <w:p w14:paraId="5AE0CDB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单位</w:t>
            </w:r>
          </w:p>
        </w:tc>
        <w:tc>
          <w:tcPr>
            <w:tcW w:w="5196" w:type="dxa"/>
            <w:gridSpan w:val="2"/>
            <w:tcBorders>
              <w:tl2br w:val="nil"/>
              <w:tr2bl w:val="nil"/>
            </w:tcBorders>
            <w:noWrap w:val="0"/>
            <w:vAlign w:val="center"/>
          </w:tcPr>
          <w:p w14:paraId="352464B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小沔枢纽互通</w:t>
            </w:r>
          </w:p>
        </w:tc>
      </w:tr>
      <w:tr w14:paraId="33090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vMerge w:val="continue"/>
            <w:tcBorders>
              <w:tl2br w:val="nil"/>
              <w:tr2bl w:val="nil"/>
            </w:tcBorders>
            <w:noWrap w:val="0"/>
            <w:vAlign w:val="center"/>
          </w:tcPr>
          <w:p w14:paraId="3F9B3F6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c>
          <w:tcPr>
            <w:tcW w:w="2265" w:type="dxa"/>
            <w:vMerge w:val="continue"/>
            <w:tcBorders>
              <w:tl2br w:val="nil"/>
              <w:tr2bl w:val="nil"/>
            </w:tcBorders>
            <w:noWrap w:val="0"/>
            <w:vAlign w:val="center"/>
          </w:tcPr>
          <w:p w14:paraId="58569CE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c>
          <w:tcPr>
            <w:tcW w:w="1310" w:type="dxa"/>
            <w:vMerge w:val="continue"/>
            <w:tcBorders>
              <w:tl2br w:val="nil"/>
              <w:tr2bl w:val="nil"/>
            </w:tcBorders>
            <w:noWrap w:val="0"/>
            <w:vAlign w:val="center"/>
          </w:tcPr>
          <w:p w14:paraId="39FBF1E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p>
        </w:tc>
        <w:tc>
          <w:tcPr>
            <w:tcW w:w="1915" w:type="dxa"/>
            <w:tcBorders>
              <w:tl2br w:val="nil"/>
              <w:tr2bl w:val="nil"/>
            </w:tcBorders>
            <w:noWrap w:val="0"/>
            <w:vAlign w:val="center"/>
          </w:tcPr>
          <w:p w14:paraId="57F8BCB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主线</w:t>
            </w:r>
          </w:p>
        </w:tc>
        <w:tc>
          <w:tcPr>
            <w:tcW w:w="3281" w:type="dxa"/>
            <w:tcBorders>
              <w:tl2br w:val="nil"/>
              <w:tr2bl w:val="nil"/>
            </w:tcBorders>
            <w:noWrap w:val="0"/>
            <w:vAlign w:val="center"/>
          </w:tcPr>
          <w:p w14:paraId="47D94DC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匝道</w:t>
            </w:r>
          </w:p>
        </w:tc>
      </w:tr>
      <w:tr w14:paraId="79D48E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1D38E94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1</w:t>
            </w:r>
          </w:p>
        </w:tc>
        <w:tc>
          <w:tcPr>
            <w:tcW w:w="2265" w:type="dxa"/>
            <w:tcBorders>
              <w:tl2br w:val="nil"/>
              <w:tr2bl w:val="nil"/>
            </w:tcBorders>
            <w:noWrap w:val="0"/>
            <w:vAlign w:val="center"/>
          </w:tcPr>
          <w:p w14:paraId="1AC4B0E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设计速度</w:t>
            </w:r>
          </w:p>
        </w:tc>
        <w:tc>
          <w:tcPr>
            <w:tcW w:w="1310" w:type="dxa"/>
            <w:tcBorders>
              <w:tl2br w:val="nil"/>
              <w:tr2bl w:val="nil"/>
            </w:tcBorders>
            <w:noWrap w:val="0"/>
            <w:vAlign w:val="center"/>
          </w:tcPr>
          <w:p w14:paraId="41BAEB9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公里/小时</w:t>
            </w:r>
          </w:p>
        </w:tc>
        <w:tc>
          <w:tcPr>
            <w:tcW w:w="1915" w:type="dxa"/>
            <w:tcBorders>
              <w:tl2br w:val="nil"/>
              <w:tr2bl w:val="nil"/>
            </w:tcBorders>
            <w:noWrap w:val="0"/>
            <w:vAlign w:val="center"/>
          </w:tcPr>
          <w:p w14:paraId="1EA7FCB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80</w:t>
            </w:r>
          </w:p>
        </w:tc>
        <w:tc>
          <w:tcPr>
            <w:tcW w:w="3281" w:type="dxa"/>
            <w:tcBorders>
              <w:tl2br w:val="nil"/>
              <w:tr2bl w:val="nil"/>
            </w:tcBorders>
            <w:noWrap w:val="0"/>
            <w:vAlign w:val="center"/>
          </w:tcPr>
          <w:p w14:paraId="79F02E4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40</w:t>
            </w:r>
          </w:p>
        </w:tc>
      </w:tr>
      <w:tr w14:paraId="55C74B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0B0BA7D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w:t>
            </w:r>
          </w:p>
        </w:tc>
        <w:tc>
          <w:tcPr>
            <w:tcW w:w="2265" w:type="dxa"/>
            <w:tcBorders>
              <w:tl2br w:val="nil"/>
              <w:tr2bl w:val="nil"/>
            </w:tcBorders>
            <w:noWrap w:val="0"/>
            <w:vAlign w:val="center"/>
          </w:tcPr>
          <w:p w14:paraId="0D2E503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最大纵坡</w:t>
            </w:r>
          </w:p>
        </w:tc>
        <w:tc>
          <w:tcPr>
            <w:tcW w:w="1310" w:type="dxa"/>
            <w:tcBorders>
              <w:tl2br w:val="nil"/>
              <w:tr2bl w:val="nil"/>
            </w:tcBorders>
            <w:noWrap w:val="0"/>
            <w:vAlign w:val="center"/>
          </w:tcPr>
          <w:p w14:paraId="567EAA1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w:t>
            </w:r>
          </w:p>
        </w:tc>
        <w:tc>
          <w:tcPr>
            <w:tcW w:w="1915" w:type="dxa"/>
            <w:tcBorders>
              <w:tl2br w:val="nil"/>
              <w:tr2bl w:val="nil"/>
            </w:tcBorders>
            <w:noWrap w:val="0"/>
            <w:vAlign w:val="center"/>
          </w:tcPr>
          <w:p w14:paraId="3B83EB0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2.555</w:t>
            </w:r>
          </w:p>
        </w:tc>
        <w:tc>
          <w:tcPr>
            <w:tcW w:w="3281" w:type="dxa"/>
            <w:tcBorders>
              <w:tl2br w:val="nil"/>
              <w:tr2bl w:val="nil"/>
            </w:tcBorders>
            <w:noWrap w:val="0"/>
            <w:vAlign w:val="center"/>
          </w:tcPr>
          <w:p w14:paraId="7272B62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4.38</w:t>
            </w:r>
          </w:p>
        </w:tc>
      </w:tr>
      <w:tr w14:paraId="0A2B88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58CA798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3</w:t>
            </w:r>
          </w:p>
        </w:tc>
        <w:tc>
          <w:tcPr>
            <w:tcW w:w="2265" w:type="dxa"/>
            <w:tcBorders>
              <w:tl2br w:val="nil"/>
              <w:tr2bl w:val="nil"/>
            </w:tcBorders>
            <w:noWrap w:val="0"/>
            <w:vAlign w:val="center"/>
          </w:tcPr>
          <w:p w14:paraId="7B9B6E9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路基宽度</w:t>
            </w:r>
          </w:p>
        </w:tc>
        <w:tc>
          <w:tcPr>
            <w:tcW w:w="1310" w:type="dxa"/>
            <w:tcBorders>
              <w:tl2br w:val="nil"/>
              <w:tr2bl w:val="nil"/>
            </w:tcBorders>
            <w:noWrap w:val="0"/>
            <w:vAlign w:val="center"/>
          </w:tcPr>
          <w:p w14:paraId="6FAB749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m</w:t>
            </w:r>
          </w:p>
        </w:tc>
        <w:tc>
          <w:tcPr>
            <w:tcW w:w="1915" w:type="dxa"/>
            <w:tcBorders>
              <w:tl2br w:val="nil"/>
              <w:tr2bl w:val="nil"/>
            </w:tcBorders>
            <w:noWrap w:val="0"/>
            <w:vAlign w:val="center"/>
          </w:tcPr>
          <w:p w14:paraId="1DBBCEC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25.5（</w:t>
            </w:r>
            <w:r>
              <w:rPr>
                <w:rFonts w:hint="default" w:ascii="Times New Roman" w:hAnsi="Times New Roman" w:eastAsia="宋体" w:cs="Times New Roman"/>
                <w:color w:val="auto"/>
                <w:lang w:val="en-US" w:eastAsia="zh-CN"/>
              </w:rPr>
              <w:t>双向四车道</w:t>
            </w:r>
            <w:r>
              <w:rPr>
                <w:rFonts w:hint="default" w:ascii="Times New Roman" w:hAnsi="Times New Roman" w:eastAsia="宋体" w:cs="Times New Roman"/>
                <w:snapToGrid w:val="0"/>
                <w:color w:val="auto"/>
                <w:kern w:val="0"/>
                <w:sz w:val="21"/>
                <w:szCs w:val="21"/>
                <w:lang w:val="en-US" w:eastAsia="zh-CN" w:bidi="ar-SA"/>
              </w:rPr>
              <w:t>）</w:t>
            </w:r>
          </w:p>
        </w:tc>
        <w:tc>
          <w:tcPr>
            <w:tcW w:w="3281" w:type="dxa"/>
            <w:tcBorders>
              <w:tl2br w:val="nil"/>
              <w:tr2bl w:val="nil"/>
            </w:tcBorders>
            <w:noWrap w:val="0"/>
            <w:vAlign w:val="center"/>
          </w:tcPr>
          <w:p w14:paraId="3D254BA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lang w:val="en-US" w:eastAsia="zh-CN"/>
              </w:rPr>
              <w:t>9（单向单车道）/10.5（单向双车道）</w:t>
            </w:r>
          </w:p>
        </w:tc>
      </w:tr>
      <w:tr w14:paraId="7FDC3F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2ADADB7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w:t>
            </w:r>
          </w:p>
        </w:tc>
        <w:tc>
          <w:tcPr>
            <w:tcW w:w="2265" w:type="dxa"/>
            <w:tcBorders>
              <w:tl2br w:val="nil"/>
              <w:tr2bl w:val="nil"/>
            </w:tcBorders>
            <w:noWrap w:val="0"/>
            <w:vAlign w:val="center"/>
          </w:tcPr>
          <w:p w14:paraId="55C4820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凸形竖曲线最小半径</w:t>
            </w:r>
          </w:p>
        </w:tc>
        <w:tc>
          <w:tcPr>
            <w:tcW w:w="1310" w:type="dxa"/>
            <w:tcBorders>
              <w:tl2br w:val="nil"/>
              <w:tr2bl w:val="nil"/>
            </w:tcBorders>
            <w:noWrap w:val="0"/>
            <w:vAlign w:val="center"/>
          </w:tcPr>
          <w:p w14:paraId="64CE5D9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m</w:t>
            </w:r>
          </w:p>
        </w:tc>
        <w:tc>
          <w:tcPr>
            <w:tcW w:w="1915" w:type="dxa"/>
            <w:tcBorders>
              <w:tl2br w:val="nil"/>
              <w:tr2bl w:val="nil"/>
            </w:tcBorders>
            <w:noWrap w:val="0"/>
            <w:vAlign w:val="center"/>
          </w:tcPr>
          <w:p w14:paraId="7C9BCFC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4500</w:t>
            </w:r>
          </w:p>
        </w:tc>
        <w:tc>
          <w:tcPr>
            <w:tcW w:w="3281" w:type="dxa"/>
            <w:tcBorders>
              <w:tl2br w:val="nil"/>
              <w:tr2bl w:val="nil"/>
            </w:tcBorders>
            <w:noWrap w:val="0"/>
            <w:vAlign w:val="center"/>
          </w:tcPr>
          <w:p w14:paraId="59A5007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1500</w:t>
            </w:r>
          </w:p>
        </w:tc>
      </w:tr>
      <w:tr w14:paraId="0D4F43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2816DAC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5</w:t>
            </w:r>
          </w:p>
        </w:tc>
        <w:tc>
          <w:tcPr>
            <w:tcW w:w="2265" w:type="dxa"/>
            <w:tcBorders>
              <w:tl2br w:val="nil"/>
              <w:tr2bl w:val="nil"/>
            </w:tcBorders>
            <w:noWrap w:val="0"/>
            <w:vAlign w:val="center"/>
          </w:tcPr>
          <w:p w14:paraId="3F6138B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凹形竖曲线最小半径</w:t>
            </w:r>
          </w:p>
        </w:tc>
        <w:tc>
          <w:tcPr>
            <w:tcW w:w="1310" w:type="dxa"/>
            <w:tcBorders>
              <w:tl2br w:val="nil"/>
              <w:tr2bl w:val="nil"/>
            </w:tcBorders>
            <w:noWrap w:val="0"/>
            <w:vAlign w:val="center"/>
          </w:tcPr>
          <w:p w14:paraId="424EDEE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m</w:t>
            </w:r>
          </w:p>
        </w:tc>
        <w:tc>
          <w:tcPr>
            <w:tcW w:w="1915" w:type="dxa"/>
            <w:tcBorders>
              <w:tl2br w:val="nil"/>
              <w:tr2bl w:val="nil"/>
            </w:tcBorders>
            <w:noWrap w:val="0"/>
            <w:vAlign w:val="center"/>
          </w:tcPr>
          <w:p w14:paraId="0C90B28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3000</w:t>
            </w:r>
          </w:p>
        </w:tc>
        <w:tc>
          <w:tcPr>
            <w:tcW w:w="3281" w:type="dxa"/>
            <w:tcBorders>
              <w:tl2br w:val="nil"/>
              <w:tr2bl w:val="nil"/>
            </w:tcBorders>
            <w:noWrap w:val="0"/>
            <w:vAlign w:val="center"/>
          </w:tcPr>
          <w:p w14:paraId="585D183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1500</w:t>
            </w:r>
          </w:p>
        </w:tc>
      </w:tr>
      <w:tr w14:paraId="688744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2D3E65B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6</w:t>
            </w:r>
          </w:p>
        </w:tc>
        <w:tc>
          <w:tcPr>
            <w:tcW w:w="2265" w:type="dxa"/>
            <w:tcBorders>
              <w:tl2br w:val="nil"/>
              <w:tr2bl w:val="nil"/>
            </w:tcBorders>
            <w:noWrap w:val="0"/>
            <w:vAlign w:val="center"/>
          </w:tcPr>
          <w:p w14:paraId="4C99CF6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路面结构类型</w:t>
            </w:r>
          </w:p>
        </w:tc>
        <w:tc>
          <w:tcPr>
            <w:tcW w:w="1310" w:type="dxa"/>
            <w:tcBorders>
              <w:tl2br w:val="nil"/>
              <w:tr2bl w:val="nil"/>
            </w:tcBorders>
            <w:noWrap w:val="0"/>
            <w:vAlign w:val="top"/>
          </w:tcPr>
          <w:p w14:paraId="0C2C4E3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1915" w:type="dxa"/>
            <w:tcBorders>
              <w:tl2br w:val="nil"/>
              <w:tr2bl w:val="nil"/>
            </w:tcBorders>
            <w:noWrap w:val="0"/>
            <w:vAlign w:val="center"/>
          </w:tcPr>
          <w:p w14:paraId="78F86F9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沥青砼</w:t>
            </w:r>
          </w:p>
        </w:tc>
        <w:tc>
          <w:tcPr>
            <w:tcW w:w="3281" w:type="dxa"/>
            <w:tcBorders>
              <w:tl2br w:val="nil"/>
              <w:tr2bl w:val="nil"/>
            </w:tcBorders>
            <w:noWrap w:val="0"/>
            <w:vAlign w:val="center"/>
          </w:tcPr>
          <w:p w14:paraId="2497D73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沥青砼</w:t>
            </w:r>
          </w:p>
        </w:tc>
      </w:tr>
      <w:tr w14:paraId="647FB8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0" w:type="dxa"/>
            <w:tcBorders>
              <w:tl2br w:val="nil"/>
              <w:tr2bl w:val="nil"/>
            </w:tcBorders>
            <w:noWrap w:val="0"/>
            <w:vAlign w:val="center"/>
          </w:tcPr>
          <w:p w14:paraId="1074922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7</w:t>
            </w:r>
          </w:p>
        </w:tc>
        <w:tc>
          <w:tcPr>
            <w:tcW w:w="2265" w:type="dxa"/>
            <w:tcBorders>
              <w:tl2br w:val="nil"/>
              <w:tr2bl w:val="nil"/>
            </w:tcBorders>
            <w:noWrap w:val="0"/>
            <w:vAlign w:val="center"/>
          </w:tcPr>
          <w:p w14:paraId="0021C0A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车辆荷载</w:t>
            </w:r>
          </w:p>
        </w:tc>
        <w:tc>
          <w:tcPr>
            <w:tcW w:w="1310" w:type="dxa"/>
            <w:tcBorders>
              <w:tl2br w:val="nil"/>
              <w:tr2bl w:val="nil"/>
            </w:tcBorders>
            <w:noWrap w:val="0"/>
            <w:vAlign w:val="top"/>
          </w:tcPr>
          <w:p w14:paraId="3B82E5C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w:t>
            </w:r>
          </w:p>
        </w:tc>
        <w:tc>
          <w:tcPr>
            <w:tcW w:w="1915" w:type="dxa"/>
            <w:tcBorders>
              <w:tl2br w:val="nil"/>
              <w:tr2bl w:val="nil"/>
            </w:tcBorders>
            <w:noWrap w:val="0"/>
            <w:vAlign w:val="center"/>
          </w:tcPr>
          <w:p w14:paraId="3A8AD42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公路-I级</w:t>
            </w:r>
          </w:p>
        </w:tc>
        <w:tc>
          <w:tcPr>
            <w:tcW w:w="3281" w:type="dxa"/>
            <w:tcBorders>
              <w:tl2br w:val="nil"/>
              <w:tr2bl w:val="nil"/>
            </w:tcBorders>
            <w:noWrap w:val="0"/>
            <w:vAlign w:val="center"/>
          </w:tcPr>
          <w:p w14:paraId="251AF78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snapToGrid w:val="0"/>
                <w:color w:val="auto"/>
                <w:kern w:val="0"/>
                <w:sz w:val="21"/>
                <w:szCs w:val="21"/>
                <w:lang w:val="en-US" w:eastAsia="zh-CN" w:bidi="ar-SA"/>
              </w:rPr>
              <w:t>公路-I级</w:t>
            </w:r>
          </w:p>
        </w:tc>
      </w:tr>
    </w:tbl>
    <w:p w14:paraId="7E981533">
      <w:pPr>
        <w:pStyle w:val="4"/>
        <w:numPr>
          <w:ilvl w:val="1"/>
          <w:numId w:val="0"/>
        </w:numPr>
        <w:ind w:left="578" w:leftChars="0" w:hanging="578"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r>
        <w:rPr>
          <w:rFonts w:hint="eastAsia" w:cs="Times New Roman"/>
          <w:color w:val="auto"/>
          <w:lang w:val="en-US" w:eastAsia="zh-CN"/>
        </w:rPr>
        <w:t>3</w:t>
      </w:r>
      <w:r>
        <w:rPr>
          <w:rFonts w:hint="default" w:ascii="Times New Roman" w:hAnsi="Times New Roman" w:eastAsia="宋体" w:cs="Times New Roman"/>
          <w:color w:val="auto"/>
          <w:lang w:val="en-US" w:eastAsia="zh-CN"/>
        </w:rPr>
        <w:t>.</w:t>
      </w:r>
      <w:r>
        <w:rPr>
          <w:rFonts w:hint="eastAsia" w:cs="Times New Roman"/>
          <w:color w:val="auto"/>
          <w:lang w:val="en-US" w:eastAsia="zh-CN"/>
        </w:rPr>
        <w:t>7</w:t>
      </w:r>
      <w:r>
        <w:rPr>
          <w:rFonts w:hint="default" w:ascii="Times New Roman" w:hAnsi="Times New Roman" w:eastAsia="宋体" w:cs="Times New Roman"/>
          <w:color w:val="auto"/>
          <w:lang w:val="en-US" w:eastAsia="zh-CN"/>
        </w:rPr>
        <w:t xml:space="preserve"> </w:t>
      </w:r>
      <w:bookmarkEnd w:id="48"/>
      <w:bookmarkEnd w:id="49"/>
      <w:bookmarkEnd w:id="50"/>
      <w:bookmarkEnd w:id="51"/>
      <w:r>
        <w:rPr>
          <w:rFonts w:hint="default" w:ascii="Times New Roman" w:hAnsi="Times New Roman" w:eastAsia="宋体" w:cs="Times New Roman"/>
          <w:color w:val="auto"/>
          <w:lang w:val="en-US" w:eastAsia="zh-CN"/>
        </w:rPr>
        <w:t>沿线设施</w:t>
      </w:r>
    </w:p>
    <w:p w14:paraId="67B9F68A">
      <w:pPr>
        <w:bidi w:val="0"/>
        <w:rPr>
          <w:rFonts w:hint="default" w:ascii="Times New Roman" w:hAnsi="Times New Roman" w:eastAsia="宋体" w:cs="Times New Roman"/>
          <w:b/>
          <w:bCs/>
          <w:snapToGrid w:val="0"/>
          <w:color w:val="auto"/>
          <w:kern w:val="0"/>
          <w:sz w:val="24"/>
          <w:szCs w:val="18"/>
          <w:lang w:val="en-US" w:eastAsia="en-US" w:bidi="ar-SA"/>
        </w:rPr>
      </w:pPr>
      <w:r>
        <w:rPr>
          <w:rFonts w:hint="default" w:ascii="Times New Roman" w:hAnsi="Times New Roman" w:eastAsia="宋体" w:cs="Times New Roman"/>
          <w:color w:val="auto"/>
          <w:spacing w:val="0"/>
          <w:w w:val="100"/>
          <w:kern w:val="0"/>
          <w:position w:val="0"/>
          <w:sz w:val="24"/>
          <w:szCs w:val="24"/>
          <w:lang w:eastAsia="zh-CN"/>
        </w:rPr>
        <w:t>项目</w:t>
      </w:r>
      <w:r>
        <w:rPr>
          <w:rFonts w:hint="default" w:ascii="Times New Roman" w:hAnsi="Times New Roman" w:cs="Times New Roman"/>
          <w:color w:val="auto"/>
          <w:spacing w:val="0"/>
          <w:w w:val="100"/>
          <w:kern w:val="0"/>
          <w:position w:val="0"/>
          <w:sz w:val="24"/>
          <w:szCs w:val="24"/>
          <w:lang w:val="en-US" w:eastAsia="zh-CN"/>
        </w:rPr>
        <w:t>沿线设施只</w:t>
      </w:r>
      <w:r>
        <w:rPr>
          <w:rFonts w:hint="default" w:ascii="Times New Roman" w:hAnsi="Times New Roman" w:eastAsia="宋体" w:cs="Times New Roman"/>
          <w:color w:val="auto"/>
          <w:spacing w:val="0"/>
          <w:w w:val="100"/>
          <w:kern w:val="0"/>
          <w:position w:val="0"/>
          <w:sz w:val="24"/>
          <w:szCs w:val="24"/>
          <w:lang w:val="en-US" w:eastAsia="zh-CN"/>
        </w:rPr>
        <w:t>包括1</w:t>
      </w:r>
      <w:r>
        <w:rPr>
          <w:rFonts w:hint="default" w:ascii="Times New Roman" w:hAnsi="Times New Roman" w:eastAsia="宋体" w:cs="Times New Roman"/>
          <w:color w:val="auto"/>
          <w:spacing w:val="0"/>
          <w:w w:val="100"/>
          <w:kern w:val="0"/>
          <w:position w:val="0"/>
          <w:sz w:val="24"/>
          <w:szCs w:val="24"/>
        </w:rPr>
        <w:t>处匝道收费站</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lang w:val="en-US" w:eastAsia="zh-CN"/>
        </w:rPr>
        <w:t>不设置管理中心、服务区、停车区、养护工区等</w:t>
      </w:r>
      <w:r>
        <w:rPr>
          <w:rFonts w:hint="default" w:ascii="Times New Roman" w:hAnsi="Times New Roman" w:eastAsia="宋体" w:cs="Times New Roman"/>
          <w:color w:val="auto"/>
          <w:spacing w:val="0"/>
          <w:w w:val="100"/>
          <w:kern w:val="0"/>
          <w:position w:val="0"/>
          <w:sz w:val="24"/>
          <w:szCs w:val="24"/>
        </w:rPr>
        <w:t>。</w:t>
      </w:r>
      <w:r>
        <w:rPr>
          <w:rFonts w:hint="default" w:ascii="Times New Roman" w:hAnsi="Times New Roman" w:cs="Times New Roman"/>
          <w:color w:val="auto"/>
          <w:spacing w:val="0"/>
          <w:w w:val="100"/>
          <w:kern w:val="0"/>
          <w:position w:val="0"/>
          <w:sz w:val="24"/>
          <w:szCs w:val="24"/>
          <w:lang w:val="en-US" w:eastAsia="zh-CN"/>
        </w:rPr>
        <w:t>沿线设施一览表见</w:t>
      </w:r>
      <w:r>
        <w:rPr>
          <w:rFonts w:hint="eastAsia" w:cs="Times New Roman"/>
          <w:color w:val="auto"/>
          <w:spacing w:val="0"/>
          <w:w w:val="100"/>
          <w:kern w:val="0"/>
          <w:position w:val="0"/>
          <w:sz w:val="24"/>
          <w:szCs w:val="24"/>
          <w:lang w:val="en-US" w:eastAsia="zh-CN"/>
        </w:rPr>
        <w:t>下</w:t>
      </w:r>
      <w:r>
        <w:rPr>
          <w:rFonts w:hint="default" w:ascii="Times New Roman" w:hAnsi="Times New Roman" w:cs="Times New Roman"/>
          <w:color w:val="auto"/>
          <w:spacing w:val="0"/>
          <w:w w:val="100"/>
          <w:kern w:val="0"/>
          <w:position w:val="0"/>
          <w:sz w:val="24"/>
          <w:szCs w:val="24"/>
          <w:lang w:val="en-US" w:eastAsia="zh-CN"/>
        </w:rPr>
        <w:t>表。</w:t>
      </w:r>
    </w:p>
    <w:p w14:paraId="27908EA6">
      <w:pPr>
        <w:keepNext/>
        <w:keepLines/>
        <w:widowControl w:val="0"/>
        <w:bidi w:val="0"/>
        <w:jc w:val="center"/>
        <w:outlineLvl w:val="9"/>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表2.</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w:t>
      </w:r>
      <w:r>
        <w:rPr>
          <w:rFonts w:hint="eastAsia" w:cs="Times New Roman"/>
          <w:b/>
          <w:bCs/>
          <w:snapToGrid w:val="0"/>
          <w:color w:val="auto"/>
          <w:kern w:val="0"/>
          <w:sz w:val="21"/>
          <w:szCs w:val="21"/>
          <w:lang w:val="en-US" w:eastAsia="zh-CN" w:bidi="ar-SA"/>
        </w:rPr>
        <w:t>10</w:t>
      </w:r>
      <w:r>
        <w:rPr>
          <w:rFonts w:hint="default" w:ascii="Times New Roman" w:hAnsi="Times New Roman" w:eastAsia="宋体" w:cs="Times New Roman"/>
          <w:b/>
          <w:bCs/>
          <w:snapToGrid w:val="0"/>
          <w:color w:val="auto"/>
          <w:kern w:val="0"/>
          <w:sz w:val="21"/>
          <w:szCs w:val="21"/>
          <w:lang w:val="en-US" w:eastAsia="zh-CN" w:bidi="ar-SA"/>
        </w:rPr>
        <w:t xml:space="preserve">  公路服务设施设置一览表</w:t>
      </w:r>
    </w:p>
    <w:tbl>
      <w:tblPr>
        <w:tblStyle w:val="20"/>
        <w:tblW w:w="488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553"/>
        <w:gridCol w:w="1235"/>
        <w:gridCol w:w="1287"/>
        <w:gridCol w:w="2185"/>
        <w:gridCol w:w="924"/>
        <w:gridCol w:w="819"/>
        <w:gridCol w:w="2532"/>
      </w:tblGrid>
      <w:tr w14:paraId="11497A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40" w:hRule="atLeast"/>
          <w:tblHeader/>
          <w:jc w:val="center"/>
        </w:trPr>
        <w:tc>
          <w:tcPr>
            <w:tcW w:w="289" w:type="pct"/>
            <w:tcBorders>
              <w:top w:val="single" w:color="auto" w:sz="4" w:space="0"/>
              <w:left w:val="single" w:color="auto" w:sz="4" w:space="0"/>
              <w:bottom w:val="single" w:color="auto" w:sz="6" w:space="0"/>
              <w:right w:val="single" w:color="auto" w:sz="6" w:space="0"/>
            </w:tcBorders>
            <w:noWrap w:val="0"/>
            <w:vAlign w:val="center"/>
          </w:tcPr>
          <w:p w14:paraId="546DF4A4">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编号</w:t>
            </w:r>
          </w:p>
        </w:tc>
        <w:tc>
          <w:tcPr>
            <w:tcW w:w="647" w:type="pct"/>
            <w:tcBorders>
              <w:top w:val="single" w:color="auto" w:sz="4" w:space="0"/>
              <w:left w:val="single" w:color="auto" w:sz="6" w:space="0"/>
              <w:bottom w:val="single" w:color="auto" w:sz="6" w:space="0"/>
              <w:right w:val="single" w:color="auto" w:sz="6" w:space="0"/>
            </w:tcBorders>
            <w:noWrap/>
            <w:vAlign w:val="center"/>
          </w:tcPr>
          <w:p w14:paraId="0E195DF8">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设施名称</w:t>
            </w:r>
          </w:p>
        </w:tc>
        <w:tc>
          <w:tcPr>
            <w:tcW w:w="674" w:type="pct"/>
            <w:tcBorders>
              <w:top w:val="single" w:color="auto" w:sz="4" w:space="0"/>
              <w:left w:val="single" w:color="auto" w:sz="6" w:space="0"/>
              <w:bottom w:val="single" w:color="auto" w:sz="6" w:space="0"/>
              <w:right w:val="single" w:color="auto" w:sz="4" w:space="0"/>
            </w:tcBorders>
            <w:noWrap/>
            <w:vAlign w:val="center"/>
          </w:tcPr>
          <w:p w14:paraId="32902F9D">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中心桩号</w:t>
            </w:r>
          </w:p>
        </w:tc>
        <w:tc>
          <w:tcPr>
            <w:tcW w:w="1145" w:type="pct"/>
            <w:tcBorders>
              <w:top w:val="single" w:color="auto" w:sz="4" w:space="0"/>
              <w:left w:val="single" w:color="auto" w:sz="6" w:space="0"/>
              <w:bottom w:val="single" w:color="auto" w:sz="6" w:space="0"/>
              <w:right w:val="single" w:color="auto" w:sz="4" w:space="0"/>
            </w:tcBorders>
            <w:noWrap w:val="0"/>
            <w:vAlign w:val="center"/>
          </w:tcPr>
          <w:p w14:paraId="5EBEB241">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功能及人员值守</w:t>
            </w:r>
          </w:p>
        </w:tc>
        <w:tc>
          <w:tcPr>
            <w:tcW w:w="484" w:type="pct"/>
            <w:tcBorders>
              <w:top w:val="single" w:color="auto" w:sz="4" w:space="0"/>
              <w:left w:val="single" w:color="auto" w:sz="4" w:space="0"/>
              <w:bottom w:val="single" w:color="auto" w:sz="6" w:space="0"/>
              <w:right w:val="single" w:color="auto" w:sz="4" w:space="0"/>
            </w:tcBorders>
            <w:noWrap w:val="0"/>
            <w:vAlign w:val="center"/>
          </w:tcPr>
          <w:p w14:paraId="1A6107ED">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占地面积（hm</w:t>
            </w:r>
            <w:r>
              <w:rPr>
                <w:rFonts w:hint="default" w:ascii="Times New Roman" w:hAnsi="Times New Roman" w:eastAsia="宋体" w:cs="Times New Roman"/>
                <w:color w:val="auto"/>
                <w:sz w:val="21"/>
                <w:szCs w:val="21"/>
                <w:highlight w:val="none"/>
                <w:vertAlign w:val="superscript"/>
                <w:lang w:val="en-US" w:eastAsia="zh-CN" w:bidi="ar-SA"/>
              </w:rPr>
              <w:t>2</w:t>
            </w:r>
            <w:r>
              <w:rPr>
                <w:rFonts w:hint="default" w:ascii="Times New Roman" w:hAnsi="Times New Roman" w:eastAsia="宋体" w:cs="Times New Roman"/>
                <w:color w:val="auto"/>
                <w:sz w:val="21"/>
                <w:szCs w:val="21"/>
                <w:highlight w:val="none"/>
                <w:lang w:val="en-US" w:eastAsia="zh-CN" w:bidi="ar-SA"/>
              </w:rPr>
              <w:t>）</w:t>
            </w:r>
          </w:p>
        </w:tc>
        <w:tc>
          <w:tcPr>
            <w:tcW w:w="429" w:type="pct"/>
            <w:tcBorders>
              <w:top w:val="single" w:color="auto" w:sz="4" w:space="0"/>
              <w:left w:val="single" w:color="auto" w:sz="4" w:space="0"/>
              <w:bottom w:val="single" w:color="auto" w:sz="6" w:space="0"/>
              <w:right w:val="single" w:color="auto" w:sz="4" w:space="0"/>
            </w:tcBorders>
            <w:noWrap w:val="0"/>
            <w:vAlign w:val="center"/>
          </w:tcPr>
          <w:p w14:paraId="1D0E529D">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土地利用类型</w:t>
            </w:r>
          </w:p>
        </w:tc>
        <w:tc>
          <w:tcPr>
            <w:tcW w:w="1327" w:type="pct"/>
            <w:tcBorders>
              <w:top w:val="single" w:color="auto" w:sz="4" w:space="0"/>
              <w:left w:val="single" w:color="auto" w:sz="4" w:space="0"/>
              <w:bottom w:val="single" w:color="auto" w:sz="6" w:space="0"/>
              <w:right w:val="single" w:color="auto" w:sz="4" w:space="0"/>
            </w:tcBorders>
            <w:noWrap w:val="0"/>
            <w:vAlign w:val="center"/>
          </w:tcPr>
          <w:p w14:paraId="0FAA1B51">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备注</w:t>
            </w:r>
          </w:p>
        </w:tc>
      </w:tr>
      <w:tr w14:paraId="6A3771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414" w:hRule="atLeast"/>
          <w:jc w:val="center"/>
        </w:trPr>
        <w:tc>
          <w:tcPr>
            <w:tcW w:w="289" w:type="pct"/>
            <w:tcBorders>
              <w:top w:val="single" w:color="auto" w:sz="6" w:space="0"/>
              <w:left w:val="single" w:color="auto" w:sz="4" w:space="0"/>
              <w:bottom w:val="single" w:color="auto" w:sz="6" w:space="0"/>
              <w:right w:val="single" w:color="auto" w:sz="6" w:space="0"/>
            </w:tcBorders>
            <w:noWrap/>
            <w:vAlign w:val="center"/>
          </w:tcPr>
          <w:p w14:paraId="685D4300">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1</w:t>
            </w:r>
          </w:p>
        </w:tc>
        <w:tc>
          <w:tcPr>
            <w:tcW w:w="647" w:type="pct"/>
            <w:tcBorders>
              <w:top w:val="single" w:color="auto" w:sz="6" w:space="0"/>
              <w:left w:val="single" w:color="auto" w:sz="6" w:space="0"/>
              <w:bottom w:val="single" w:color="auto" w:sz="6" w:space="0"/>
              <w:right w:val="single" w:color="auto" w:sz="6" w:space="0"/>
            </w:tcBorders>
            <w:noWrap/>
            <w:vAlign w:val="center"/>
          </w:tcPr>
          <w:p w14:paraId="1A4D0490">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小沔收费站</w:t>
            </w:r>
          </w:p>
        </w:tc>
        <w:tc>
          <w:tcPr>
            <w:tcW w:w="674" w:type="pct"/>
            <w:tcBorders>
              <w:top w:val="single" w:color="auto" w:sz="6" w:space="0"/>
              <w:left w:val="single" w:color="auto" w:sz="6" w:space="0"/>
              <w:bottom w:val="single" w:color="auto" w:sz="4" w:space="0"/>
              <w:right w:val="single" w:color="auto" w:sz="4" w:space="0"/>
            </w:tcBorders>
            <w:noWrap w:val="0"/>
            <w:vAlign w:val="center"/>
          </w:tcPr>
          <w:p w14:paraId="7F7037D0">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lang w:val="en-US" w:eastAsia="zh-CN"/>
              </w:rPr>
              <w:t>K79+710</w:t>
            </w:r>
          </w:p>
        </w:tc>
        <w:tc>
          <w:tcPr>
            <w:tcW w:w="1145" w:type="pct"/>
            <w:tcBorders>
              <w:top w:val="single" w:color="auto" w:sz="6" w:space="0"/>
              <w:left w:val="single" w:color="auto" w:sz="6" w:space="0"/>
              <w:bottom w:val="single" w:color="auto" w:sz="4" w:space="0"/>
              <w:right w:val="single" w:color="auto" w:sz="4" w:space="0"/>
            </w:tcBorders>
            <w:noWrap w:val="0"/>
            <w:vAlign w:val="center"/>
          </w:tcPr>
          <w:p w14:paraId="11392AC8">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匝道收费3进3出，常驻按15人计</w:t>
            </w:r>
          </w:p>
        </w:tc>
        <w:tc>
          <w:tcPr>
            <w:tcW w:w="484" w:type="pct"/>
            <w:tcBorders>
              <w:top w:val="single" w:color="auto" w:sz="6" w:space="0"/>
              <w:left w:val="single" w:color="auto" w:sz="4" w:space="0"/>
              <w:bottom w:val="single" w:color="auto" w:sz="6" w:space="0"/>
              <w:right w:val="single" w:color="auto" w:sz="4" w:space="0"/>
            </w:tcBorders>
            <w:noWrap w:val="0"/>
            <w:vAlign w:val="center"/>
          </w:tcPr>
          <w:p w14:paraId="49F0EE38">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0.67</w:t>
            </w:r>
          </w:p>
        </w:tc>
        <w:tc>
          <w:tcPr>
            <w:tcW w:w="429" w:type="pct"/>
            <w:tcBorders>
              <w:top w:val="single" w:color="auto" w:sz="6" w:space="0"/>
              <w:left w:val="single" w:color="auto" w:sz="4" w:space="0"/>
              <w:bottom w:val="single" w:color="auto" w:sz="6" w:space="0"/>
              <w:right w:val="single" w:color="auto" w:sz="4" w:space="0"/>
            </w:tcBorders>
            <w:noWrap w:val="0"/>
            <w:vAlign w:val="center"/>
          </w:tcPr>
          <w:p w14:paraId="4AC438D2">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耕地</w:t>
            </w:r>
          </w:p>
        </w:tc>
        <w:tc>
          <w:tcPr>
            <w:tcW w:w="1327" w:type="pct"/>
            <w:tcBorders>
              <w:top w:val="single" w:color="auto" w:sz="6" w:space="0"/>
              <w:left w:val="single" w:color="auto" w:sz="4" w:space="0"/>
              <w:bottom w:val="single" w:color="auto" w:sz="6" w:space="0"/>
              <w:right w:val="single" w:color="auto" w:sz="4" w:space="0"/>
            </w:tcBorders>
            <w:noWrap w:val="0"/>
            <w:vAlign w:val="center"/>
          </w:tcPr>
          <w:p w14:paraId="4D835990">
            <w:pPr>
              <w:keepNext/>
              <w:keepLines/>
              <w:widowControl w:val="0"/>
              <w:overflowPunct w:val="0"/>
              <w:bidi w:val="0"/>
              <w:spacing w:line="240" w:lineRule="auto"/>
              <w:ind w:firstLine="0" w:firstLineChars="0"/>
              <w:jc w:val="center"/>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pacing w:val="0"/>
                <w:w w:val="100"/>
                <w:kern w:val="0"/>
                <w:position w:val="0"/>
                <w:sz w:val="21"/>
                <w:szCs w:val="21"/>
                <w:lang w:eastAsia="zh-CN"/>
              </w:rPr>
              <w:t>收费站主要包括：管理用房、收费岛、收费亭、收费车道等，建筑面积</w:t>
            </w:r>
            <w:r>
              <w:rPr>
                <w:rFonts w:hint="default" w:ascii="Times New Roman" w:hAnsi="Times New Roman" w:eastAsia="宋体" w:cs="Times New Roman"/>
                <w:color w:val="auto"/>
                <w:spacing w:val="0"/>
                <w:w w:val="100"/>
                <w:kern w:val="0"/>
                <w:position w:val="0"/>
                <w:sz w:val="21"/>
                <w:szCs w:val="21"/>
                <w:lang w:val="en-US" w:eastAsia="zh-CN"/>
              </w:rPr>
              <w:t>约1050</w:t>
            </w:r>
            <w:r>
              <w:rPr>
                <w:rFonts w:hint="default" w:ascii="Times New Roman" w:hAnsi="Times New Roman" w:eastAsia="宋体" w:cs="Times New Roman"/>
                <w:i w:val="0"/>
                <w:iCs w:val="0"/>
                <w:snapToGrid w:val="0"/>
                <w:color w:val="auto"/>
                <w:kern w:val="0"/>
                <w:sz w:val="21"/>
                <w:szCs w:val="21"/>
                <w:u w:val="none"/>
                <w:lang w:val="en-US" w:eastAsia="zh-CN" w:bidi="ar"/>
              </w:rPr>
              <w:t>m²，</w:t>
            </w:r>
            <w:r>
              <w:rPr>
                <w:rFonts w:hint="default" w:ascii="Times New Roman" w:hAnsi="Times New Roman" w:eastAsia="宋体" w:cs="Times New Roman"/>
                <w:color w:val="auto"/>
                <w:sz w:val="21"/>
                <w:szCs w:val="21"/>
                <w:highlight w:val="none"/>
                <w:lang w:val="en-US" w:eastAsia="zh-CN" w:bidi="ar-SA"/>
              </w:rPr>
              <w:t>设置厨房</w:t>
            </w:r>
          </w:p>
        </w:tc>
      </w:tr>
    </w:tbl>
    <w:p w14:paraId="6F42A788">
      <w:pPr>
        <w:pStyle w:val="4"/>
        <w:numPr>
          <w:ilvl w:val="1"/>
          <w:numId w:val="0"/>
        </w:numPr>
        <w:ind w:left="578" w:leftChars="0" w:hanging="578" w:firstLineChars="0"/>
        <w:rPr>
          <w:rFonts w:hint="default" w:cs="Times New Roman"/>
          <w:color w:val="auto"/>
          <w:lang w:val="en-US" w:eastAsia="zh-CN"/>
        </w:rPr>
      </w:pPr>
      <w:r>
        <w:rPr>
          <w:rFonts w:hint="default" w:cs="Times New Roman"/>
          <w:color w:val="auto"/>
          <w:lang w:val="en-US" w:eastAsia="zh-CN"/>
        </w:rPr>
        <w:t>2.</w:t>
      </w:r>
      <w:r>
        <w:rPr>
          <w:rFonts w:hint="eastAsia" w:cs="Times New Roman"/>
          <w:color w:val="auto"/>
          <w:lang w:val="en-US" w:eastAsia="zh-CN"/>
        </w:rPr>
        <w:t>3</w:t>
      </w:r>
      <w:r>
        <w:rPr>
          <w:rFonts w:hint="default" w:cs="Times New Roman"/>
          <w:color w:val="auto"/>
          <w:lang w:val="en-US" w:eastAsia="zh-CN"/>
        </w:rPr>
        <w:t>.</w:t>
      </w:r>
      <w:r>
        <w:rPr>
          <w:rFonts w:hint="eastAsia" w:cs="Times New Roman"/>
          <w:color w:val="auto"/>
          <w:lang w:val="en-US" w:eastAsia="zh-CN"/>
        </w:rPr>
        <w:t>8</w:t>
      </w:r>
      <w:r>
        <w:rPr>
          <w:rFonts w:hint="default" w:cs="Times New Roman"/>
          <w:color w:val="auto"/>
          <w:lang w:val="en-US" w:eastAsia="zh-CN"/>
        </w:rPr>
        <w:t xml:space="preserve"> </w:t>
      </w:r>
      <w:bookmarkStart w:id="52" w:name="_Toc12637"/>
      <w:bookmarkStart w:id="53" w:name="_Toc22830"/>
      <w:bookmarkStart w:id="54" w:name="_Toc29341"/>
      <w:bookmarkStart w:id="55" w:name="_Toc14885"/>
      <w:r>
        <w:rPr>
          <w:rFonts w:hint="default" w:cs="Times New Roman"/>
          <w:color w:val="auto"/>
          <w:lang w:val="en-US" w:eastAsia="zh-CN"/>
        </w:rPr>
        <w:t>景观绿化工程</w:t>
      </w:r>
      <w:bookmarkEnd w:id="52"/>
      <w:bookmarkEnd w:id="53"/>
      <w:bookmarkEnd w:id="54"/>
      <w:bookmarkEnd w:id="55"/>
    </w:p>
    <w:p w14:paraId="0BF5EAC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lang w:eastAsia="zh-CN"/>
        </w:rPr>
        <w:t>本项目景观绿化工程包括：</w:t>
      </w:r>
      <w:r>
        <w:rPr>
          <w:rFonts w:hint="default" w:ascii="Times New Roman" w:hAnsi="Times New Roman" w:eastAsia="宋体" w:cs="Times New Roman"/>
          <w:color w:val="auto"/>
          <w:spacing w:val="0"/>
          <w:w w:val="100"/>
          <w:kern w:val="0"/>
          <w:position w:val="0"/>
          <w:sz w:val="24"/>
          <w:szCs w:val="24"/>
        </w:rPr>
        <w:t>中央分隔带、路侧景观、互通式立交，弃土场等绿化</w:t>
      </w:r>
      <w:r>
        <w:rPr>
          <w:rFonts w:hint="default" w:ascii="Times New Roman" w:hAnsi="Times New Roman" w:eastAsia="宋体" w:cs="Times New Roman"/>
          <w:color w:val="auto"/>
          <w:lang w:eastAsia="zh-CN"/>
        </w:rPr>
        <w:t>。</w:t>
      </w:r>
    </w:p>
    <w:p w14:paraId="01EC158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（1）中央分隔带绿化</w:t>
      </w:r>
    </w:p>
    <w:p w14:paraId="60D6983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3"/>
        <w:textAlignment w:val="baseline"/>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rPr>
        <w:t>中央分隔带绿化的目的是遮光防眩、诱导视线和改善景观，同时还考虑司乘人员出现眩晕感和疲惫感。防眩植物全线均采用塔柏。由于本合同段并无整体式路基断面，所有中间带小于4米的分离式路基均按照整体式路基中央分隔带的种植方式处理。中央分隔带绿化的目的是遮光防眩、诱导视线和改善景观，同时还考虑司乘人员出现眩晕感和疲惫感</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防眩植物全线均采用塔柏。采用凸形，两侧设置缘石，缘石高出路面18</w:t>
      </w:r>
      <w:r>
        <w:rPr>
          <w:rFonts w:hint="eastAsia"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25cm</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lang w:val="en-US" w:eastAsia="zh-CN"/>
        </w:rPr>
        <w:t>全线设置</w:t>
      </w:r>
      <w:r>
        <w:rPr>
          <w:rFonts w:hint="default" w:ascii="Times New Roman" w:hAnsi="Times New Roman" w:eastAsia="宋体" w:cs="Times New Roman"/>
          <w:color w:val="auto"/>
          <w:spacing w:val="0"/>
          <w:w w:val="100"/>
          <w:kern w:val="0"/>
          <w:position w:val="0"/>
          <w:sz w:val="24"/>
          <w:szCs w:val="24"/>
        </w:rPr>
        <w:t>中央分隔带绿</w:t>
      </w:r>
      <w:r>
        <w:rPr>
          <w:rFonts w:hint="default" w:ascii="Times New Roman" w:hAnsi="Times New Roman" w:eastAsia="宋体" w:cs="Times New Roman"/>
          <w:color w:val="auto"/>
          <w:spacing w:val="0"/>
          <w:w w:val="100"/>
          <w:kern w:val="0"/>
          <w:position w:val="0"/>
          <w:sz w:val="24"/>
          <w:szCs w:val="24"/>
          <w:lang w:val="en-US" w:eastAsia="zh-CN"/>
        </w:rPr>
        <w:t>化面积2.04hm</w:t>
      </w:r>
      <w:r>
        <w:rPr>
          <w:rFonts w:hint="default" w:ascii="Times New Roman" w:hAnsi="Times New Roman" w:eastAsia="宋体" w:cs="Times New Roman"/>
          <w:color w:val="auto"/>
          <w:spacing w:val="0"/>
          <w:w w:val="100"/>
          <w:kern w:val="0"/>
          <w:position w:val="0"/>
          <w:sz w:val="24"/>
          <w:szCs w:val="24"/>
          <w:vertAlign w:val="superscript"/>
          <w:lang w:val="en-US" w:eastAsia="zh-CN"/>
        </w:rPr>
        <w:t>2</w:t>
      </w:r>
      <w:r>
        <w:rPr>
          <w:rFonts w:hint="default" w:ascii="Times New Roman" w:hAnsi="Times New Roman" w:eastAsia="宋体" w:cs="Times New Roman"/>
          <w:color w:val="auto"/>
          <w:spacing w:val="0"/>
          <w:w w:val="100"/>
          <w:kern w:val="0"/>
          <w:position w:val="0"/>
          <w:sz w:val="24"/>
          <w:szCs w:val="24"/>
          <w:lang w:val="en-US" w:eastAsia="zh-CN"/>
        </w:rPr>
        <w:t>。</w:t>
      </w:r>
    </w:p>
    <w:p w14:paraId="5DB497A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w:t>
      </w:r>
      <w:r>
        <w:rPr>
          <w:rFonts w:hint="default" w:ascii="Times New Roman" w:hAnsi="Times New Roman" w:cs="Times New Roman"/>
          <w:color w:val="auto"/>
          <w:spacing w:val="0"/>
          <w:w w:val="100"/>
          <w:kern w:val="0"/>
          <w:position w:val="0"/>
          <w:sz w:val="24"/>
          <w:szCs w:val="24"/>
          <w:lang w:val="en-US" w:eastAsia="zh-CN"/>
        </w:rPr>
        <w:t>2</w:t>
      </w:r>
      <w:r>
        <w:rPr>
          <w:rFonts w:hint="default" w:ascii="Times New Roman" w:hAnsi="Times New Roman" w:eastAsia="宋体" w:cs="Times New Roman"/>
          <w:color w:val="auto"/>
          <w:spacing w:val="0"/>
          <w:w w:val="100"/>
          <w:kern w:val="0"/>
          <w:position w:val="0"/>
          <w:sz w:val="24"/>
          <w:szCs w:val="24"/>
        </w:rPr>
        <w:t>）互通式立交</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路侧景观绿化</w:t>
      </w:r>
    </w:p>
    <w:p w14:paraId="7BD069A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textAlignment w:val="baseline"/>
        <w:rPr>
          <w:rFonts w:hint="default" w:ascii="Times New Roman" w:hAnsi="Times New Roman" w:eastAsia="宋体" w:cs="Times New Roman"/>
          <w:color w:val="auto"/>
          <w:spacing w:val="0"/>
          <w:w w:val="100"/>
          <w:kern w:val="0"/>
          <w:position w:val="0"/>
          <w:sz w:val="24"/>
          <w:szCs w:val="24"/>
          <w:lang w:eastAsia="zh-CN"/>
        </w:rPr>
      </w:pPr>
      <w:r>
        <w:rPr>
          <w:rFonts w:hint="default" w:ascii="Times New Roman" w:hAnsi="Times New Roman" w:eastAsia="宋体" w:cs="Times New Roman"/>
          <w:color w:val="auto"/>
          <w:spacing w:val="-3"/>
          <w:sz w:val="24"/>
          <w:szCs w:val="24"/>
        </w:rPr>
        <w:t>对互通工程道路、匝道两侧至界桩占地范围内进行景观绿</w:t>
      </w:r>
      <w:r>
        <w:rPr>
          <w:rFonts w:hint="default" w:ascii="Times New Roman" w:hAnsi="Times New Roman" w:eastAsia="宋体" w:cs="Times New Roman"/>
          <w:color w:val="auto"/>
          <w:spacing w:val="-4"/>
          <w:sz w:val="24"/>
          <w:szCs w:val="24"/>
        </w:rPr>
        <w:t>化，采用乔灌</w:t>
      </w:r>
      <w:r>
        <w:rPr>
          <w:rFonts w:hint="default" w:ascii="Times New Roman" w:hAnsi="Times New Roman" w:eastAsia="宋体" w:cs="Times New Roman"/>
          <w:color w:val="auto"/>
          <w:spacing w:val="-1"/>
          <w:sz w:val="24"/>
          <w:szCs w:val="24"/>
        </w:rPr>
        <w:t>草结合的方式进行绿化</w:t>
      </w:r>
      <w:r>
        <w:rPr>
          <w:rFonts w:hint="default" w:ascii="Times New Roman" w:hAnsi="Times New Roman" w:eastAsia="宋体" w:cs="Times New Roman"/>
          <w:color w:val="auto"/>
          <w:spacing w:val="-2"/>
          <w:sz w:val="24"/>
          <w:szCs w:val="24"/>
        </w:rPr>
        <w:t>。对仅有一级边坡的低挖路堑路段，</w:t>
      </w:r>
      <w:r>
        <w:rPr>
          <w:rFonts w:hint="default" w:ascii="Times New Roman" w:hAnsi="Times New Roman" w:eastAsia="宋体" w:cs="Times New Roman"/>
          <w:color w:val="auto"/>
          <w:spacing w:val="-3"/>
          <w:sz w:val="24"/>
          <w:szCs w:val="24"/>
        </w:rPr>
        <w:t>由于其坡顶处于行车时的视线可视范围，在隔离栅内侧的坡口附近</w:t>
      </w:r>
      <w:r>
        <w:rPr>
          <w:rFonts w:hint="eastAsia" w:cs="Times New Roman"/>
          <w:color w:val="auto"/>
          <w:spacing w:val="-3"/>
          <w:sz w:val="24"/>
          <w:szCs w:val="24"/>
          <w:lang w:val="en-US" w:eastAsia="zh-CN"/>
        </w:rPr>
        <w:t>点缀</w:t>
      </w:r>
      <w:r>
        <w:rPr>
          <w:rFonts w:hint="default" w:ascii="Times New Roman" w:hAnsi="Times New Roman" w:eastAsia="宋体" w:cs="Times New Roman"/>
          <w:color w:val="auto"/>
          <w:spacing w:val="-3"/>
          <w:sz w:val="24"/>
          <w:szCs w:val="24"/>
        </w:rPr>
        <w:t>乔灌木，增设</w:t>
      </w:r>
      <w:r>
        <w:rPr>
          <w:rFonts w:hint="default" w:ascii="Times New Roman" w:hAnsi="Times New Roman" w:eastAsia="宋体" w:cs="Times New Roman"/>
          <w:color w:val="auto"/>
          <w:spacing w:val="-6"/>
          <w:sz w:val="24"/>
          <w:szCs w:val="24"/>
        </w:rPr>
        <w:t>点线景观效果。对填方路段，则可充分利用填方边坡和平台的位置，在不影响行车安</w:t>
      </w:r>
      <w:r>
        <w:rPr>
          <w:rFonts w:hint="default" w:ascii="Times New Roman" w:hAnsi="Times New Roman" w:eastAsia="宋体" w:cs="Times New Roman"/>
          <w:color w:val="auto"/>
          <w:spacing w:val="-3"/>
          <w:sz w:val="24"/>
          <w:szCs w:val="24"/>
        </w:rPr>
        <w:t>全的前提下种植花乔灌木，形成郁郁葱葱的路侧风景林带，美化路侧环境，引导行车视线，丰富沿线景观色彩。边沟碎落台上的绿化主要为撒播草籽，栽植常绿灌木和小乔木，在消除公路带来的硬质景观效应的同时，又能与边坡自然衔接，将路基与边坡连接成一个有机的整体景观。对主体在挖方路段设置的路堑墙，采用藤蔓植物垂直绿</w:t>
      </w:r>
      <w:r>
        <w:rPr>
          <w:rFonts w:hint="default" w:ascii="Times New Roman" w:hAnsi="Times New Roman" w:eastAsia="宋体" w:cs="Times New Roman"/>
          <w:color w:val="auto"/>
          <w:spacing w:val="-1"/>
          <w:sz w:val="24"/>
          <w:szCs w:val="24"/>
        </w:rPr>
        <w:t>化对砌体圬工进行掩饰。同时，在墙顶平台或坡面间距种植攀爬植</w:t>
      </w:r>
      <w:r>
        <w:rPr>
          <w:rFonts w:hint="default" w:ascii="Times New Roman" w:hAnsi="Times New Roman" w:eastAsia="宋体" w:cs="Times New Roman"/>
          <w:color w:val="auto"/>
          <w:spacing w:val="-2"/>
          <w:sz w:val="24"/>
          <w:szCs w:val="24"/>
        </w:rPr>
        <w:t>物</w:t>
      </w:r>
      <w:r>
        <w:rPr>
          <w:rFonts w:hint="default" w:ascii="Times New Roman" w:hAnsi="Times New Roman" w:eastAsia="宋体" w:cs="Times New Roman"/>
          <w:color w:val="auto"/>
          <w:spacing w:val="0"/>
          <w:w w:val="100"/>
          <w:kern w:val="0"/>
          <w:position w:val="0"/>
          <w:sz w:val="24"/>
          <w:szCs w:val="24"/>
        </w:rPr>
        <w:t>。互通式立交、路侧景观绿化</w:t>
      </w:r>
      <w:r>
        <w:rPr>
          <w:rFonts w:hint="default" w:ascii="Times New Roman" w:hAnsi="Times New Roman" w:eastAsia="宋体" w:cs="Times New Roman"/>
          <w:color w:val="auto"/>
          <w:spacing w:val="0"/>
          <w:w w:val="100"/>
          <w:kern w:val="0"/>
          <w:position w:val="0"/>
          <w:sz w:val="24"/>
          <w:szCs w:val="24"/>
          <w:lang w:val="en-US" w:eastAsia="zh-CN"/>
        </w:rPr>
        <w:t>采取</w:t>
      </w:r>
      <w:r>
        <w:rPr>
          <w:rFonts w:hint="default" w:ascii="Times New Roman" w:hAnsi="Times New Roman" w:eastAsia="宋体" w:cs="Times New Roman"/>
          <w:color w:val="auto"/>
          <w:spacing w:val="0"/>
          <w:w w:val="100"/>
          <w:kern w:val="0"/>
          <w:position w:val="0"/>
          <w:sz w:val="24"/>
          <w:szCs w:val="24"/>
        </w:rPr>
        <w:t>直接喷播植草42757m²</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中央分隔带0.21hm²</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景观绿化</w:t>
      </w:r>
      <w:r>
        <w:rPr>
          <w:rFonts w:hint="default" w:ascii="Times New Roman" w:hAnsi="Times New Roman" w:eastAsia="宋体" w:cs="Times New Roman"/>
          <w:color w:val="auto"/>
          <w:spacing w:val="0"/>
          <w:w w:val="100"/>
          <w:kern w:val="0"/>
          <w:position w:val="0"/>
          <w:sz w:val="24"/>
          <w:szCs w:val="24"/>
          <w:lang w:val="en-US" w:eastAsia="zh-CN"/>
        </w:rPr>
        <w:t>5.96</w:t>
      </w:r>
      <w:r>
        <w:rPr>
          <w:rFonts w:hint="default" w:ascii="Times New Roman" w:hAnsi="Times New Roman" w:eastAsia="宋体" w:cs="Times New Roman"/>
          <w:color w:val="auto"/>
          <w:spacing w:val="0"/>
          <w:w w:val="100"/>
          <w:kern w:val="0"/>
          <w:position w:val="0"/>
          <w:sz w:val="24"/>
          <w:szCs w:val="24"/>
        </w:rPr>
        <w:t>hm²</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桥下植被恢复1.18hm²</w:t>
      </w:r>
      <w:r>
        <w:rPr>
          <w:rFonts w:hint="default" w:ascii="Times New Roman" w:hAnsi="Times New Roman" w:eastAsia="宋体" w:cs="Times New Roman"/>
          <w:color w:val="auto"/>
          <w:spacing w:val="0"/>
          <w:w w:val="100"/>
          <w:kern w:val="0"/>
          <w:position w:val="0"/>
          <w:sz w:val="24"/>
          <w:szCs w:val="24"/>
          <w:lang w:eastAsia="zh-CN"/>
        </w:rPr>
        <w:t>。</w:t>
      </w:r>
    </w:p>
    <w:p w14:paraId="5A53D7AA">
      <w:pPr>
        <w:pStyle w:val="4"/>
        <w:numPr>
          <w:ilvl w:val="1"/>
          <w:numId w:val="0"/>
        </w:numPr>
        <w:ind w:left="578" w:leftChars="0" w:hanging="578" w:firstLineChars="0"/>
        <w:rPr>
          <w:rFonts w:hint="default" w:cs="Times New Roman"/>
          <w:color w:val="auto"/>
          <w:lang w:val="en-US" w:eastAsia="zh-CN"/>
        </w:rPr>
      </w:pPr>
      <w:bookmarkStart w:id="56" w:name="_Toc10056"/>
      <w:bookmarkStart w:id="57" w:name="_Toc28849"/>
      <w:bookmarkStart w:id="58" w:name="_Toc18864"/>
      <w:bookmarkStart w:id="59" w:name="_Toc23532"/>
      <w:r>
        <w:rPr>
          <w:rFonts w:hint="default" w:cs="Times New Roman"/>
          <w:color w:val="auto"/>
          <w:lang w:val="en-US" w:eastAsia="zh-CN"/>
        </w:rPr>
        <w:t>2.</w:t>
      </w:r>
      <w:r>
        <w:rPr>
          <w:rFonts w:hint="eastAsia" w:cs="Times New Roman"/>
          <w:color w:val="auto"/>
          <w:lang w:val="en-US" w:eastAsia="zh-CN"/>
        </w:rPr>
        <w:t>3</w:t>
      </w:r>
      <w:r>
        <w:rPr>
          <w:rFonts w:hint="default" w:cs="Times New Roman"/>
          <w:color w:val="auto"/>
          <w:lang w:val="en-US" w:eastAsia="zh-CN"/>
        </w:rPr>
        <w:t>.</w:t>
      </w:r>
      <w:r>
        <w:rPr>
          <w:rFonts w:hint="eastAsia" w:cs="Times New Roman"/>
          <w:color w:val="auto"/>
          <w:lang w:val="en-US" w:eastAsia="zh-CN"/>
        </w:rPr>
        <w:t>9</w:t>
      </w:r>
      <w:r>
        <w:rPr>
          <w:rFonts w:hint="default" w:cs="Times New Roman"/>
          <w:color w:val="auto"/>
          <w:lang w:val="en-US" w:eastAsia="zh-CN"/>
        </w:rPr>
        <w:t xml:space="preserve"> 隔声屏障工程</w:t>
      </w:r>
      <w:bookmarkEnd w:id="56"/>
      <w:bookmarkEnd w:id="57"/>
      <w:bookmarkEnd w:id="58"/>
      <w:bookmarkEnd w:id="59"/>
    </w:p>
    <w:p w14:paraId="30D05FF0">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为保护公路沿线声环境保护目标，建设单位</w:t>
      </w:r>
      <w:r>
        <w:rPr>
          <w:rFonts w:hint="default" w:ascii="Times New Roman" w:hAnsi="Times New Roman" w:eastAsia="宋体" w:cs="Times New Roman"/>
          <w:color w:val="auto"/>
          <w:spacing w:val="0"/>
          <w:w w:val="100"/>
          <w:kern w:val="0"/>
          <w:position w:val="0"/>
          <w:sz w:val="24"/>
          <w:szCs w:val="24"/>
          <w:lang w:val="en-US" w:eastAsia="zh-CN"/>
        </w:rPr>
        <w:t>已</w:t>
      </w:r>
      <w:r>
        <w:rPr>
          <w:rFonts w:hint="default" w:ascii="Times New Roman" w:hAnsi="Times New Roman" w:eastAsia="宋体" w:cs="Times New Roman"/>
          <w:color w:val="auto"/>
          <w:spacing w:val="0"/>
          <w:w w:val="100"/>
          <w:kern w:val="0"/>
          <w:position w:val="0"/>
          <w:sz w:val="24"/>
          <w:szCs w:val="24"/>
        </w:rPr>
        <w:t>在距离公路较近的声环境保护目标路段安装有隔声屏障，安装隔声屏障共计</w:t>
      </w:r>
      <w:r>
        <w:rPr>
          <w:rFonts w:hint="default" w:ascii="Times New Roman" w:hAnsi="Times New Roman" w:eastAsia="宋体" w:cs="Times New Roman"/>
          <w:color w:val="auto"/>
          <w:spacing w:val="0"/>
          <w:w w:val="100"/>
          <w:kern w:val="0"/>
          <w:position w:val="0"/>
          <w:sz w:val="24"/>
          <w:szCs w:val="24"/>
          <w:lang w:val="en-US" w:eastAsia="zh-CN"/>
        </w:rPr>
        <w:t>10</w:t>
      </w:r>
      <w:r>
        <w:rPr>
          <w:rFonts w:hint="default" w:ascii="Times New Roman" w:hAnsi="Times New Roman" w:cs="Times New Roman"/>
          <w:color w:val="auto"/>
          <w:spacing w:val="0"/>
          <w:w w:val="100"/>
          <w:kern w:val="0"/>
          <w:position w:val="0"/>
          <w:sz w:val="24"/>
          <w:szCs w:val="24"/>
          <w:lang w:val="en-US" w:eastAsia="zh-CN"/>
        </w:rPr>
        <w:t>58</w:t>
      </w:r>
      <w:r>
        <w:rPr>
          <w:rFonts w:hint="default" w:ascii="Times New Roman" w:hAnsi="Times New Roman" w:eastAsia="宋体" w:cs="Times New Roman"/>
          <w:color w:val="auto"/>
          <w:spacing w:val="0"/>
          <w:w w:val="100"/>
          <w:kern w:val="0"/>
          <w:position w:val="0"/>
          <w:sz w:val="24"/>
          <w:szCs w:val="24"/>
          <w:lang w:val="en-US" w:eastAsia="zh-CN"/>
        </w:rPr>
        <w:t>m，</w:t>
      </w:r>
      <w:r>
        <w:rPr>
          <w:rFonts w:hint="default" w:ascii="Times New Roman" w:hAnsi="Times New Roman" w:eastAsia="宋体" w:cs="Times New Roman"/>
          <w:color w:val="auto"/>
          <w:spacing w:val="0"/>
          <w:w w:val="100"/>
          <w:kern w:val="0"/>
          <w:position w:val="0"/>
          <w:sz w:val="24"/>
          <w:szCs w:val="24"/>
        </w:rPr>
        <w:t>安装的隔声屏障高度为3m。隔声安装路段以及长度见</w:t>
      </w:r>
      <w:r>
        <w:rPr>
          <w:rFonts w:hint="eastAsia" w:cs="Times New Roman"/>
          <w:color w:val="auto"/>
          <w:spacing w:val="0"/>
          <w:w w:val="100"/>
          <w:kern w:val="0"/>
          <w:position w:val="0"/>
          <w:sz w:val="24"/>
          <w:szCs w:val="24"/>
          <w:lang w:val="en-US" w:eastAsia="zh-CN"/>
        </w:rPr>
        <w:t>下</w:t>
      </w:r>
      <w:r>
        <w:rPr>
          <w:rFonts w:hint="default" w:ascii="Times New Roman" w:hAnsi="Times New Roman" w:eastAsia="宋体" w:cs="Times New Roman"/>
          <w:color w:val="auto"/>
          <w:spacing w:val="0"/>
          <w:w w:val="100"/>
          <w:kern w:val="0"/>
          <w:position w:val="0"/>
          <w:sz w:val="24"/>
          <w:szCs w:val="24"/>
        </w:rPr>
        <w:t>表。</w:t>
      </w:r>
      <w:r>
        <w:rPr>
          <w:rFonts w:hint="eastAsia" w:ascii="Times New Roman" w:hAnsi="Times New Roman" w:cs="Times New Roman"/>
          <w:color w:val="auto"/>
          <w:sz w:val="24"/>
          <w:szCs w:val="24"/>
          <w:lang w:val="en-US" w:eastAsia="zh-CN"/>
        </w:rPr>
        <w:t>根据</w:t>
      </w:r>
      <w:r>
        <w:rPr>
          <w:rFonts w:hint="eastAsia" w:cs="Times New Roman"/>
          <w:color w:val="auto"/>
          <w:sz w:val="24"/>
          <w:szCs w:val="24"/>
          <w:lang w:val="en-US" w:eastAsia="zh-CN"/>
        </w:rPr>
        <w:t>重新报批</w:t>
      </w:r>
      <w:r>
        <w:rPr>
          <w:rFonts w:hint="eastAsia" w:ascii="Times New Roman" w:hAnsi="Times New Roman" w:cs="Times New Roman"/>
          <w:color w:val="auto"/>
          <w:sz w:val="24"/>
          <w:szCs w:val="24"/>
          <w:lang w:val="en-US" w:eastAsia="zh-CN"/>
        </w:rPr>
        <w:t>预测结果还需在</w:t>
      </w:r>
      <w:r>
        <w:rPr>
          <w:rFonts w:hint="default" w:ascii="Times New Roman" w:hAnsi="Times New Roman" w:eastAsia="宋体" w:cs="Times New Roman"/>
          <w:snapToGrid w:val="0"/>
          <w:color w:val="auto"/>
          <w:kern w:val="0"/>
          <w:sz w:val="24"/>
          <w:szCs w:val="24"/>
          <w:highlight w:val="none"/>
          <w:lang w:val="en-US" w:eastAsia="zh-CN" w:bidi="ar-SA"/>
        </w:rPr>
        <w:t>大田村华家屋基居民点</w:t>
      </w:r>
      <w:r>
        <w:rPr>
          <w:rFonts w:hint="eastAsia"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1#斑竹村长五间居民点</w:t>
      </w:r>
      <w:r>
        <w:rPr>
          <w:rFonts w:hint="eastAsia"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桂花村吊脚楼居民点</w:t>
      </w:r>
      <w:r>
        <w:rPr>
          <w:rFonts w:hint="eastAsia"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2#斑竹村长五间居民点</w:t>
      </w:r>
      <w:r>
        <w:rPr>
          <w:rFonts w:hint="default" w:ascii="Times New Roman" w:hAnsi="Times New Roman" w:cs="Times New Roman"/>
          <w:color w:val="auto"/>
          <w:sz w:val="24"/>
          <w:szCs w:val="24"/>
          <w:lang w:val="en-US" w:eastAsia="zh-CN"/>
        </w:rPr>
        <w:t>需增加</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val="en-US" w:eastAsia="zh-CN"/>
        </w:rPr>
        <w:t>65</w:t>
      </w:r>
      <w:r>
        <w:rPr>
          <w:rFonts w:hint="eastAsia" w:ascii="Times New Roman" w:hAnsi="Times New Roman" w:cs="Times New Roman"/>
          <w:color w:val="auto"/>
          <w:sz w:val="24"/>
          <w:szCs w:val="24"/>
          <w:lang w:val="en-US" w:eastAsia="zh-CN"/>
        </w:rPr>
        <w:t>m的</w:t>
      </w:r>
      <w:r>
        <w:rPr>
          <w:rFonts w:hint="default" w:ascii="Times New Roman" w:hAnsi="Times New Roman" w:eastAsia="宋体" w:cs="Times New Roman"/>
          <w:color w:val="auto"/>
          <w:spacing w:val="0"/>
          <w:w w:val="100"/>
          <w:kern w:val="0"/>
          <w:position w:val="0"/>
          <w:sz w:val="24"/>
          <w:szCs w:val="24"/>
        </w:rPr>
        <w:t>隔声屏</w:t>
      </w:r>
      <w:r>
        <w:rPr>
          <w:rFonts w:hint="eastAsia" w:cs="Times New Roman"/>
          <w:color w:val="auto"/>
          <w:spacing w:val="0"/>
          <w:w w:val="100"/>
          <w:kern w:val="0"/>
          <w:position w:val="0"/>
          <w:sz w:val="24"/>
          <w:szCs w:val="24"/>
          <w:lang w:eastAsia="zh-CN"/>
        </w:rPr>
        <w:t>，</w:t>
      </w:r>
      <w:r>
        <w:rPr>
          <w:rFonts w:hint="eastAsia" w:cs="Times New Roman"/>
          <w:color w:val="auto"/>
          <w:spacing w:val="0"/>
          <w:w w:val="100"/>
          <w:kern w:val="0"/>
          <w:position w:val="0"/>
          <w:sz w:val="24"/>
          <w:szCs w:val="24"/>
          <w:lang w:val="en-US" w:eastAsia="zh-CN"/>
        </w:rPr>
        <w:t>验收期间实际监测发现，该区域实际未超标，因此该部分</w:t>
      </w:r>
      <w:r>
        <w:rPr>
          <w:rFonts w:hint="default" w:ascii="Times New Roman" w:hAnsi="Times New Roman" w:eastAsia="宋体" w:cs="Times New Roman"/>
          <w:color w:val="auto"/>
          <w:spacing w:val="0"/>
          <w:w w:val="100"/>
          <w:kern w:val="0"/>
          <w:position w:val="0"/>
          <w:sz w:val="24"/>
          <w:szCs w:val="24"/>
        </w:rPr>
        <w:t>隔声屏</w:t>
      </w:r>
      <w:r>
        <w:rPr>
          <w:rFonts w:hint="eastAsia" w:cs="Times New Roman"/>
          <w:color w:val="auto"/>
          <w:spacing w:val="0"/>
          <w:w w:val="100"/>
          <w:kern w:val="0"/>
          <w:position w:val="0"/>
          <w:sz w:val="24"/>
          <w:szCs w:val="24"/>
          <w:lang w:val="en-US" w:eastAsia="zh-CN"/>
        </w:rPr>
        <w:t>列入后续建设规划，待后续跟踪监测不满足相应标准后通过预留资金进行建设</w:t>
      </w:r>
      <w:r>
        <w:rPr>
          <w:rFonts w:hint="eastAsia" w:ascii="Times New Roman" w:hAnsi="Times New Roman" w:cs="Times New Roman"/>
          <w:color w:val="auto"/>
          <w:sz w:val="24"/>
          <w:szCs w:val="24"/>
          <w:lang w:val="en-US" w:eastAsia="zh-CN"/>
        </w:rPr>
        <w:t>。</w:t>
      </w:r>
    </w:p>
    <w:p w14:paraId="381FF38D">
      <w:pPr>
        <w:pStyle w:val="38"/>
        <w:bidi w:val="0"/>
        <w:outlineLvl w:val="9"/>
        <w:rPr>
          <w:rFonts w:hint="default" w:ascii="Times New Roman" w:hAnsi="Times New Roman" w:cs="Times New Roman"/>
          <w:b/>
          <w:bCs/>
          <w:color w:val="auto"/>
          <w:highlight w:val="none"/>
          <w:lang w:val="en-US" w:eastAsia="zh-CN"/>
        </w:rPr>
      </w:pPr>
      <w:bookmarkStart w:id="60" w:name="_Toc4454"/>
      <w:bookmarkStart w:id="61" w:name="_Toc23275"/>
      <w:bookmarkStart w:id="62" w:name="_Toc28857"/>
      <w:r>
        <w:rPr>
          <w:rFonts w:hint="default" w:ascii="Times New Roman" w:hAnsi="Times New Roman" w:cs="Times New Roman"/>
          <w:b/>
          <w:bCs/>
          <w:color w:val="auto"/>
          <w:highlight w:val="none"/>
          <w:lang w:val="en-US" w:eastAsia="en-US"/>
        </w:rPr>
        <w:t>表2.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en-US"/>
        </w:rPr>
        <w:t>-</w:t>
      </w:r>
      <w:r>
        <w:rPr>
          <w:rFonts w:hint="eastAsia" w:cs="Times New Roman"/>
          <w:b/>
          <w:bCs/>
          <w:color w:val="auto"/>
          <w:highlight w:val="none"/>
          <w:lang w:val="en-US" w:eastAsia="zh-CN"/>
        </w:rPr>
        <w:t>11</w:t>
      </w:r>
      <w:r>
        <w:rPr>
          <w:rFonts w:hint="default" w:ascii="Times New Roman" w:hAnsi="Times New Roman" w:cs="Times New Roman"/>
          <w:b/>
          <w:bCs/>
          <w:color w:val="auto"/>
          <w:highlight w:val="none"/>
          <w:lang w:val="en-US" w:eastAsia="en-US"/>
        </w:rPr>
        <w:t xml:space="preserve">  </w:t>
      </w:r>
      <w:r>
        <w:rPr>
          <w:rFonts w:hint="default" w:ascii="Times New Roman" w:hAnsi="Times New Roman" w:cs="Times New Roman"/>
          <w:b/>
          <w:bCs/>
          <w:color w:val="auto"/>
          <w:highlight w:val="none"/>
          <w:lang w:val="en-US" w:eastAsia="zh-CN"/>
        </w:rPr>
        <w:t>公路沿线隔声屏障设置情况</w:t>
      </w:r>
      <w:bookmarkEnd w:id="60"/>
      <w:bookmarkEnd w:id="61"/>
      <w:bookmarkEnd w:id="62"/>
    </w:p>
    <w:tbl>
      <w:tblPr>
        <w:tblStyle w:val="20"/>
        <w:tblW w:w="484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1"/>
        <w:gridCol w:w="2529"/>
        <w:gridCol w:w="3059"/>
        <w:gridCol w:w="1147"/>
        <w:gridCol w:w="1062"/>
        <w:gridCol w:w="1196"/>
      </w:tblGrid>
      <w:tr w14:paraId="1E8C3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7C96CFED">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2529" w:type="dxa"/>
            <w:tcBorders>
              <w:tl2br w:val="nil"/>
              <w:tr2bl w:val="nil"/>
            </w:tcBorders>
            <w:noWrap w:val="0"/>
            <w:vAlign w:val="center"/>
          </w:tcPr>
          <w:p w14:paraId="0B13212F">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设置桩号</w:t>
            </w:r>
          </w:p>
        </w:tc>
        <w:tc>
          <w:tcPr>
            <w:tcW w:w="3060" w:type="dxa"/>
            <w:tcBorders>
              <w:tl2br w:val="nil"/>
              <w:tr2bl w:val="nil"/>
            </w:tcBorders>
            <w:noWrap w:val="0"/>
            <w:vAlign w:val="center"/>
          </w:tcPr>
          <w:p w14:paraId="4DC4C3F8">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声环境敏感点</w:t>
            </w:r>
          </w:p>
        </w:tc>
        <w:tc>
          <w:tcPr>
            <w:tcW w:w="1147" w:type="dxa"/>
            <w:tcBorders>
              <w:tl2br w:val="nil"/>
              <w:tr2bl w:val="nil"/>
            </w:tcBorders>
            <w:noWrap w:val="0"/>
            <w:vAlign w:val="center"/>
          </w:tcPr>
          <w:p w14:paraId="73138418">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方位/距离</w:t>
            </w:r>
          </w:p>
          <w:p w14:paraId="69624700">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w:t>
            </w:r>
            <w:r>
              <w:rPr>
                <w:rFonts w:hint="eastAsia" w:cs="Times New Roman"/>
                <w:color w:val="auto"/>
                <w:highlight w:val="none"/>
                <w:lang w:val="en-US" w:eastAsia="zh-CN"/>
              </w:rPr>
              <w:t>)</w:t>
            </w:r>
          </w:p>
        </w:tc>
        <w:tc>
          <w:tcPr>
            <w:tcW w:w="1062" w:type="dxa"/>
            <w:tcBorders>
              <w:tl2br w:val="nil"/>
              <w:tr2bl w:val="nil"/>
            </w:tcBorders>
            <w:noWrap w:val="0"/>
            <w:vAlign w:val="center"/>
          </w:tcPr>
          <w:p w14:paraId="3A415B22">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高度</w:t>
            </w:r>
          </w:p>
          <w:p w14:paraId="760DD3FF">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w:t>
            </w:r>
            <w:r>
              <w:rPr>
                <w:rFonts w:hint="eastAsia" w:cs="Times New Roman"/>
                <w:color w:val="auto"/>
                <w:highlight w:val="none"/>
                <w:lang w:val="en-US" w:eastAsia="zh-CN"/>
              </w:rPr>
              <w:t>)</w:t>
            </w:r>
          </w:p>
        </w:tc>
        <w:tc>
          <w:tcPr>
            <w:tcW w:w="1196" w:type="dxa"/>
            <w:tcBorders>
              <w:tl2br w:val="nil"/>
              <w:tr2bl w:val="nil"/>
            </w:tcBorders>
            <w:noWrap w:val="0"/>
            <w:vAlign w:val="center"/>
          </w:tcPr>
          <w:p w14:paraId="28EB09B3">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长度</w:t>
            </w:r>
          </w:p>
          <w:p w14:paraId="32928745">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w:t>
            </w:r>
            <w:r>
              <w:rPr>
                <w:rFonts w:hint="eastAsia" w:cs="Times New Roman"/>
                <w:color w:val="auto"/>
                <w:highlight w:val="none"/>
                <w:lang w:val="en-US" w:eastAsia="zh-CN"/>
              </w:rPr>
              <w:t>)</w:t>
            </w:r>
          </w:p>
        </w:tc>
      </w:tr>
      <w:tr w14:paraId="3F88FA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178CBEB7">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2529" w:type="dxa"/>
            <w:tcBorders>
              <w:tl2br w:val="nil"/>
              <w:tr2bl w:val="nil"/>
            </w:tcBorders>
            <w:noWrap w:val="0"/>
            <w:vAlign w:val="center"/>
          </w:tcPr>
          <w:p w14:paraId="0C7FF654">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K73+900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102</w:t>
            </w:r>
          </w:p>
        </w:tc>
        <w:tc>
          <w:tcPr>
            <w:tcW w:w="3060" w:type="dxa"/>
            <w:tcBorders>
              <w:tl2br w:val="nil"/>
              <w:tr2bl w:val="nil"/>
            </w:tcBorders>
            <w:noWrap w:val="0"/>
            <w:vAlign w:val="center"/>
          </w:tcPr>
          <w:p w14:paraId="53E2A70B">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响水村蔡家垭口居民点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048370FF">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左侧30</w:t>
            </w:r>
          </w:p>
        </w:tc>
        <w:tc>
          <w:tcPr>
            <w:tcW w:w="1062" w:type="dxa"/>
            <w:tcBorders>
              <w:tl2br w:val="nil"/>
              <w:tr2bl w:val="nil"/>
            </w:tcBorders>
            <w:noWrap w:val="0"/>
            <w:vAlign w:val="center"/>
          </w:tcPr>
          <w:p w14:paraId="362E529B">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5879F8A6">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202</w:t>
            </w:r>
          </w:p>
        </w:tc>
      </w:tr>
      <w:tr w14:paraId="3A9509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76607FBC">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2529" w:type="dxa"/>
            <w:tcBorders>
              <w:tl2br w:val="nil"/>
              <w:tr2bl w:val="nil"/>
            </w:tcBorders>
            <w:noWrap w:val="0"/>
            <w:vAlign w:val="center"/>
          </w:tcPr>
          <w:p w14:paraId="64D4A927">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K76+120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K76+</w:t>
            </w:r>
            <w:r>
              <w:rPr>
                <w:rFonts w:hint="eastAsia" w:ascii="Times New Roman" w:hAnsi="Times New Roman" w:eastAsia="宋体" w:cs="Times New Roman"/>
                <w:color w:val="auto"/>
                <w:highlight w:val="none"/>
                <w:lang w:val="en-US" w:eastAsia="zh-CN"/>
              </w:rPr>
              <w:t>298</w:t>
            </w:r>
          </w:p>
        </w:tc>
        <w:tc>
          <w:tcPr>
            <w:tcW w:w="3060" w:type="dxa"/>
            <w:tcBorders>
              <w:tl2br w:val="nil"/>
              <w:tr2bl w:val="nil"/>
            </w:tcBorders>
            <w:noWrap w:val="0"/>
            <w:vAlign w:val="center"/>
          </w:tcPr>
          <w:p w14:paraId="1CC3DEFA">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大田村狮子寨居民点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76FDD677">
            <w:pPr>
              <w:pStyle w:val="38"/>
              <w:bidi w:val="0"/>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左侧60</w:t>
            </w:r>
          </w:p>
        </w:tc>
        <w:tc>
          <w:tcPr>
            <w:tcW w:w="1062" w:type="dxa"/>
            <w:tcBorders>
              <w:tl2br w:val="nil"/>
              <w:tr2bl w:val="nil"/>
            </w:tcBorders>
            <w:noWrap w:val="0"/>
            <w:vAlign w:val="center"/>
          </w:tcPr>
          <w:p w14:paraId="703B10A7">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7A6128C7">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178</w:t>
            </w:r>
          </w:p>
        </w:tc>
      </w:tr>
      <w:tr w14:paraId="148235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537140E6">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2529" w:type="dxa"/>
            <w:tcBorders>
              <w:tl2br w:val="nil"/>
              <w:tr2bl w:val="nil"/>
            </w:tcBorders>
            <w:noWrap w:val="0"/>
            <w:vAlign w:val="center"/>
          </w:tcPr>
          <w:p w14:paraId="323BCF12">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K76+500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K76+</w:t>
            </w:r>
            <w:r>
              <w:rPr>
                <w:rFonts w:hint="eastAsia" w:ascii="Times New Roman" w:hAnsi="Times New Roman" w:eastAsia="宋体" w:cs="Times New Roman"/>
                <w:color w:val="auto"/>
                <w:highlight w:val="none"/>
                <w:lang w:val="en-US" w:eastAsia="zh-CN"/>
              </w:rPr>
              <w:t>640</w:t>
            </w:r>
          </w:p>
        </w:tc>
        <w:tc>
          <w:tcPr>
            <w:tcW w:w="3060" w:type="dxa"/>
            <w:tcBorders>
              <w:tl2br w:val="nil"/>
              <w:tr2bl w:val="nil"/>
            </w:tcBorders>
            <w:noWrap w:val="0"/>
            <w:vAlign w:val="center"/>
          </w:tcPr>
          <w:p w14:paraId="50DC2D14">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大田村瓦房沟居民点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6FD4F9C2">
            <w:pPr>
              <w:pStyle w:val="38"/>
              <w:bidi w:val="0"/>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左侧20</w:t>
            </w:r>
          </w:p>
        </w:tc>
        <w:tc>
          <w:tcPr>
            <w:tcW w:w="1062" w:type="dxa"/>
            <w:tcBorders>
              <w:tl2br w:val="nil"/>
              <w:tr2bl w:val="nil"/>
            </w:tcBorders>
            <w:noWrap w:val="0"/>
            <w:vAlign w:val="center"/>
          </w:tcPr>
          <w:p w14:paraId="52C9C65F">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200D1B75">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140</w:t>
            </w:r>
          </w:p>
        </w:tc>
      </w:tr>
      <w:tr w14:paraId="4CE4C1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3291FB2B">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2529" w:type="dxa"/>
            <w:tcBorders>
              <w:tl2br w:val="nil"/>
              <w:tr2bl w:val="nil"/>
            </w:tcBorders>
            <w:noWrap w:val="0"/>
            <w:vAlign w:val="center"/>
          </w:tcPr>
          <w:p w14:paraId="5A8DB91D">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K77+000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172</w:t>
            </w:r>
          </w:p>
        </w:tc>
        <w:tc>
          <w:tcPr>
            <w:tcW w:w="3060" w:type="dxa"/>
            <w:tcBorders>
              <w:tl2br w:val="nil"/>
              <w:tr2bl w:val="nil"/>
            </w:tcBorders>
            <w:noWrap w:val="0"/>
            <w:vAlign w:val="center"/>
          </w:tcPr>
          <w:p w14:paraId="51AF1817">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斑竹村卢家院子居民点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477A653A">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右侧45</w:t>
            </w:r>
          </w:p>
        </w:tc>
        <w:tc>
          <w:tcPr>
            <w:tcW w:w="1062" w:type="dxa"/>
            <w:tcBorders>
              <w:tl2br w:val="nil"/>
              <w:tr2bl w:val="nil"/>
            </w:tcBorders>
            <w:noWrap w:val="0"/>
            <w:vAlign w:val="center"/>
          </w:tcPr>
          <w:p w14:paraId="50240966">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54B30671">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172</w:t>
            </w:r>
          </w:p>
        </w:tc>
      </w:tr>
      <w:tr w14:paraId="2A0759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025A6284">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p>
        </w:tc>
        <w:tc>
          <w:tcPr>
            <w:tcW w:w="2529" w:type="dxa"/>
            <w:tcBorders>
              <w:tl2br w:val="nil"/>
              <w:tr2bl w:val="nil"/>
            </w:tcBorders>
            <w:noWrap w:val="0"/>
            <w:vAlign w:val="center"/>
          </w:tcPr>
          <w:p w14:paraId="54FBC0F9">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K77+300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466</w:t>
            </w:r>
          </w:p>
        </w:tc>
        <w:tc>
          <w:tcPr>
            <w:tcW w:w="3060" w:type="dxa"/>
            <w:tcBorders>
              <w:tl2br w:val="nil"/>
              <w:tr2bl w:val="nil"/>
            </w:tcBorders>
            <w:noWrap w:val="0"/>
            <w:vAlign w:val="center"/>
          </w:tcPr>
          <w:p w14:paraId="08B13541">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斑竹村马鞍桥居民点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1A7DAE21">
            <w:pPr>
              <w:pStyle w:val="38"/>
              <w:bidi w:val="0"/>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左侧42</w:t>
            </w:r>
          </w:p>
        </w:tc>
        <w:tc>
          <w:tcPr>
            <w:tcW w:w="1062" w:type="dxa"/>
            <w:tcBorders>
              <w:tl2br w:val="nil"/>
              <w:tr2bl w:val="nil"/>
            </w:tcBorders>
            <w:noWrap w:val="0"/>
            <w:vAlign w:val="center"/>
          </w:tcPr>
          <w:p w14:paraId="1D24044E">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47A3D4FC">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166</w:t>
            </w:r>
          </w:p>
        </w:tc>
      </w:tr>
      <w:tr w14:paraId="2F9EC5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4C1155D3">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2529" w:type="dxa"/>
            <w:tcBorders>
              <w:tl2br w:val="nil"/>
              <w:tr2bl w:val="nil"/>
            </w:tcBorders>
            <w:noWrap w:val="0"/>
            <w:vAlign w:val="center"/>
          </w:tcPr>
          <w:p w14:paraId="2BF687D7">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K77+550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50</w:t>
            </w:r>
          </w:p>
        </w:tc>
        <w:tc>
          <w:tcPr>
            <w:tcW w:w="3060" w:type="dxa"/>
            <w:tcBorders>
              <w:tl2br w:val="nil"/>
              <w:tr2bl w:val="nil"/>
            </w:tcBorders>
            <w:noWrap w:val="0"/>
            <w:vAlign w:val="center"/>
          </w:tcPr>
          <w:p w14:paraId="23CDC6CF">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斑竹村新竹湾居民点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3F2DE160">
            <w:pPr>
              <w:pStyle w:val="38"/>
              <w:bidi w:val="0"/>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右侧20</w:t>
            </w:r>
          </w:p>
        </w:tc>
        <w:tc>
          <w:tcPr>
            <w:tcW w:w="1062" w:type="dxa"/>
            <w:tcBorders>
              <w:tl2br w:val="nil"/>
              <w:tr2bl w:val="nil"/>
            </w:tcBorders>
            <w:noWrap w:val="0"/>
            <w:vAlign w:val="center"/>
          </w:tcPr>
          <w:p w14:paraId="012E09E1">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6C6CA806">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100</w:t>
            </w:r>
          </w:p>
        </w:tc>
      </w:tr>
      <w:tr w14:paraId="27F891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5B838D25">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2529" w:type="dxa"/>
            <w:tcBorders>
              <w:tl2br w:val="nil"/>
              <w:tr2bl w:val="nil"/>
            </w:tcBorders>
            <w:noWrap w:val="0"/>
            <w:vAlign w:val="center"/>
          </w:tcPr>
          <w:p w14:paraId="23604F32">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K77+950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50</w:t>
            </w:r>
          </w:p>
        </w:tc>
        <w:tc>
          <w:tcPr>
            <w:tcW w:w="3060" w:type="dxa"/>
            <w:tcBorders>
              <w:tl2br w:val="nil"/>
              <w:tr2bl w:val="nil"/>
            </w:tcBorders>
            <w:noWrap w:val="0"/>
            <w:vAlign w:val="center"/>
          </w:tcPr>
          <w:p w14:paraId="4FDA98BD">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1#斑竹村长五间居民点</w:t>
            </w:r>
            <w:r>
              <w:rPr>
                <w:rFonts w:hint="eastAsia" w:ascii="Times New Roman" w:hAnsi="Times New Roman" w:eastAsia="宋体" w:cs="Times New Roman"/>
                <w:color w:val="auto"/>
                <w:highlight w:val="none"/>
                <w:lang w:val="en-US" w:eastAsia="zh-CN"/>
              </w:rPr>
              <w:t>（已建）</w:t>
            </w:r>
          </w:p>
        </w:tc>
        <w:tc>
          <w:tcPr>
            <w:tcW w:w="1147" w:type="dxa"/>
            <w:tcBorders>
              <w:tl2br w:val="nil"/>
              <w:tr2bl w:val="nil"/>
            </w:tcBorders>
            <w:noWrap w:val="0"/>
            <w:vAlign w:val="center"/>
          </w:tcPr>
          <w:p w14:paraId="45EB7310">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右侧20</w:t>
            </w:r>
          </w:p>
        </w:tc>
        <w:tc>
          <w:tcPr>
            <w:tcW w:w="1062" w:type="dxa"/>
            <w:tcBorders>
              <w:tl2br w:val="nil"/>
              <w:tr2bl w:val="nil"/>
            </w:tcBorders>
            <w:noWrap w:val="0"/>
            <w:vAlign w:val="center"/>
          </w:tcPr>
          <w:p w14:paraId="7F2529EE">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4BA032A6">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100</w:t>
            </w:r>
          </w:p>
        </w:tc>
      </w:tr>
      <w:tr w14:paraId="207008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2C96AED8">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w:t>
            </w:r>
          </w:p>
        </w:tc>
        <w:tc>
          <w:tcPr>
            <w:tcW w:w="2529" w:type="dxa"/>
            <w:tcBorders>
              <w:tl2br w:val="nil"/>
              <w:tr2bl w:val="nil"/>
            </w:tcBorders>
            <w:noWrap w:val="0"/>
            <w:vAlign w:val="center"/>
          </w:tcPr>
          <w:p w14:paraId="275D0359">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K77+000-K77+100</w:t>
            </w:r>
          </w:p>
        </w:tc>
        <w:tc>
          <w:tcPr>
            <w:tcW w:w="3060" w:type="dxa"/>
            <w:tcBorders>
              <w:tl2br w:val="nil"/>
              <w:tr2bl w:val="nil"/>
            </w:tcBorders>
            <w:noWrap w:val="0"/>
            <w:vAlign w:val="center"/>
          </w:tcPr>
          <w:p w14:paraId="31CF4CC9">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大田村华家屋基居民点</w:t>
            </w: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cs="Times New Roman"/>
                <w:snapToGrid w:val="0"/>
                <w:color w:val="auto"/>
                <w:kern w:val="0"/>
                <w:sz w:val="21"/>
                <w:szCs w:val="21"/>
                <w:highlight w:val="none"/>
                <w:lang w:val="en-US" w:eastAsia="zh-CN" w:bidi="ar-SA"/>
              </w:rPr>
              <w:t>未建</w:t>
            </w:r>
            <w:r>
              <w:rPr>
                <w:rFonts w:hint="eastAsia" w:ascii="Times New Roman" w:hAnsi="Times New Roman" w:eastAsia="宋体" w:cs="Times New Roman"/>
                <w:snapToGrid w:val="0"/>
                <w:color w:val="auto"/>
                <w:kern w:val="0"/>
                <w:sz w:val="21"/>
                <w:szCs w:val="21"/>
                <w:highlight w:val="none"/>
                <w:lang w:val="en-US" w:eastAsia="zh-CN" w:bidi="ar-SA"/>
              </w:rPr>
              <w:t>）</w:t>
            </w:r>
          </w:p>
        </w:tc>
        <w:tc>
          <w:tcPr>
            <w:tcW w:w="1147" w:type="dxa"/>
            <w:tcBorders>
              <w:tl2br w:val="nil"/>
              <w:tr2bl w:val="nil"/>
            </w:tcBorders>
            <w:noWrap w:val="0"/>
            <w:vAlign w:val="center"/>
          </w:tcPr>
          <w:p w14:paraId="710D4B12">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右侧20</w:t>
            </w:r>
          </w:p>
        </w:tc>
        <w:tc>
          <w:tcPr>
            <w:tcW w:w="1062" w:type="dxa"/>
            <w:tcBorders>
              <w:tl2br w:val="nil"/>
              <w:tr2bl w:val="nil"/>
            </w:tcBorders>
            <w:noWrap w:val="0"/>
            <w:vAlign w:val="center"/>
          </w:tcPr>
          <w:p w14:paraId="6D6E11C9">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00D2126C">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r w14:paraId="6DEF7A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28041CDE">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w:t>
            </w:r>
          </w:p>
        </w:tc>
        <w:tc>
          <w:tcPr>
            <w:tcW w:w="2529" w:type="dxa"/>
            <w:tcBorders>
              <w:tl2br w:val="nil"/>
              <w:tr2bl w:val="nil"/>
            </w:tcBorders>
            <w:noWrap w:val="0"/>
            <w:vAlign w:val="center"/>
          </w:tcPr>
          <w:p w14:paraId="2A7776FD">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50</w:t>
            </w:r>
          </w:p>
        </w:tc>
        <w:tc>
          <w:tcPr>
            <w:tcW w:w="3060" w:type="dxa"/>
            <w:tcBorders>
              <w:tl2br w:val="nil"/>
              <w:tr2bl w:val="nil"/>
            </w:tcBorders>
            <w:noWrap w:val="0"/>
            <w:vAlign w:val="center"/>
          </w:tcPr>
          <w:p w14:paraId="1F43363E">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1#斑竹村长五间居民点</w:t>
            </w: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cs="Times New Roman"/>
                <w:snapToGrid w:val="0"/>
                <w:color w:val="auto"/>
                <w:kern w:val="0"/>
                <w:sz w:val="21"/>
                <w:szCs w:val="21"/>
                <w:highlight w:val="none"/>
                <w:lang w:val="en-US" w:eastAsia="zh-CN" w:bidi="ar-SA"/>
              </w:rPr>
              <w:t>未建</w:t>
            </w:r>
            <w:r>
              <w:rPr>
                <w:rFonts w:hint="eastAsia" w:ascii="Times New Roman" w:hAnsi="Times New Roman" w:eastAsia="宋体" w:cs="Times New Roman"/>
                <w:snapToGrid w:val="0"/>
                <w:color w:val="auto"/>
                <w:kern w:val="0"/>
                <w:sz w:val="21"/>
                <w:szCs w:val="21"/>
                <w:highlight w:val="none"/>
                <w:lang w:val="en-US" w:eastAsia="zh-CN" w:bidi="ar-SA"/>
              </w:rPr>
              <w:t>）</w:t>
            </w:r>
          </w:p>
        </w:tc>
        <w:tc>
          <w:tcPr>
            <w:tcW w:w="1147" w:type="dxa"/>
            <w:tcBorders>
              <w:tl2br w:val="nil"/>
              <w:tr2bl w:val="nil"/>
            </w:tcBorders>
            <w:noWrap w:val="0"/>
            <w:vAlign w:val="center"/>
          </w:tcPr>
          <w:p w14:paraId="4C76119B">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右侧20</w:t>
            </w:r>
          </w:p>
        </w:tc>
        <w:tc>
          <w:tcPr>
            <w:tcW w:w="1062" w:type="dxa"/>
            <w:tcBorders>
              <w:tl2br w:val="nil"/>
              <w:tr2bl w:val="nil"/>
            </w:tcBorders>
            <w:noWrap w:val="0"/>
            <w:vAlign w:val="center"/>
          </w:tcPr>
          <w:p w14:paraId="63C462CA">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38DAAC4E">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r w14:paraId="7FA31B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10282FFB">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2529" w:type="dxa"/>
            <w:tcBorders>
              <w:tl2br w:val="nil"/>
              <w:tr2bl w:val="nil"/>
            </w:tcBorders>
            <w:noWrap w:val="0"/>
            <w:vAlign w:val="center"/>
          </w:tcPr>
          <w:p w14:paraId="387AF8B9">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K70+100-K70+165</w:t>
            </w:r>
          </w:p>
        </w:tc>
        <w:tc>
          <w:tcPr>
            <w:tcW w:w="3060" w:type="dxa"/>
            <w:tcBorders>
              <w:tl2br w:val="nil"/>
              <w:tr2bl w:val="nil"/>
            </w:tcBorders>
            <w:noWrap w:val="0"/>
            <w:vAlign w:val="center"/>
          </w:tcPr>
          <w:p w14:paraId="179FC2B6">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桂花村吊脚楼居民点</w:t>
            </w: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cs="Times New Roman"/>
                <w:snapToGrid w:val="0"/>
                <w:color w:val="auto"/>
                <w:kern w:val="0"/>
                <w:sz w:val="21"/>
                <w:szCs w:val="21"/>
                <w:highlight w:val="none"/>
                <w:lang w:val="en-US" w:eastAsia="zh-CN" w:bidi="ar-SA"/>
              </w:rPr>
              <w:t>未建</w:t>
            </w:r>
            <w:r>
              <w:rPr>
                <w:rFonts w:hint="eastAsia" w:ascii="Times New Roman" w:hAnsi="Times New Roman" w:eastAsia="宋体" w:cs="Times New Roman"/>
                <w:snapToGrid w:val="0"/>
                <w:color w:val="auto"/>
                <w:kern w:val="0"/>
                <w:sz w:val="21"/>
                <w:szCs w:val="21"/>
                <w:highlight w:val="none"/>
                <w:lang w:val="en-US" w:eastAsia="zh-CN" w:bidi="ar-SA"/>
              </w:rPr>
              <w:t>）</w:t>
            </w:r>
          </w:p>
        </w:tc>
        <w:tc>
          <w:tcPr>
            <w:tcW w:w="1147" w:type="dxa"/>
            <w:tcBorders>
              <w:tl2br w:val="nil"/>
              <w:tr2bl w:val="nil"/>
            </w:tcBorders>
            <w:noWrap w:val="0"/>
            <w:vAlign w:val="center"/>
          </w:tcPr>
          <w:p w14:paraId="37B29436">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左</w:t>
            </w:r>
            <w:r>
              <w:rPr>
                <w:rFonts w:hint="default" w:ascii="Times New Roman" w:hAnsi="Times New Roman" w:eastAsia="宋体" w:cs="Times New Roman"/>
                <w:color w:val="auto"/>
                <w:highlight w:val="none"/>
                <w:lang w:val="en-US" w:eastAsia="zh-CN"/>
              </w:rPr>
              <w:t>侧20</w:t>
            </w:r>
          </w:p>
        </w:tc>
        <w:tc>
          <w:tcPr>
            <w:tcW w:w="1062" w:type="dxa"/>
            <w:tcBorders>
              <w:tl2br w:val="nil"/>
              <w:tr2bl w:val="nil"/>
            </w:tcBorders>
            <w:noWrap w:val="0"/>
            <w:vAlign w:val="center"/>
          </w:tcPr>
          <w:p w14:paraId="448F4406">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10663DED">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w:t>
            </w:r>
          </w:p>
        </w:tc>
      </w:tr>
      <w:tr w14:paraId="54D96B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52" w:type="dxa"/>
            <w:tcBorders>
              <w:tl2br w:val="nil"/>
              <w:tr2bl w:val="nil"/>
            </w:tcBorders>
            <w:noWrap w:val="0"/>
            <w:vAlign w:val="center"/>
          </w:tcPr>
          <w:p w14:paraId="2EDA64B9">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2529" w:type="dxa"/>
            <w:tcBorders>
              <w:tl2br w:val="nil"/>
              <w:tr2bl w:val="nil"/>
            </w:tcBorders>
            <w:noWrap w:val="0"/>
            <w:vAlign w:val="center"/>
          </w:tcPr>
          <w:p w14:paraId="22831B23">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主线及匝道D</w:t>
            </w:r>
          </w:p>
        </w:tc>
        <w:tc>
          <w:tcPr>
            <w:tcW w:w="3060" w:type="dxa"/>
            <w:tcBorders>
              <w:tl2br w:val="nil"/>
              <w:tr2bl w:val="nil"/>
            </w:tcBorders>
            <w:noWrap w:val="0"/>
            <w:vAlign w:val="center"/>
          </w:tcPr>
          <w:p w14:paraId="25C2C113">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r>
              <w:rPr>
                <w:rFonts w:hint="eastAsia" w:ascii="Times New Roman" w:hAnsi="Times New Roman" w:eastAsia="宋体" w:cs="Times New Roman"/>
                <w:snapToGrid w:val="0"/>
                <w:color w:val="auto"/>
                <w:kern w:val="0"/>
                <w:sz w:val="21"/>
                <w:szCs w:val="21"/>
                <w:highlight w:val="none"/>
                <w:lang w:val="en-US" w:eastAsia="zh-CN" w:bidi="ar-SA"/>
              </w:rPr>
              <w:t>（</w:t>
            </w:r>
            <w:r>
              <w:rPr>
                <w:rFonts w:hint="eastAsia" w:cs="Times New Roman"/>
                <w:snapToGrid w:val="0"/>
                <w:color w:val="auto"/>
                <w:kern w:val="0"/>
                <w:sz w:val="21"/>
                <w:szCs w:val="21"/>
                <w:highlight w:val="none"/>
                <w:lang w:val="en-US" w:eastAsia="zh-CN" w:bidi="ar-SA"/>
              </w:rPr>
              <w:t>未建</w:t>
            </w:r>
            <w:r>
              <w:rPr>
                <w:rFonts w:hint="eastAsia" w:ascii="Times New Roman" w:hAnsi="Times New Roman" w:eastAsia="宋体" w:cs="Times New Roman"/>
                <w:snapToGrid w:val="0"/>
                <w:color w:val="auto"/>
                <w:kern w:val="0"/>
                <w:sz w:val="21"/>
                <w:szCs w:val="21"/>
                <w:highlight w:val="none"/>
                <w:lang w:val="en-US" w:eastAsia="zh-CN" w:bidi="ar-SA"/>
              </w:rPr>
              <w:t>）</w:t>
            </w:r>
          </w:p>
        </w:tc>
        <w:tc>
          <w:tcPr>
            <w:tcW w:w="1147" w:type="dxa"/>
            <w:tcBorders>
              <w:tl2br w:val="nil"/>
              <w:tr2bl w:val="nil"/>
            </w:tcBorders>
            <w:noWrap w:val="0"/>
            <w:vAlign w:val="center"/>
          </w:tcPr>
          <w:p w14:paraId="77082F58">
            <w:pPr>
              <w:pStyle w:val="38"/>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右侧20</w:t>
            </w:r>
          </w:p>
        </w:tc>
        <w:tc>
          <w:tcPr>
            <w:tcW w:w="1062" w:type="dxa"/>
            <w:tcBorders>
              <w:tl2br w:val="nil"/>
              <w:tr2bl w:val="nil"/>
            </w:tcBorders>
            <w:noWrap w:val="0"/>
            <w:vAlign w:val="center"/>
          </w:tcPr>
          <w:p w14:paraId="05607259">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1196" w:type="dxa"/>
            <w:tcBorders>
              <w:tl2br w:val="nil"/>
              <w:tr2bl w:val="nil"/>
            </w:tcBorders>
            <w:noWrap w:val="0"/>
            <w:vAlign w:val="center"/>
          </w:tcPr>
          <w:p w14:paraId="6037A222">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r w14:paraId="38CEF5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50" w:type="dxa"/>
            <w:gridSpan w:val="5"/>
            <w:tcBorders>
              <w:tl2br w:val="nil"/>
              <w:tr2bl w:val="nil"/>
            </w:tcBorders>
            <w:noWrap w:val="0"/>
            <w:vAlign w:val="center"/>
          </w:tcPr>
          <w:p w14:paraId="4AC5701F">
            <w:pPr>
              <w:pStyle w:val="38"/>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已建</w:t>
            </w:r>
            <w:r>
              <w:rPr>
                <w:rFonts w:hint="default" w:ascii="Times New Roman" w:hAnsi="Times New Roman" w:eastAsia="宋体" w:cs="Times New Roman"/>
                <w:color w:val="auto"/>
                <w:highlight w:val="none"/>
                <w:lang w:val="en-US" w:eastAsia="zh-CN"/>
              </w:rPr>
              <w:t>合计</w:t>
            </w:r>
          </w:p>
        </w:tc>
        <w:tc>
          <w:tcPr>
            <w:tcW w:w="1196" w:type="dxa"/>
            <w:tcBorders>
              <w:tl2br w:val="nil"/>
              <w:tr2bl w:val="nil"/>
            </w:tcBorders>
            <w:noWrap w:val="0"/>
            <w:vAlign w:val="center"/>
          </w:tcPr>
          <w:p w14:paraId="7CE200E5">
            <w:pPr>
              <w:pStyle w:val="38"/>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1058</w:t>
            </w:r>
          </w:p>
        </w:tc>
      </w:tr>
    </w:tbl>
    <w:p w14:paraId="4BCA7479">
      <w:pPr>
        <w:bidi w:val="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隔声屏障钢立柱选用国家标准热轧H型钢。吸声屏采用彩钢板复合吸声板结构，中部透明隔声屏采用PC双面防紫外线板</w:t>
      </w:r>
      <w:r>
        <w:rPr>
          <w:rFonts w:hint="default" w:ascii="Times New Roman" w:hAnsi="Times New Roman" w:eastAsia="宋体" w:cs="Times New Roman"/>
          <w:color w:val="auto"/>
          <w:spacing w:val="0"/>
          <w:w w:val="100"/>
          <w:kern w:val="0"/>
          <w:position w:val="0"/>
          <w:sz w:val="24"/>
          <w:szCs w:val="24"/>
          <w:lang w:eastAsia="zh-CN"/>
        </w:rPr>
        <w:t>；背板、面板采用彩钢板材料，折弯制作，复合吸声屏体采用定型产品，所有连接件金属表面采用喷塑</w:t>
      </w:r>
      <w:r>
        <w:rPr>
          <w:rFonts w:hint="default" w:ascii="Times New Roman" w:hAnsi="Times New Roman" w:cs="Times New Roman"/>
          <w:color w:val="auto"/>
          <w:spacing w:val="0"/>
          <w:w w:val="100"/>
          <w:kern w:val="0"/>
          <w:position w:val="0"/>
          <w:sz w:val="24"/>
          <w:szCs w:val="24"/>
          <w:lang w:eastAsia="zh-CN"/>
        </w:rPr>
        <w:t>或其他</w:t>
      </w:r>
      <w:r>
        <w:rPr>
          <w:rFonts w:hint="default" w:ascii="Times New Roman" w:hAnsi="Times New Roman" w:eastAsia="宋体" w:cs="Times New Roman"/>
          <w:color w:val="auto"/>
          <w:spacing w:val="0"/>
          <w:w w:val="100"/>
          <w:kern w:val="0"/>
          <w:position w:val="0"/>
          <w:sz w:val="24"/>
          <w:szCs w:val="24"/>
          <w:lang w:eastAsia="zh-CN"/>
        </w:rPr>
        <w:t>防腐措施。下部封盖板使用Q235镀锌钢板，厚度为1.5mm，预先防腐封盖板与型钢立柱间现场铆钉连接，两者制作时在图示位置预先</w:t>
      </w:r>
      <w:r>
        <w:rPr>
          <w:rFonts w:hint="default" w:ascii="Times New Roman" w:hAnsi="Times New Roman" w:cs="Times New Roman"/>
          <w:color w:val="auto"/>
          <w:spacing w:val="0"/>
          <w:w w:val="100"/>
          <w:kern w:val="0"/>
          <w:position w:val="0"/>
          <w:sz w:val="24"/>
          <w:szCs w:val="24"/>
          <w:lang w:eastAsia="zh-CN"/>
        </w:rPr>
        <w:t>钻孔</w:t>
      </w:r>
      <w:r>
        <w:rPr>
          <w:rFonts w:hint="default" w:ascii="Times New Roman" w:hAnsi="Times New Roman" w:eastAsia="宋体" w:cs="Times New Roman"/>
          <w:color w:val="auto"/>
          <w:spacing w:val="0"/>
          <w:w w:val="100"/>
          <w:kern w:val="0"/>
          <w:position w:val="0"/>
          <w:sz w:val="24"/>
          <w:szCs w:val="24"/>
          <w:lang w:eastAsia="zh-CN"/>
        </w:rPr>
        <w:t>封盖板内需塞放吸声棉，封盖板与立柱底板、护栏或基础上沿使用橡胶条配合密封胶处理好缝隙；立柱与底板焊接应在工厂内完成；板材与板材、板材与基础的连接缝密实，不留缝隙；声屏障通透隔声板安装完毕后，对通透隔声板底部进行密封，防止漏声</w:t>
      </w:r>
      <w:r>
        <w:rPr>
          <w:rFonts w:hint="default" w:ascii="Times New Roman" w:hAnsi="Times New Roman" w:eastAsia="宋体" w:cs="Times New Roman"/>
          <w:color w:val="auto"/>
          <w:spacing w:val="0"/>
          <w:w w:val="100"/>
          <w:kern w:val="0"/>
          <w:position w:val="0"/>
          <w:sz w:val="24"/>
          <w:szCs w:val="24"/>
        </w:rPr>
        <w:t>。</w:t>
      </w:r>
    </w:p>
    <w:p w14:paraId="403C5C8A">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753100" cy="2339340"/>
            <wp:effectExtent l="0" t="0" r="0" b="381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33"/>
                    <a:srcRect t="4213" b="6143"/>
                    <a:stretch>
                      <a:fillRect/>
                    </a:stretch>
                  </pic:blipFill>
                  <pic:spPr>
                    <a:xfrm>
                      <a:off x="0" y="0"/>
                      <a:ext cx="5753100" cy="2339340"/>
                    </a:xfrm>
                    <a:prstGeom prst="rect">
                      <a:avLst/>
                    </a:prstGeom>
                    <a:noFill/>
                    <a:ln>
                      <a:noFill/>
                    </a:ln>
                  </pic:spPr>
                </pic:pic>
              </a:graphicData>
            </a:graphic>
          </wp:inline>
        </w:drawing>
      </w:r>
    </w:p>
    <w:p w14:paraId="601A172F">
      <w:pPr>
        <w:pStyle w:val="24"/>
        <w:jc w:val="center"/>
        <w:rPr>
          <w:rFonts w:hint="default" w:ascii="Times New Roman" w:hAnsi="Times New Roman" w:eastAsia="宋体" w:cs="Times New Roman"/>
          <w:b/>
          <w:bCs/>
          <w:color w:val="auto"/>
          <w:sz w:val="21"/>
          <w:szCs w:val="21"/>
        </w:rPr>
      </w:pPr>
      <w:bookmarkStart w:id="63" w:name="_Toc9418"/>
      <w:bookmarkStart w:id="64" w:name="_Toc9234"/>
      <w:r>
        <w:rPr>
          <w:rFonts w:hint="default" w:ascii="Times New Roman" w:hAnsi="Times New Roman" w:eastAsia="宋体" w:cs="Times New Roman"/>
          <w:b/>
          <w:bCs/>
          <w:snapToGrid w:val="0"/>
          <w:color w:val="auto"/>
          <w:kern w:val="0"/>
          <w:sz w:val="21"/>
          <w:szCs w:val="21"/>
          <w:lang w:val="en-US" w:eastAsia="en-US" w:bidi="ar-SA"/>
        </w:rPr>
        <w:t>图2.</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en-US" w:bidi="ar-SA"/>
        </w:rPr>
        <w:t>-</w:t>
      </w:r>
      <w:r>
        <w:rPr>
          <w:rFonts w:hint="eastAsia" w:cs="Times New Roman"/>
          <w:b/>
          <w:bCs/>
          <w:snapToGrid w:val="0"/>
          <w:color w:val="auto"/>
          <w:kern w:val="0"/>
          <w:sz w:val="21"/>
          <w:szCs w:val="21"/>
          <w:lang w:val="en-US" w:eastAsia="zh-CN" w:bidi="ar-SA"/>
        </w:rPr>
        <w:t>8</w:t>
      </w:r>
      <w:r>
        <w:rPr>
          <w:rFonts w:hint="default" w:ascii="Times New Roman" w:hAnsi="Times New Roman" w:eastAsia="宋体" w:cs="Times New Roman"/>
          <w:b/>
          <w:bCs/>
          <w:snapToGrid w:val="0"/>
          <w:color w:val="auto"/>
          <w:kern w:val="0"/>
          <w:sz w:val="21"/>
          <w:szCs w:val="21"/>
          <w:lang w:val="en-US" w:eastAsia="en-US" w:bidi="ar-SA"/>
        </w:rPr>
        <w:t xml:space="preserve">  </w:t>
      </w:r>
      <w:r>
        <w:rPr>
          <w:rFonts w:hint="default" w:ascii="Times New Roman" w:hAnsi="Times New Roman" w:eastAsia="宋体" w:cs="Times New Roman"/>
          <w:b/>
          <w:bCs/>
          <w:color w:val="auto"/>
          <w:sz w:val="21"/>
          <w:szCs w:val="21"/>
          <w:lang w:val="en-US" w:eastAsia="zh-CN"/>
        </w:rPr>
        <w:t>3m</w:t>
      </w:r>
      <w:r>
        <w:rPr>
          <w:rFonts w:hint="default" w:ascii="Times New Roman" w:hAnsi="Times New Roman" w:eastAsia="宋体" w:cs="Times New Roman"/>
          <w:b/>
          <w:bCs/>
          <w:color w:val="auto"/>
          <w:sz w:val="21"/>
          <w:szCs w:val="21"/>
        </w:rPr>
        <w:t>隔声屏障典型设计图</w:t>
      </w:r>
      <w:bookmarkEnd w:id="63"/>
      <w:bookmarkEnd w:id="64"/>
    </w:p>
    <w:p w14:paraId="6EC357A0">
      <w:pPr>
        <w:pStyle w:val="4"/>
        <w:keepNext/>
        <w:keepLines/>
        <w:pageBreakBefore w:val="0"/>
        <w:numPr>
          <w:ilvl w:val="0"/>
          <w:numId w:val="0"/>
        </w:numPr>
        <w:tabs>
          <w:tab w:val="left" w:pos="0"/>
        </w:tabs>
        <w:wordWrap/>
        <w:topLinePunct w:val="0"/>
        <w:autoSpaceDE w:val="0"/>
        <w:autoSpaceDN w:val="0"/>
        <w:bidi w:val="0"/>
        <w:adjustRightInd w:val="0"/>
        <w:snapToGrid w:val="0"/>
        <w:spacing w:beforeLines="0"/>
        <w:ind w:left="0" w:leftChars="0" w:firstLine="0" w:firstLineChars="0"/>
        <w:textAlignment w:val="baseline"/>
        <w:rPr>
          <w:rFonts w:hint="default" w:ascii="Times New Roman" w:hAnsi="Times New Roman" w:eastAsia="宋体" w:cs="Times New Roman"/>
          <w:b/>
          <w:snapToGrid w:val="0"/>
          <w:color w:val="auto"/>
          <w:kern w:val="0"/>
          <w:sz w:val="30"/>
          <w:szCs w:val="30"/>
          <w:lang w:val="en-US" w:eastAsia="zh-CN" w:bidi="ar-SA"/>
        </w:rPr>
      </w:pPr>
      <w:r>
        <w:rPr>
          <w:rFonts w:hint="default" w:ascii="Times New Roman" w:hAnsi="Times New Roman" w:eastAsia="宋体" w:cs="Times New Roman"/>
          <w:b/>
          <w:snapToGrid w:val="0"/>
          <w:color w:val="auto"/>
          <w:kern w:val="0"/>
          <w:sz w:val="30"/>
          <w:szCs w:val="30"/>
          <w:lang w:val="en-US" w:eastAsia="zh-CN" w:bidi="ar-SA"/>
        </w:rPr>
        <w:t>2.</w:t>
      </w:r>
      <w:r>
        <w:rPr>
          <w:rFonts w:hint="eastAsia" w:cs="Times New Roman"/>
          <w:b/>
          <w:snapToGrid w:val="0"/>
          <w:color w:val="auto"/>
          <w:kern w:val="0"/>
          <w:sz w:val="30"/>
          <w:szCs w:val="30"/>
          <w:lang w:val="en-US" w:eastAsia="zh-CN" w:bidi="ar-SA"/>
        </w:rPr>
        <w:t>3</w:t>
      </w:r>
      <w:r>
        <w:rPr>
          <w:rFonts w:hint="default" w:ascii="Times New Roman" w:hAnsi="Times New Roman" w:eastAsia="宋体" w:cs="Times New Roman"/>
          <w:b/>
          <w:snapToGrid w:val="0"/>
          <w:color w:val="auto"/>
          <w:kern w:val="0"/>
          <w:sz w:val="30"/>
          <w:szCs w:val="30"/>
          <w:lang w:val="en-US" w:eastAsia="zh-CN" w:bidi="ar-SA"/>
        </w:rPr>
        <w:t>.</w:t>
      </w:r>
      <w:r>
        <w:rPr>
          <w:rFonts w:hint="eastAsia" w:cs="Times New Roman"/>
          <w:b/>
          <w:snapToGrid w:val="0"/>
          <w:color w:val="auto"/>
          <w:kern w:val="0"/>
          <w:sz w:val="30"/>
          <w:szCs w:val="30"/>
          <w:lang w:val="en-US" w:eastAsia="zh-CN" w:bidi="ar-SA"/>
        </w:rPr>
        <w:t xml:space="preserve">10 </w:t>
      </w:r>
      <w:r>
        <w:rPr>
          <w:rFonts w:hint="default" w:ascii="Times New Roman" w:hAnsi="Times New Roman" w:eastAsia="宋体" w:cs="Times New Roman"/>
          <w:b/>
          <w:snapToGrid w:val="0"/>
          <w:color w:val="auto"/>
          <w:kern w:val="0"/>
          <w:sz w:val="30"/>
          <w:szCs w:val="30"/>
          <w:lang w:val="en-US" w:eastAsia="zh-CN" w:bidi="ar-SA"/>
        </w:rPr>
        <w:t>改移工程</w:t>
      </w:r>
    </w:p>
    <w:p w14:paraId="76463F50">
      <w:pPr>
        <w:bidi w:val="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本项目高速公路与地方道路多处相交，需对相交的地方公路进行改移，以维持原有路网的通畅。本项目共改移道路4158.321m/9处，原有道路为2.5m</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5.0m宽的水泥砼路面，改移后，分别设置通道下穿/天桥上跨主线，改移后路基宽度4.5m</w:t>
      </w:r>
      <w:r>
        <w:rPr>
          <w:rFonts w:hint="eastAsia" w:cs="Times New Roman"/>
          <w:color w:val="auto"/>
          <w:spacing w:val="0"/>
          <w:w w:val="100"/>
          <w:kern w:val="0"/>
          <w:position w:val="0"/>
          <w:sz w:val="24"/>
          <w:szCs w:val="24"/>
          <w:lang w:val="en-US" w:eastAsia="zh-CN"/>
        </w:rPr>
        <w:t>～</w:t>
      </w:r>
      <w:r>
        <w:rPr>
          <w:rFonts w:hint="default" w:ascii="Times New Roman" w:hAnsi="Times New Roman" w:eastAsia="宋体" w:cs="Times New Roman"/>
          <w:color w:val="auto"/>
          <w:spacing w:val="0"/>
          <w:w w:val="100"/>
          <w:kern w:val="0"/>
          <w:position w:val="0"/>
          <w:sz w:val="24"/>
          <w:szCs w:val="24"/>
          <w:lang w:val="en-US" w:eastAsia="zh-CN"/>
        </w:rPr>
        <w:t>6.5m。</w:t>
      </w:r>
    </w:p>
    <w:p w14:paraId="1EAFA9EF">
      <w:pPr>
        <w:pStyle w:val="38"/>
        <w:bidi w:val="0"/>
        <w:outlineLvl w:val="9"/>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表2.</w:t>
      </w:r>
      <w:r>
        <w:rPr>
          <w:rFonts w:hint="eastAsia"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lang w:val="en-US" w:eastAsia="zh-CN"/>
        </w:rPr>
        <w:t>-</w:t>
      </w:r>
      <w:r>
        <w:rPr>
          <w:rFonts w:hint="eastAsia"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val="en-US" w:eastAsia="zh-CN"/>
        </w:rPr>
        <w:t>2   改移地方道路一览表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1243"/>
        <w:gridCol w:w="1684"/>
        <w:gridCol w:w="2280"/>
        <w:gridCol w:w="1379"/>
        <w:gridCol w:w="1078"/>
        <w:gridCol w:w="1520"/>
      </w:tblGrid>
      <w:tr w14:paraId="58B7B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88" w:type="pct"/>
            <w:vMerge w:val="restart"/>
            <w:noWrap w:val="0"/>
            <w:vAlign w:val="center"/>
          </w:tcPr>
          <w:p w14:paraId="303C8E4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序号</w:t>
            </w:r>
          </w:p>
        </w:tc>
        <w:tc>
          <w:tcPr>
            <w:tcW w:w="624" w:type="pct"/>
            <w:vMerge w:val="restart"/>
            <w:noWrap w:val="0"/>
            <w:vAlign w:val="center"/>
          </w:tcPr>
          <w:p w14:paraId="54C93B03">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中心桩号</w:t>
            </w:r>
          </w:p>
        </w:tc>
        <w:tc>
          <w:tcPr>
            <w:tcW w:w="845" w:type="pct"/>
            <w:vMerge w:val="restart"/>
            <w:noWrap w:val="0"/>
            <w:vAlign w:val="center"/>
          </w:tcPr>
          <w:p w14:paraId="4D613902">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原路状况</w:t>
            </w:r>
          </w:p>
        </w:tc>
        <w:tc>
          <w:tcPr>
            <w:tcW w:w="1144" w:type="pct"/>
            <w:vMerge w:val="restart"/>
            <w:noWrap w:val="0"/>
            <w:vAlign w:val="center"/>
          </w:tcPr>
          <w:p w14:paraId="2D8205C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改移方案简述</w:t>
            </w:r>
          </w:p>
        </w:tc>
        <w:tc>
          <w:tcPr>
            <w:tcW w:w="692" w:type="pct"/>
            <w:noWrap w:val="0"/>
            <w:vAlign w:val="center"/>
          </w:tcPr>
          <w:p w14:paraId="30E831C0">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路面宽度</w:t>
            </w:r>
          </w:p>
        </w:tc>
        <w:tc>
          <w:tcPr>
            <w:tcW w:w="541" w:type="pct"/>
            <w:noWrap w:val="0"/>
            <w:vAlign w:val="center"/>
          </w:tcPr>
          <w:p w14:paraId="6E2067EB">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长度</w:t>
            </w:r>
          </w:p>
        </w:tc>
        <w:tc>
          <w:tcPr>
            <w:tcW w:w="763" w:type="pct"/>
            <w:vMerge w:val="restart"/>
            <w:noWrap w:val="0"/>
            <w:vAlign w:val="center"/>
          </w:tcPr>
          <w:p w14:paraId="61144946">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道路等级</w:t>
            </w:r>
          </w:p>
        </w:tc>
      </w:tr>
      <w:tr w14:paraId="2636B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88" w:type="pct"/>
            <w:vMerge w:val="continue"/>
            <w:noWrap w:val="0"/>
            <w:vAlign w:val="center"/>
          </w:tcPr>
          <w:p w14:paraId="66F19DAD">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p>
        </w:tc>
        <w:tc>
          <w:tcPr>
            <w:tcW w:w="624" w:type="pct"/>
            <w:vMerge w:val="continue"/>
            <w:noWrap w:val="0"/>
            <w:vAlign w:val="center"/>
          </w:tcPr>
          <w:p w14:paraId="243D0E6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p>
        </w:tc>
        <w:tc>
          <w:tcPr>
            <w:tcW w:w="845" w:type="pct"/>
            <w:vMerge w:val="continue"/>
            <w:noWrap w:val="0"/>
            <w:vAlign w:val="center"/>
          </w:tcPr>
          <w:p w14:paraId="4502F280">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p>
        </w:tc>
        <w:tc>
          <w:tcPr>
            <w:tcW w:w="1144" w:type="pct"/>
            <w:vMerge w:val="continue"/>
            <w:noWrap w:val="0"/>
            <w:vAlign w:val="center"/>
          </w:tcPr>
          <w:p w14:paraId="040C208D">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p>
        </w:tc>
        <w:tc>
          <w:tcPr>
            <w:tcW w:w="692" w:type="pct"/>
            <w:noWrap w:val="0"/>
            <w:vAlign w:val="center"/>
          </w:tcPr>
          <w:p w14:paraId="7857578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(m)</w:t>
            </w:r>
          </w:p>
        </w:tc>
        <w:tc>
          <w:tcPr>
            <w:tcW w:w="541" w:type="pct"/>
            <w:noWrap w:val="0"/>
            <w:vAlign w:val="center"/>
          </w:tcPr>
          <w:p w14:paraId="778D2CCF">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(m)</w:t>
            </w:r>
          </w:p>
        </w:tc>
        <w:tc>
          <w:tcPr>
            <w:tcW w:w="763" w:type="pct"/>
            <w:vMerge w:val="continue"/>
            <w:noWrap w:val="0"/>
            <w:vAlign w:val="center"/>
          </w:tcPr>
          <w:p w14:paraId="04A98F9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p>
        </w:tc>
      </w:tr>
      <w:tr w14:paraId="20168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526926F1">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1</w:t>
            </w:r>
          </w:p>
        </w:tc>
        <w:tc>
          <w:tcPr>
            <w:tcW w:w="624" w:type="pct"/>
            <w:noWrap w:val="0"/>
            <w:vAlign w:val="center"/>
          </w:tcPr>
          <w:p w14:paraId="73110D5B">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K79+270</w:t>
            </w:r>
          </w:p>
        </w:tc>
        <w:tc>
          <w:tcPr>
            <w:tcW w:w="845" w:type="pct"/>
            <w:noWrap w:val="0"/>
            <w:vAlign w:val="center"/>
          </w:tcPr>
          <w:p w14:paraId="7375651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4.5m水泥砼</w:t>
            </w:r>
          </w:p>
        </w:tc>
        <w:tc>
          <w:tcPr>
            <w:tcW w:w="1144" w:type="pct"/>
            <w:noWrap w:val="0"/>
            <w:vAlign w:val="center"/>
          </w:tcPr>
          <w:p w14:paraId="71DDDC15">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设置天桥上跨主线</w:t>
            </w:r>
          </w:p>
        </w:tc>
        <w:tc>
          <w:tcPr>
            <w:tcW w:w="692" w:type="pct"/>
            <w:noWrap w:val="0"/>
            <w:vAlign w:val="center"/>
          </w:tcPr>
          <w:p w14:paraId="1F897971">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41CB73C9">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715.416</w:t>
            </w:r>
          </w:p>
        </w:tc>
        <w:tc>
          <w:tcPr>
            <w:tcW w:w="763" w:type="pct"/>
            <w:noWrap w:val="0"/>
            <w:vAlign w:val="center"/>
          </w:tcPr>
          <w:p w14:paraId="3DA09036">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580F2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6D72EFAD">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2</w:t>
            </w:r>
          </w:p>
        </w:tc>
        <w:tc>
          <w:tcPr>
            <w:tcW w:w="624" w:type="pct"/>
            <w:noWrap w:val="0"/>
            <w:vAlign w:val="center"/>
          </w:tcPr>
          <w:p w14:paraId="2A276276">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K78+180</w:t>
            </w:r>
          </w:p>
        </w:tc>
        <w:tc>
          <w:tcPr>
            <w:tcW w:w="845" w:type="pct"/>
            <w:noWrap w:val="0"/>
            <w:vAlign w:val="center"/>
          </w:tcPr>
          <w:p w14:paraId="6EEAFA72">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4.5m水泥砼</w:t>
            </w:r>
          </w:p>
        </w:tc>
        <w:tc>
          <w:tcPr>
            <w:tcW w:w="1144" w:type="pct"/>
            <w:noWrap w:val="0"/>
            <w:vAlign w:val="center"/>
          </w:tcPr>
          <w:p w14:paraId="438879A2">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设置通道下穿主线</w:t>
            </w:r>
          </w:p>
        </w:tc>
        <w:tc>
          <w:tcPr>
            <w:tcW w:w="692" w:type="pct"/>
            <w:noWrap w:val="0"/>
            <w:vAlign w:val="center"/>
          </w:tcPr>
          <w:p w14:paraId="5873F8A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19D4DBF4">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1011.771</w:t>
            </w:r>
          </w:p>
        </w:tc>
        <w:tc>
          <w:tcPr>
            <w:tcW w:w="763" w:type="pct"/>
            <w:noWrap w:val="0"/>
            <w:vAlign w:val="center"/>
          </w:tcPr>
          <w:p w14:paraId="2F7B3A9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0C08E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55715EF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w:t>
            </w:r>
          </w:p>
        </w:tc>
        <w:tc>
          <w:tcPr>
            <w:tcW w:w="624" w:type="pct"/>
            <w:noWrap w:val="0"/>
            <w:vAlign w:val="center"/>
          </w:tcPr>
          <w:p w14:paraId="5DC6DCA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K77+680</w:t>
            </w:r>
          </w:p>
        </w:tc>
        <w:tc>
          <w:tcPr>
            <w:tcW w:w="845" w:type="pct"/>
            <w:noWrap w:val="0"/>
            <w:vAlign w:val="center"/>
          </w:tcPr>
          <w:p w14:paraId="4F38BDC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4.0m水泥砼</w:t>
            </w:r>
          </w:p>
        </w:tc>
        <w:tc>
          <w:tcPr>
            <w:tcW w:w="1144" w:type="pct"/>
            <w:noWrap w:val="0"/>
            <w:vAlign w:val="center"/>
          </w:tcPr>
          <w:p w14:paraId="3B024FD2">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设置通道下穿主线</w:t>
            </w:r>
          </w:p>
        </w:tc>
        <w:tc>
          <w:tcPr>
            <w:tcW w:w="692" w:type="pct"/>
            <w:noWrap w:val="0"/>
            <w:vAlign w:val="center"/>
          </w:tcPr>
          <w:p w14:paraId="3E3F60C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30BBA929">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378.260</w:t>
            </w:r>
          </w:p>
        </w:tc>
        <w:tc>
          <w:tcPr>
            <w:tcW w:w="763" w:type="pct"/>
            <w:noWrap w:val="0"/>
            <w:vAlign w:val="center"/>
          </w:tcPr>
          <w:p w14:paraId="23F03F90">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5A419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170903D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w:t>
            </w:r>
          </w:p>
        </w:tc>
        <w:tc>
          <w:tcPr>
            <w:tcW w:w="624" w:type="pct"/>
            <w:noWrap w:val="0"/>
            <w:vAlign w:val="center"/>
          </w:tcPr>
          <w:p w14:paraId="751EF2D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K75+858</w:t>
            </w:r>
          </w:p>
        </w:tc>
        <w:tc>
          <w:tcPr>
            <w:tcW w:w="845" w:type="pct"/>
            <w:noWrap w:val="0"/>
            <w:vAlign w:val="center"/>
          </w:tcPr>
          <w:p w14:paraId="75B26613">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3.5m水泥砼</w:t>
            </w:r>
          </w:p>
        </w:tc>
        <w:tc>
          <w:tcPr>
            <w:tcW w:w="1144" w:type="pct"/>
            <w:noWrap w:val="0"/>
            <w:vAlign w:val="center"/>
          </w:tcPr>
          <w:p w14:paraId="07E76EA2">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设置天桥上跨主线</w:t>
            </w:r>
          </w:p>
        </w:tc>
        <w:tc>
          <w:tcPr>
            <w:tcW w:w="692" w:type="pct"/>
            <w:noWrap w:val="0"/>
            <w:vAlign w:val="center"/>
          </w:tcPr>
          <w:p w14:paraId="6AD6FFB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6BAD1E8C">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374.500</w:t>
            </w:r>
          </w:p>
        </w:tc>
        <w:tc>
          <w:tcPr>
            <w:tcW w:w="763" w:type="pct"/>
            <w:noWrap w:val="0"/>
            <w:vAlign w:val="center"/>
          </w:tcPr>
          <w:p w14:paraId="305A021F">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6104E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48C1EF0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5</w:t>
            </w:r>
          </w:p>
        </w:tc>
        <w:tc>
          <w:tcPr>
            <w:tcW w:w="624" w:type="pct"/>
            <w:noWrap w:val="0"/>
            <w:vAlign w:val="center"/>
          </w:tcPr>
          <w:p w14:paraId="0609690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K74+540</w:t>
            </w:r>
          </w:p>
        </w:tc>
        <w:tc>
          <w:tcPr>
            <w:tcW w:w="845" w:type="pct"/>
            <w:noWrap w:val="0"/>
            <w:vAlign w:val="center"/>
          </w:tcPr>
          <w:p w14:paraId="1D4607D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4.5m水泥砼</w:t>
            </w:r>
          </w:p>
        </w:tc>
        <w:tc>
          <w:tcPr>
            <w:tcW w:w="1144" w:type="pct"/>
            <w:noWrap w:val="0"/>
            <w:vAlign w:val="center"/>
          </w:tcPr>
          <w:p w14:paraId="178F0AD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设置天桥上跨主线</w:t>
            </w:r>
          </w:p>
        </w:tc>
        <w:tc>
          <w:tcPr>
            <w:tcW w:w="692" w:type="pct"/>
            <w:noWrap w:val="0"/>
            <w:vAlign w:val="center"/>
          </w:tcPr>
          <w:p w14:paraId="087D848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352030B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494.270</w:t>
            </w:r>
          </w:p>
        </w:tc>
        <w:tc>
          <w:tcPr>
            <w:tcW w:w="763" w:type="pct"/>
            <w:noWrap w:val="0"/>
            <w:vAlign w:val="center"/>
          </w:tcPr>
          <w:p w14:paraId="6935FAE3">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34FD7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5953383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6</w:t>
            </w:r>
          </w:p>
        </w:tc>
        <w:tc>
          <w:tcPr>
            <w:tcW w:w="624" w:type="pct"/>
            <w:noWrap w:val="0"/>
            <w:vAlign w:val="center"/>
          </w:tcPr>
          <w:p w14:paraId="21C73B65">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K72+454</w:t>
            </w:r>
          </w:p>
        </w:tc>
        <w:tc>
          <w:tcPr>
            <w:tcW w:w="845" w:type="pct"/>
            <w:noWrap w:val="0"/>
            <w:vAlign w:val="center"/>
          </w:tcPr>
          <w:p w14:paraId="1723E54B">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4.0m水泥砼</w:t>
            </w:r>
          </w:p>
        </w:tc>
        <w:tc>
          <w:tcPr>
            <w:tcW w:w="1144" w:type="pct"/>
            <w:noWrap w:val="0"/>
            <w:vAlign w:val="center"/>
          </w:tcPr>
          <w:p w14:paraId="40596FAF">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设置通道下穿主线</w:t>
            </w:r>
          </w:p>
        </w:tc>
        <w:tc>
          <w:tcPr>
            <w:tcW w:w="692" w:type="pct"/>
            <w:noWrap w:val="0"/>
            <w:vAlign w:val="center"/>
          </w:tcPr>
          <w:p w14:paraId="6A4144F4">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1568ECE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334.807</w:t>
            </w:r>
          </w:p>
        </w:tc>
        <w:tc>
          <w:tcPr>
            <w:tcW w:w="763" w:type="pct"/>
            <w:noWrap w:val="0"/>
            <w:vAlign w:val="center"/>
          </w:tcPr>
          <w:p w14:paraId="3D55034F">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538DB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6B4F9DC9">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7</w:t>
            </w:r>
          </w:p>
        </w:tc>
        <w:tc>
          <w:tcPr>
            <w:tcW w:w="624" w:type="pct"/>
            <w:noWrap w:val="0"/>
            <w:vAlign w:val="center"/>
          </w:tcPr>
          <w:p w14:paraId="54CD5094">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K71+465</w:t>
            </w:r>
          </w:p>
        </w:tc>
        <w:tc>
          <w:tcPr>
            <w:tcW w:w="845" w:type="pct"/>
            <w:noWrap w:val="0"/>
            <w:vAlign w:val="center"/>
          </w:tcPr>
          <w:p w14:paraId="07806F5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5.0m水泥砼</w:t>
            </w:r>
          </w:p>
        </w:tc>
        <w:tc>
          <w:tcPr>
            <w:tcW w:w="1144" w:type="pct"/>
            <w:noWrap w:val="0"/>
            <w:vAlign w:val="center"/>
          </w:tcPr>
          <w:p w14:paraId="3A89311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下穿新桂大桥</w:t>
            </w:r>
          </w:p>
        </w:tc>
        <w:tc>
          <w:tcPr>
            <w:tcW w:w="692" w:type="pct"/>
            <w:noWrap w:val="0"/>
            <w:vAlign w:val="center"/>
          </w:tcPr>
          <w:p w14:paraId="760B862B">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6.5</w:t>
            </w:r>
          </w:p>
        </w:tc>
        <w:tc>
          <w:tcPr>
            <w:tcW w:w="541" w:type="pct"/>
            <w:noWrap w:val="0"/>
            <w:vAlign w:val="center"/>
          </w:tcPr>
          <w:p w14:paraId="2343A77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260.265</w:t>
            </w:r>
          </w:p>
        </w:tc>
        <w:tc>
          <w:tcPr>
            <w:tcW w:w="763" w:type="pct"/>
            <w:noWrap w:val="0"/>
            <w:vAlign w:val="center"/>
          </w:tcPr>
          <w:p w14:paraId="64C192A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四级公路</w:t>
            </w:r>
          </w:p>
        </w:tc>
      </w:tr>
      <w:tr w14:paraId="1053D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1D9E2CD7">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8</w:t>
            </w:r>
          </w:p>
        </w:tc>
        <w:tc>
          <w:tcPr>
            <w:tcW w:w="624" w:type="pct"/>
            <w:noWrap w:val="0"/>
            <w:vAlign w:val="center"/>
          </w:tcPr>
          <w:p w14:paraId="6C7C4EC1">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K70+738</w:t>
            </w:r>
          </w:p>
        </w:tc>
        <w:tc>
          <w:tcPr>
            <w:tcW w:w="845" w:type="pct"/>
            <w:noWrap w:val="0"/>
            <w:vAlign w:val="center"/>
          </w:tcPr>
          <w:p w14:paraId="66057C49">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3.5m水泥砼</w:t>
            </w:r>
          </w:p>
        </w:tc>
        <w:tc>
          <w:tcPr>
            <w:tcW w:w="1144" w:type="pct"/>
            <w:noWrap w:val="0"/>
            <w:vAlign w:val="center"/>
          </w:tcPr>
          <w:p w14:paraId="3DB9427F">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设置通道下穿主线</w:t>
            </w:r>
          </w:p>
        </w:tc>
        <w:tc>
          <w:tcPr>
            <w:tcW w:w="692" w:type="pct"/>
            <w:noWrap w:val="0"/>
            <w:vAlign w:val="center"/>
          </w:tcPr>
          <w:p w14:paraId="06E2DA29">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5463EA2E">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382.132</w:t>
            </w:r>
          </w:p>
        </w:tc>
        <w:tc>
          <w:tcPr>
            <w:tcW w:w="763" w:type="pct"/>
            <w:noWrap w:val="0"/>
            <w:vAlign w:val="center"/>
          </w:tcPr>
          <w:p w14:paraId="3FDE814F">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r w14:paraId="63368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pct"/>
            <w:noWrap w:val="0"/>
            <w:vAlign w:val="center"/>
          </w:tcPr>
          <w:p w14:paraId="2AB94554">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9</w:t>
            </w:r>
          </w:p>
        </w:tc>
        <w:tc>
          <w:tcPr>
            <w:tcW w:w="624" w:type="pct"/>
            <w:noWrap w:val="0"/>
            <w:vAlign w:val="center"/>
          </w:tcPr>
          <w:p w14:paraId="558B09FD">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K70+225</w:t>
            </w:r>
          </w:p>
        </w:tc>
        <w:tc>
          <w:tcPr>
            <w:tcW w:w="845" w:type="pct"/>
            <w:noWrap w:val="0"/>
            <w:vAlign w:val="center"/>
          </w:tcPr>
          <w:p w14:paraId="7F9A17AA">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2.5m水泥砼</w:t>
            </w:r>
          </w:p>
        </w:tc>
        <w:tc>
          <w:tcPr>
            <w:tcW w:w="1144" w:type="pct"/>
            <w:noWrap w:val="0"/>
            <w:vAlign w:val="center"/>
          </w:tcPr>
          <w:p w14:paraId="3F2D28C5">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设置通道下穿主线</w:t>
            </w:r>
          </w:p>
        </w:tc>
        <w:tc>
          <w:tcPr>
            <w:tcW w:w="692" w:type="pct"/>
            <w:noWrap w:val="0"/>
            <w:vAlign w:val="center"/>
          </w:tcPr>
          <w:p w14:paraId="4E93F9B8">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4.5</w:t>
            </w:r>
          </w:p>
        </w:tc>
        <w:tc>
          <w:tcPr>
            <w:tcW w:w="541" w:type="pct"/>
            <w:noWrap w:val="0"/>
            <w:vAlign w:val="center"/>
          </w:tcPr>
          <w:p w14:paraId="4475ACD2">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206.900</w:t>
            </w:r>
          </w:p>
        </w:tc>
        <w:tc>
          <w:tcPr>
            <w:tcW w:w="763" w:type="pct"/>
            <w:noWrap w:val="0"/>
            <w:vAlign w:val="center"/>
          </w:tcPr>
          <w:p w14:paraId="38784005">
            <w:pPr>
              <w:keepNext w:val="0"/>
              <w:keepLines/>
              <w:pageBreakBefore w:val="0"/>
              <w:widowControl w:val="0"/>
              <w:kinsoku/>
              <w:wordWrap/>
              <w:overflowPunct w:val="0"/>
              <w:topLinePunct w:val="0"/>
              <w:autoSpaceDE/>
              <w:autoSpaceDN/>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等级外</w:t>
            </w:r>
          </w:p>
        </w:tc>
      </w:tr>
    </w:tbl>
    <w:p w14:paraId="620EC813">
      <w:pPr>
        <w:pStyle w:val="4"/>
        <w:keepNext/>
        <w:keepLines/>
        <w:pageBreakBefore w:val="0"/>
        <w:widowControl w:val="0"/>
        <w:numPr>
          <w:ilvl w:val="0"/>
          <w:numId w:val="0"/>
        </w:numPr>
        <w:tabs>
          <w:tab w:val="left" w:pos="0"/>
        </w:tabs>
        <w:kinsoku/>
        <w:wordWrap/>
        <w:overflowPunct/>
        <w:topLinePunct w:val="0"/>
        <w:autoSpaceDE w:val="0"/>
        <w:autoSpaceDN w:val="0"/>
        <w:bidi w:val="0"/>
        <w:adjustRightInd w:val="0"/>
        <w:snapToGrid w:val="0"/>
        <w:spacing w:beforeLines="0" w:line="360" w:lineRule="auto"/>
        <w:ind w:left="0" w:leftChars="0" w:firstLine="0" w:firstLineChars="0"/>
        <w:textAlignment w:val="baseline"/>
        <w:rPr>
          <w:rFonts w:hint="default" w:ascii="Times New Roman" w:hAnsi="Times New Roman" w:eastAsia="宋体" w:cs="Times New Roman"/>
          <w:b/>
          <w:snapToGrid w:val="0"/>
          <w:color w:val="auto"/>
          <w:kern w:val="0"/>
          <w:sz w:val="30"/>
          <w:szCs w:val="30"/>
          <w:lang w:val="en-US" w:eastAsia="zh-CN" w:bidi="ar-SA"/>
        </w:rPr>
      </w:pPr>
      <w:bookmarkStart w:id="65" w:name="_Toc9208"/>
      <w:bookmarkStart w:id="66" w:name="_Toc27739"/>
      <w:bookmarkStart w:id="67" w:name="_Toc12869"/>
      <w:bookmarkStart w:id="68" w:name="_Toc1637"/>
      <w:bookmarkStart w:id="69" w:name="_Toc1159"/>
      <w:r>
        <w:rPr>
          <w:rFonts w:hint="default" w:ascii="Times New Roman" w:hAnsi="Times New Roman" w:eastAsia="宋体" w:cs="Times New Roman"/>
          <w:b/>
          <w:snapToGrid w:val="0"/>
          <w:color w:val="auto"/>
          <w:kern w:val="0"/>
          <w:sz w:val="30"/>
          <w:szCs w:val="30"/>
          <w:lang w:val="en-US" w:eastAsia="zh-CN" w:bidi="ar-SA"/>
        </w:rPr>
        <w:t>2.</w:t>
      </w:r>
      <w:r>
        <w:rPr>
          <w:rFonts w:hint="eastAsia" w:ascii="Times New Roman" w:hAnsi="Times New Roman" w:eastAsia="宋体" w:cs="Times New Roman"/>
          <w:b/>
          <w:snapToGrid w:val="0"/>
          <w:color w:val="auto"/>
          <w:kern w:val="0"/>
          <w:sz w:val="30"/>
          <w:szCs w:val="30"/>
          <w:lang w:val="en-US" w:eastAsia="zh-CN" w:bidi="ar-SA"/>
        </w:rPr>
        <w:t>3.11</w:t>
      </w:r>
      <w:r>
        <w:rPr>
          <w:rFonts w:hint="default" w:ascii="Times New Roman" w:hAnsi="Times New Roman" w:eastAsia="宋体" w:cs="Times New Roman"/>
          <w:b/>
          <w:snapToGrid w:val="0"/>
          <w:color w:val="auto"/>
          <w:kern w:val="0"/>
          <w:sz w:val="30"/>
          <w:szCs w:val="30"/>
          <w:lang w:val="en-US" w:eastAsia="zh-CN" w:bidi="ar-SA"/>
        </w:rPr>
        <w:t xml:space="preserve"> </w:t>
      </w:r>
      <w:bookmarkEnd w:id="65"/>
      <w:bookmarkEnd w:id="66"/>
      <w:bookmarkEnd w:id="67"/>
      <w:bookmarkEnd w:id="68"/>
      <w:r>
        <w:rPr>
          <w:rFonts w:hint="default" w:ascii="Times New Roman" w:hAnsi="Times New Roman" w:eastAsia="宋体" w:cs="Times New Roman"/>
          <w:b/>
          <w:snapToGrid w:val="0"/>
          <w:color w:val="auto"/>
          <w:kern w:val="0"/>
          <w:sz w:val="30"/>
          <w:szCs w:val="30"/>
          <w:lang w:val="en-US" w:eastAsia="zh-CN" w:bidi="ar-SA"/>
        </w:rPr>
        <w:t>临时工程</w:t>
      </w:r>
      <w:bookmarkEnd w:id="69"/>
    </w:p>
    <w:p w14:paraId="480857E5">
      <w:pPr>
        <w:pStyle w:val="5"/>
        <w:keepNext/>
        <w:keepLines/>
        <w:pageBreakBefore w:val="0"/>
        <w:widowControl w:val="0"/>
        <w:numPr>
          <w:ilvl w:val="0"/>
          <w:numId w:val="0"/>
        </w:numPr>
        <w:tabs>
          <w:tab w:val="left" w:pos="0"/>
        </w:tabs>
        <w:kinsoku/>
        <w:wordWrap/>
        <w:overflowPunct/>
        <w:topLinePunct w:val="0"/>
        <w:autoSpaceDE w:val="0"/>
        <w:autoSpaceDN w:val="0"/>
        <w:bidi w:val="0"/>
        <w:adjustRightInd w:val="0"/>
        <w:snapToGrid w:val="0"/>
        <w:spacing w:before="0" w:beforeLines="0" w:after="0" w:line="360" w:lineRule="auto"/>
        <w:ind w:left="0" w:leftChars="0" w:firstLine="0" w:firstLineChars="0"/>
        <w:textAlignment w:val="baseline"/>
        <w:rPr>
          <w:rFonts w:hint="default" w:ascii="Times New Roman" w:hAnsi="Times New Roman" w:eastAsia="宋体" w:cs="Times New Roman"/>
          <w:b/>
          <w:snapToGrid w:val="0"/>
          <w:color w:val="auto"/>
          <w:kern w:val="0"/>
          <w:sz w:val="28"/>
          <w:szCs w:val="28"/>
          <w:lang w:val="en-US" w:eastAsia="zh-CN" w:bidi="ar-SA"/>
        </w:rPr>
      </w:pPr>
      <w:r>
        <w:rPr>
          <w:rFonts w:hint="default" w:ascii="Times New Roman" w:hAnsi="Times New Roman" w:eastAsia="宋体" w:cs="Times New Roman"/>
          <w:b/>
          <w:snapToGrid w:val="0"/>
          <w:color w:val="auto"/>
          <w:kern w:val="0"/>
          <w:sz w:val="28"/>
          <w:szCs w:val="28"/>
          <w:lang w:val="en-US" w:eastAsia="zh-CN" w:bidi="ar-SA"/>
        </w:rPr>
        <w:t>2.</w:t>
      </w:r>
      <w:r>
        <w:rPr>
          <w:rFonts w:hint="eastAsia" w:ascii="Times New Roman" w:hAnsi="Times New Roman" w:eastAsia="宋体" w:cs="Times New Roman"/>
          <w:b/>
          <w:snapToGrid w:val="0"/>
          <w:color w:val="auto"/>
          <w:kern w:val="0"/>
          <w:sz w:val="28"/>
          <w:szCs w:val="28"/>
          <w:lang w:val="en-US" w:eastAsia="zh-CN" w:bidi="ar-SA"/>
        </w:rPr>
        <w:t>3.11</w:t>
      </w:r>
      <w:r>
        <w:rPr>
          <w:rFonts w:hint="default" w:ascii="Times New Roman" w:hAnsi="Times New Roman" w:eastAsia="宋体" w:cs="Times New Roman"/>
          <w:b/>
          <w:snapToGrid w:val="0"/>
          <w:color w:val="auto"/>
          <w:kern w:val="0"/>
          <w:sz w:val="28"/>
          <w:szCs w:val="28"/>
          <w:lang w:val="en-US" w:eastAsia="zh-CN" w:bidi="ar-SA"/>
        </w:rPr>
        <w:t>.1 土石方工程</w:t>
      </w:r>
    </w:p>
    <w:p w14:paraId="51F632C2">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rPr>
      </w:pPr>
      <w:r>
        <w:rPr>
          <w:rFonts w:hint="default" w:ascii="Times New Roman" w:hAnsi="Times New Roman" w:cs="Times New Roman"/>
          <w:color w:val="auto"/>
          <w:lang w:val="en-US" w:eastAsia="zh-CN"/>
        </w:rPr>
        <w:t>根据设计文件和</w:t>
      </w:r>
      <w:r>
        <w:rPr>
          <w:rFonts w:hint="default" w:ascii="Times New Roman" w:hAnsi="Times New Roman" w:eastAsia="宋体" w:cs="Times New Roman"/>
          <w:color w:val="auto"/>
        </w:rPr>
        <w:t>施工情况，</w:t>
      </w:r>
      <w:r>
        <w:rPr>
          <w:rFonts w:hint="default" w:ascii="Times New Roman" w:hAnsi="Times New Roman" w:cs="Times New Roman"/>
          <w:color w:val="auto"/>
          <w:lang w:val="en-US" w:eastAsia="zh-CN"/>
        </w:rPr>
        <w:t>项目</w:t>
      </w:r>
      <w:r>
        <w:rPr>
          <w:rFonts w:hint="default" w:ascii="Times New Roman" w:hAnsi="Times New Roman" w:eastAsia="宋体" w:cs="Times New Roman"/>
          <w:color w:val="auto"/>
          <w:sz w:val="24"/>
          <w:szCs w:val="24"/>
          <w:lang w:val="en-US" w:eastAsia="zh-CN"/>
        </w:rPr>
        <w:t>挖方</w:t>
      </w:r>
      <w:r>
        <w:rPr>
          <w:rFonts w:hint="default" w:ascii="Times New Roman" w:hAnsi="Times New Roman" w:eastAsia="宋体" w:cs="Times New Roman"/>
          <w:color w:val="auto"/>
          <w:spacing w:val="-1"/>
          <w:sz w:val="24"/>
          <w:szCs w:val="24"/>
        </w:rPr>
        <w:t>223.44</w:t>
      </w:r>
      <w:r>
        <w:rPr>
          <w:rFonts w:hint="default" w:ascii="Times New Roman" w:hAnsi="Times New Roman" w:eastAsia="宋体" w:cs="Times New Roman"/>
          <w:color w:val="auto"/>
          <w:spacing w:val="8"/>
          <w:sz w:val="24"/>
          <w:szCs w:val="24"/>
        </w:rPr>
        <w:t>万</w:t>
      </w:r>
      <w:r>
        <w:rPr>
          <w:rFonts w:hint="default" w:ascii="Times New Roman" w:hAnsi="Times New Roman" w:eastAsia="宋体" w:cs="Times New Roman"/>
          <w:color w:val="auto"/>
          <w:spacing w:val="-41"/>
          <w:sz w:val="24"/>
          <w:szCs w:val="24"/>
        </w:rPr>
        <w:t xml:space="preserve"> </w:t>
      </w:r>
      <w:r>
        <w:rPr>
          <w:rFonts w:hint="default" w:ascii="Times New Roman" w:hAnsi="Times New Roman" w:eastAsia="宋体" w:cs="Times New Roman"/>
          <w:color w:val="auto"/>
          <w:spacing w:val="8"/>
          <w:sz w:val="24"/>
          <w:szCs w:val="24"/>
        </w:rPr>
        <w:t>m³</w:t>
      </w:r>
      <w:r>
        <w:rPr>
          <w:rFonts w:hint="default" w:ascii="Times New Roman" w:hAnsi="Times New Roman" w:eastAsia="宋体" w:cs="Times New Roman"/>
          <w:color w:val="auto"/>
          <w:spacing w:val="8"/>
          <w:sz w:val="24"/>
          <w:szCs w:val="24"/>
          <w:lang w:eastAsia="zh-CN"/>
        </w:rPr>
        <w:t>，</w:t>
      </w:r>
      <w:r>
        <w:rPr>
          <w:rFonts w:hint="default" w:ascii="Times New Roman" w:hAnsi="Times New Roman" w:eastAsia="宋体" w:cs="Times New Roman"/>
          <w:color w:val="auto"/>
          <w:spacing w:val="-2"/>
          <w:sz w:val="24"/>
          <w:szCs w:val="24"/>
        </w:rPr>
        <w:t>填方</w:t>
      </w:r>
      <w:r>
        <w:rPr>
          <w:rFonts w:hint="default" w:ascii="Times New Roman" w:hAnsi="Times New Roman" w:eastAsia="宋体" w:cs="Times New Roman"/>
          <w:color w:val="auto"/>
          <w:spacing w:val="-4"/>
          <w:sz w:val="24"/>
          <w:szCs w:val="24"/>
        </w:rPr>
        <w:t>193.26</w:t>
      </w:r>
      <w:r>
        <w:rPr>
          <w:rFonts w:hint="default" w:ascii="Times New Roman" w:hAnsi="Times New Roman" w:eastAsia="宋体" w:cs="Times New Roman"/>
          <w:color w:val="auto"/>
          <w:spacing w:val="8"/>
          <w:sz w:val="24"/>
          <w:szCs w:val="24"/>
        </w:rPr>
        <w:t>万</w:t>
      </w:r>
      <w:r>
        <w:rPr>
          <w:rFonts w:hint="default" w:ascii="Times New Roman" w:hAnsi="Times New Roman" w:eastAsia="宋体" w:cs="Times New Roman"/>
          <w:color w:val="auto"/>
          <w:spacing w:val="-41"/>
          <w:sz w:val="24"/>
          <w:szCs w:val="24"/>
        </w:rPr>
        <w:t xml:space="preserve"> </w:t>
      </w:r>
      <w:r>
        <w:rPr>
          <w:rFonts w:hint="default" w:ascii="Times New Roman" w:hAnsi="Times New Roman" w:eastAsia="宋体" w:cs="Times New Roman"/>
          <w:color w:val="auto"/>
          <w:spacing w:val="8"/>
          <w:sz w:val="24"/>
          <w:szCs w:val="24"/>
        </w:rPr>
        <w:t>m³</w:t>
      </w:r>
      <w:r>
        <w:rPr>
          <w:rFonts w:hint="default" w:ascii="Times New Roman" w:hAnsi="Times New Roman" w:eastAsia="宋体" w:cs="Times New Roman"/>
          <w:color w:val="auto"/>
          <w:spacing w:val="8"/>
          <w:sz w:val="24"/>
          <w:szCs w:val="24"/>
          <w:lang w:eastAsia="zh-CN"/>
        </w:rPr>
        <w:t>，</w:t>
      </w:r>
      <w:r>
        <w:rPr>
          <w:rFonts w:hint="default" w:ascii="Times New Roman" w:hAnsi="Times New Roman" w:cs="Times New Roman"/>
          <w:color w:val="auto"/>
          <w:spacing w:val="-2"/>
          <w:sz w:val="24"/>
          <w:szCs w:val="24"/>
          <w:lang w:val="en-US" w:eastAsia="zh-CN"/>
        </w:rPr>
        <w:t>余</w:t>
      </w:r>
      <w:r>
        <w:rPr>
          <w:rFonts w:hint="default" w:ascii="Times New Roman" w:hAnsi="Times New Roman" w:eastAsia="宋体" w:cs="Times New Roman"/>
          <w:color w:val="auto"/>
          <w:spacing w:val="-2"/>
          <w:sz w:val="24"/>
          <w:szCs w:val="24"/>
        </w:rPr>
        <w:t>方30.18</w:t>
      </w:r>
      <w:r>
        <w:rPr>
          <w:rFonts w:hint="default" w:ascii="Times New Roman" w:hAnsi="Times New Roman" w:eastAsia="宋体" w:cs="Times New Roman"/>
          <w:color w:val="auto"/>
          <w:spacing w:val="8"/>
          <w:sz w:val="24"/>
          <w:szCs w:val="24"/>
        </w:rPr>
        <w:t>万</w:t>
      </w:r>
      <w:r>
        <w:rPr>
          <w:rFonts w:hint="default" w:ascii="Times New Roman" w:hAnsi="Times New Roman" w:eastAsia="宋体" w:cs="Times New Roman"/>
          <w:color w:val="auto"/>
          <w:spacing w:val="-41"/>
          <w:sz w:val="24"/>
          <w:szCs w:val="24"/>
        </w:rPr>
        <w:t xml:space="preserve"> </w:t>
      </w:r>
      <w:r>
        <w:rPr>
          <w:rFonts w:hint="default" w:ascii="Times New Roman" w:hAnsi="Times New Roman" w:eastAsia="宋体" w:cs="Times New Roman"/>
          <w:color w:val="auto"/>
          <w:spacing w:val="8"/>
          <w:sz w:val="24"/>
          <w:szCs w:val="24"/>
        </w:rPr>
        <w:t>m³</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rPr>
        <w:t>工程土石方平衡见</w:t>
      </w:r>
      <w:r>
        <w:rPr>
          <w:rFonts w:hint="eastAsia" w:cs="Times New Roman"/>
          <w:color w:val="auto"/>
          <w:lang w:val="en-US" w:eastAsia="zh-CN"/>
        </w:rPr>
        <w:t>下</w:t>
      </w:r>
      <w:r>
        <w:rPr>
          <w:rFonts w:hint="default" w:ascii="Times New Roman" w:hAnsi="Times New Roman" w:eastAsia="宋体" w:cs="Times New Roman"/>
          <w:color w:val="auto"/>
        </w:rPr>
        <w:t>表。</w:t>
      </w:r>
    </w:p>
    <w:p w14:paraId="3EF50CAD">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cs="Times New Roman"/>
          <w:color w:val="auto"/>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根据项目施工方案，项目未设置取土场；项目</w:t>
      </w:r>
      <w:r>
        <w:rPr>
          <w:rFonts w:hint="default" w:ascii="Times New Roman" w:hAnsi="Times New Roman" w:eastAsia="宋体" w:cs="Times New Roman"/>
          <w:color w:val="auto"/>
          <w:spacing w:val="0"/>
          <w:w w:val="100"/>
          <w:kern w:val="0"/>
          <w:position w:val="0"/>
          <w:sz w:val="24"/>
          <w:szCs w:val="24"/>
        </w:rPr>
        <w:t>建设中施工产生的弃渣全部运往</w:t>
      </w:r>
      <w:r>
        <w:rPr>
          <w:rFonts w:hint="default" w:ascii="Times New Roman" w:hAnsi="Times New Roman" w:eastAsia="宋体" w:cs="Times New Roman"/>
          <w:color w:val="auto"/>
          <w:spacing w:val="0"/>
          <w:w w:val="100"/>
          <w:kern w:val="0"/>
          <w:position w:val="0"/>
          <w:sz w:val="24"/>
          <w:szCs w:val="24"/>
          <w:lang w:eastAsia="zh-CN"/>
        </w:rPr>
        <w:t>设计的弃土场，</w:t>
      </w:r>
      <w:r>
        <w:rPr>
          <w:rFonts w:hint="default" w:ascii="Times New Roman" w:hAnsi="Times New Roman" w:eastAsia="宋体" w:cs="Times New Roman"/>
          <w:color w:val="auto"/>
          <w:spacing w:val="0"/>
          <w:w w:val="100"/>
          <w:kern w:val="0"/>
          <w:position w:val="0"/>
          <w:sz w:val="24"/>
          <w:szCs w:val="24"/>
        </w:rPr>
        <w:t>在公路沿线共设置</w:t>
      </w:r>
      <w:r>
        <w:rPr>
          <w:rFonts w:hint="default" w:ascii="Times New Roman" w:hAnsi="Times New Roman" w:eastAsia="宋体" w:cs="Times New Roman"/>
          <w:color w:val="auto"/>
          <w:spacing w:val="0"/>
          <w:w w:val="100"/>
          <w:kern w:val="0"/>
          <w:position w:val="0"/>
          <w:sz w:val="24"/>
          <w:szCs w:val="24"/>
          <w:lang w:val="en-US" w:eastAsia="zh-CN"/>
        </w:rPr>
        <w:t>5</w:t>
      </w:r>
      <w:r>
        <w:rPr>
          <w:rFonts w:hint="default" w:ascii="Times New Roman" w:hAnsi="Times New Roman" w:eastAsia="宋体" w:cs="Times New Roman"/>
          <w:color w:val="auto"/>
          <w:spacing w:val="0"/>
          <w:w w:val="100"/>
          <w:kern w:val="0"/>
          <w:position w:val="0"/>
          <w:sz w:val="24"/>
          <w:szCs w:val="24"/>
        </w:rPr>
        <w:t>处临时</w:t>
      </w:r>
      <w:r>
        <w:rPr>
          <w:rFonts w:hint="default" w:ascii="Times New Roman" w:hAnsi="Times New Roman" w:eastAsia="宋体" w:cs="Times New Roman"/>
          <w:b w:val="0"/>
          <w:bCs w:val="0"/>
          <w:color w:val="auto"/>
          <w:spacing w:val="0"/>
          <w:w w:val="100"/>
          <w:kern w:val="0"/>
          <w:position w:val="0"/>
          <w:sz w:val="24"/>
          <w:szCs w:val="24"/>
          <w:lang w:val="en-US" w:eastAsia="zh-CN"/>
        </w:rPr>
        <w:t>弃土场</w:t>
      </w:r>
      <w:r>
        <w:rPr>
          <w:rFonts w:hint="default" w:ascii="Times New Roman" w:hAnsi="Times New Roman" w:eastAsia="宋体" w:cs="Times New Roman"/>
          <w:color w:val="auto"/>
          <w:spacing w:val="0"/>
          <w:w w:val="100"/>
          <w:kern w:val="0"/>
          <w:position w:val="0"/>
          <w:sz w:val="24"/>
          <w:szCs w:val="24"/>
        </w:rPr>
        <w:t>，</w:t>
      </w:r>
      <w:r>
        <w:rPr>
          <w:rFonts w:hint="default" w:ascii="Times New Roman" w:hAnsi="Times New Roman" w:eastAsia="宋体" w:cs="Times New Roman"/>
          <w:color w:val="auto"/>
          <w:spacing w:val="0"/>
          <w:w w:val="100"/>
          <w:kern w:val="0"/>
          <w:position w:val="0"/>
          <w:sz w:val="24"/>
          <w:szCs w:val="24"/>
          <w:lang w:val="en-US" w:eastAsia="zh-CN"/>
        </w:rPr>
        <w:t>总设计容量为44.78</w:t>
      </w:r>
      <w:r>
        <w:rPr>
          <w:rFonts w:hint="default" w:ascii="Times New Roman" w:hAnsi="Times New Roman" w:eastAsia="宋体" w:cs="Times New Roman"/>
          <w:color w:val="auto"/>
        </w:rPr>
        <w:t>万m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vertAlign w:val="baseline"/>
          <w:lang w:val="en-US" w:eastAsia="zh-CN"/>
        </w:rPr>
        <w:t>，满足项目弃方（</w:t>
      </w:r>
      <w:r>
        <w:rPr>
          <w:rFonts w:hint="default" w:ascii="Times New Roman" w:hAnsi="Times New Roman" w:eastAsia="宋体" w:cs="Times New Roman"/>
          <w:color w:val="auto"/>
          <w:lang w:val="en-US" w:eastAsia="zh-CN"/>
        </w:rPr>
        <w:t>30.18</w:t>
      </w:r>
      <w:r>
        <w:rPr>
          <w:rFonts w:hint="default" w:ascii="Times New Roman" w:hAnsi="Times New Roman" w:eastAsia="宋体" w:cs="Times New Roman"/>
          <w:color w:val="auto"/>
        </w:rPr>
        <w:t>万m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vertAlign w:val="baseline"/>
          <w:lang w:val="en-US" w:eastAsia="zh-CN"/>
        </w:rPr>
        <w:t>）的要求，目前全部</w:t>
      </w:r>
      <w:r>
        <w:rPr>
          <w:rFonts w:hint="default" w:ascii="Times New Roman" w:hAnsi="Times New Roman" w:eastAsia="宋体" w:cs="Times New Roman"/>
          <w:color w:val="auto"/>
          <w:spacing w:val="0"/>
          <w:w w:val="100"/>
          <w:kern w:val="0"/>
          <w:position w:val="0"/>
          <w:sz w:val="24"/>
          <w:szCs w:val="24"/>
          <w:lang w:val="en-US" w:eastAsia="zh-CN"/>
        </w:rPr>
        <w:t>弃土场现已封场，已进行生态恢复。</w:t>
      </w:r>
      <w:r>
        <w:rPr>
          <w:rFonts w:hint="default" w:ascii="Times New Roman" w:hAnsi="Times New Roman" w:eastAsia="宋体" w:cs="Times New Roman"/>
          <w:color w:val="auto"/>
          <w:spacing w:val="0"/>
          <w:w w:val="100"/>
          <w:kern w:val="0"/>
          <w:position w:val="0"/>
          <w:sz w:val="24"/>
          <w:szCs w:val="24"/>
        </w:rPr>
        <w:t>具体情况见表2.</w:t>
      </w:r>
      <w:r>
        <w:rPr>
          <w:rFonts w:hint="default" w:ascii="Times New Roman" w:hAnsi="Times New Roman" w:eastAsia="宋体" w:cs="Times New Roman"/>
          <w:color w:val="auto"/>
          <w:spacing w:val="0"/>
          <w:w w:val="100"/>
          <w:kern w:val="0"/>
          <w:position w:val="0"/>
          <w:sz w:val="24"/>
          <w:szCs w:val="24"/>
          <w:lang w:val="en-US" w:eastAsia="zh-CN"/>
        </w:rPr>
        <w:t>7</w:t>
      </w:r>
      <w:r>
        <w:rPr>
          <w:rFonts w:hint="default" w:ascii="Times New Roman" w:hAnsi="Times New Roman" w:eastAsia="宋体" w:cs="Times New Roman"/>
          <w:color w:val="auto"/>
          <w:spacing w:val="0"/>
          <w:w w:val="100"/>
          <w:kern w:val="0"/>
          <w:position w:val="0"/>
          <w:sz w:val="24"/>
          <w:szCs w:val="24"/>
        </w:rPr>
        <w:t>-2。</w:t>
      </w:r>
    </w:p>
    <w:p w14:paraId="7E0D6059">
      <w:pPr>
        <w:pStyle w:val="5"/>
        <w:keepNext/>
        <w:keepLines/>
        <w:pageBreakBefore w:val="0"/>
        <w:widowControl w:val="0"/>
        <w:numPr>
          <w:ilvl w:val="0"/>
          <w:numId w:val="0"/>
        </w:numPr>
        <w:tabs>
          <w:tab w:val="left" w:pos="0"/>
        </w:tabs>
        <w:kinsoku/>
        <w:wordWrap/>
        <w:topLinePunct w:val="0"/>
        <w:autoSpaceDE w:val="0"/>
        <w:autoSpaceDN w:val="0"/>
        <w:bidi w:val="0"/>
        <w:adjustRightInd w:val="0"/>
        <w:snapToGrid w:val="0"/>
        <w:spacing w:before="0" w:after="0" w:line="360" w:lineRule="auto"/>
        <w:ind w:left="0" w:leftChars="0" w:firstLine="0" w:firstLineChars="0"/>
        <w:textAlignment w:val="baseline"/>
        <w:rPr>
          <w:rFonts w:hint="default" w:ascii="Times New Roman" w:hAnsi="Times New Roman" w:eastAsia="宋体" w:cs="Times New Roman"/>
          <w:b/>
          <w:snapToGrid w:val="0"/>
          <w:color w:val="auto"/>
          <w:kern w:val="0"/>
          <w:sz w:val="28"/>
          <w:szCs w:val="28"/>
          <w:lang w:val="en-US" w:eastAsia="zh-CN" w:bidi="ar-SA"/>
        </w:rPr>
      </w:pPr>
      <w:r>
        <w:rPr>
          <w:rFonts w:hint="default" w:ascii="Times New Roman" w:hAnsi="Times New Roman" w:eastAsia="宋体" w:cs="Times New Roman"/>
          <w:b/>
          <w:snapToGrid w:val="0"/>
          <w:color w:val="auto"/>
          <w:kern w:val="0"/>
          <w:sz w:val="28"/>
          <w:szCs w:val="28"/>
          <w:lang w:val="en-US" w:eastAsia="zh-CN" w:bidi="ar-SA"/>
        </w:rPr>
        <w:t>2.</w:t>
      </w:r>
      <w:r>
        <w:rPr>
          <w:rFonts w:hint="eastAsia" w:ascii="Times New Roman" w:hAnsi="Times New Roman" w:eastAsia="宋体" w:cs="Times New Roman"/>
          <w:b/>
          <w:snapToGrid w:val="0"/>
          <w:color w:val="auto"/>
          <w:kern w:val="0"/>
          <w:sz w:val="28"/>
          <w:szCs w:val="28"/>
          <w:lang w:val="en-US" w:eastAsia="zh-CN" w:bidi="ar-SA"/>
        </w:rPr>
        <w:t>3.11</w:t>
      </w:r>
      <w:r>
        <w:rPr>
          <w:rFonts w:hint="default" w:ascii="Times New Roman" w:hAnsi="Times New Roman" w:eastAsia="宋体" w:cs="Times New Roman"/>
          <w:b/>
          <w:snapToGrid w:val="0"/>
          <w:color w:val="auto"/>
          <w:kern w:val="0"/>
          <w:sz w:val="28"/>
          <w:szCs w:val="28"/>
          <w:lang w:val="en-US" w:eastAsia="zh-CN" w:bidi="ar-SA"/>
        </w:rPr>
        <w:t>.2 表土剥离及堆放</w:t>
      </w:r>
    </w:p>
    <w:p w14:paraId="188381EE">
      <w:pPr>
        <w:keepNext w:val="0"/>
        <w:keepLines w:val="0"/>
        <w:pageBreakBefore w:val="0"/>
        <w:widowControl w:val="0"/>
        <w:kinsoku/>
        <w:wordWrap/>
        <w:overflowPunct w:val="0"/>
        <w:topLinePunct w:val="0"/>
        <w:autoSpaceDE w:val="0"/>
        <w:autoSpaceDN w:val="0"/>
        <w:bidi w:val="0"/>
        <w:adjustRightInd w:val="0"/>
        <w:snapToGrid w:val="0"/>
        <w:spacing w:line="360" w:lineRule="auto"/>
        <w:textAlignment w:val="baseline"/>
        <w:rPr>
          <w:rFonts w:hint="default" w:ascii="Times New Roman" w:hAnsi="Times New Roman" w:eastAsia="宋体" w:cs="Times New Roman"/>
          <w:color w:val="auto"/>
        </w:rPr>
      </w:pPr>
      <w:r>
        <w:rPr>
          <w:rFonts w:hint="default" w:ascii="Times New Roman" w:hAnsi="Times New Roman" w:cs="Times New Roman"/>
          <w:color w:val="auto"/>
          <w:lang w:val="en-US" w:eastAsia="zh-CN"/>
        </w:rPr>
        <w:t>根据设计文件和</w:t>
      </w:r>
      <w:r>
        <w:rPr>
          <w:rFonts w:hint="default" w:ascii="Times New Roman" w:hAnsi="Times New Roman" w:eastAsia="宋体" w:cs="Times New Roman"/>
          <w:color w:val="auto"/>
        </w:rPr>
        <w:t>施工情况，全线剥离表土共计</w:t>
      </w:r>
      <w:r>
        <w:rPr>
          <w:rFonts w:hint="default" w:ascii="Times New Roman" w:hAnsi="Times New Roman" w:cs="Times New Roman"/>
          <w:color w:val="auto"/>
          <w:lang w:val="en-US" w:eastAsia="zh-CN"/>
        </w:rPr>
        <w:t>6.65</w:t>
      </w:r>
      <w:r>
        <w:rPr>
          <w:rFonts w:hint="default" w:ascii="Times New Roman" w:hAnsi="Times New Roman" w:eastAsia="宋体" w:cs="Times New Roman"/>
          <w:color w:val="auto"/>
        </w:rPr>
        <w:t>万m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rPr>
        <w:t>。表土剥离后，</w:t>
      </w:r>
      <w:r>
        <w:rPr>
          <w:rFonts w:hint="default" w:ascii="Times New Roman" w:hAnsi="Times New Roman" w:cs="Times New Roman"/>
          <w:color w:val="auto"/>
          <w:lang w:val="en-US" w:eastAsia="zh-CN"/>
        </w:rPr>
        <w:t>运至就近的弃土场，</w:t>
      </w:r>
      <w:r>
        <w:rPr>
          <w:rFonts w:hint="default" w:ascii="Times New Roman" w:hAnsi="Times New Roman" w:eastAsia="宋体" w:cs="Times New Roman"/>
          <w:color w:val="auto"/>
        </w:rPr>
        <w:t>在</w:t>
      </w:r>
      <w:r>
        <w:rPr>
          <w:rFonts w:hint="default" w:ascii="Times New Roman" w:hAnsi="Times New Roman" w:cs="Times New Roman"/>
          <w:color w:val="auto"/>
          <w:lang w:val="en-US" w:eastAsia="zh-CN"/>
        </w:rPr>
        <w:t>弃土场内单独划出部分区域</w:t>
      </w:r>
      <w:r>
        <w:rPr>
          <w:rFonts w:hint="default" w:ascii="Times New Roman" w:hAnsi="Times New Roman" w:eastAsia="宋体" w:cs="Times New Roman"/>
          <w:color w:val="auto"/>
        </w:rPr>
        <w:t>设置表土</w:t>
      </w:r>
      <w:r>
        <w:rPr>
          <w:rFonts w:hint="default" w:ascii="Times New Roman" w:hAnsi="Times New Roman" w:cs="Times New Roman"/>
          <w:color w:val="auto"/>
          <w:lang w:val="en-US" w:eastAsia="zh-CN"/>
        </w:rPr>
        <w:t>临时</w:t>
      </w:r>
      <w:r>
        <w:rPr>
          <w:rFonts w:hint="default" w:ascii="Times New Roman" w:hAnsi="Times New Roman" w:eastAsia="宋体" w:cs="Times New Roman"/>
          <w:color w:val="auto"/>
        </w:rPr>
        <w:t>堆放场，并对表土</w:t>
      </w:r>
      <w:r>
        <w:rPr>
          <w:rFonts w:hint="default" w:ascii="Times New Roman" w:hAnsi="Times New Roman" w:cs="Times New Roman"/>
          <w:color w:val="auto"/>
          <w:lang w:val="en-US" w:eastAsia="zh-CN"/>
        </w:rPr>
        <w:t>临时</w:t>
      </w:r>
      <w:r>
        <w:rPr>
          <w:rFonts w:hint="default" w:ascii="Times New Roman" w:hAnsi="Times New Roman" w:eastAsia="宋体" w:cs="Times New Roman"/>
          <w:color w:val="auto"/>
        </w:rPr>
        <w:t>堆放场四周设置截排水沟</w:t>
      </w:r>
      <w:r>
        <w:rPr>
          <w:rFonts w:hint="eastAsia" w:cs="Times New Roman"/>
          <w:color w:val="auto"/>
          <w:lang w:eastAsia="zh-CN"/>
        </w:rPr>
        <w:t>，对</w:t>
      </w:r>
      <w:r>
        <w:rPr>
          <w:rFonts w:hint="default" w:ascii="Times New Roman" w:hAnsi="Times New Roman" w:eastAsia="宋体" w:cs="Times New Roman"/>
          <w:color w:val="auto"/>
        </w:rPr>
        <w:t>表土进行遮盖</w:t>
      </w:r>
      <w:r>
        <w:rPr>
          <w:rFonts w:hint="eastAsia" w:cs="Times New Roman"/>
          <w:color w:val="auto"/>
          <w:lang w:eastAsia="zh-CN"/>
        </w:rPr>
        <w:t>；</w:t>
      </w:r>
      <w:r>
        <w:rPr>
          <w:rFonts w:hint="eastAsia" w:cs="Times New Roman"/>
          <w:color w:val="auto"/>
          <w:lang w:val="en-US" w:eastAsia="zh-CN"/>
        </w:rPr>
        <w:t>根据现场踏勘，现状情况无遗留环境问题，</w:t>
      </w:r>
      <w:r>
        <w:rPr>
          <w:rFonts w:hint="default" w:ascii="Times New Roman" w:hAnsi="Times New Roman" w:eastAsia="宋体" w:cs="Times New Roman"/>
          <w:color w:val="auto"/>
        </w:rPr>
        <w:t>表土</w:t>
      </w:r>
      <w:r>
        <w:rPr>
          <w:rFonts w:hint="eastAsia" w:cs="Times New Roman"/>
          <w:color w:val="auto"/>
          <w:lang w:val="en-US" w:eastAsia="zh-CN"/>
        </w:rPr>
        <w:t>已</w:t>
      </w:r>
      <w:r>
        <w:rPr>
          <w:rFonts w:hint="default" w:ascii="Times New Roman" w:hAnsi="Times New Roman" w:eastAsia="宋体" w:cs="Times New Roman"/>
          <w:color w:val="auto"/>
        </w:rPr>
        <w:t>全部回用于主体工程绿化设施用土和临时工程的植被恢复。</w:t>
      </w:r>
    </w:p>
    <w:p w14:paraId="26570021">
      <w:pPr>
        <w:keepNext w:val="0"/>
        <w:keepLines w:val="0"/>
        <w:pageBreakBefore w:val="0"/>
        <w:widowControl/>
        <w:kinsoku w:val="0"/>
        <w:wordWrap/>
        <w:overflowPunct/>
        <w:topLinePunct w:val="0"/>
        <w:autoSpaceDE w:val="0"/>
        <w:autoSpaceDN w:val="0"/>
        <w:bidi w:val="0"/>
        <w:adjustRightInd w:val="0"/>
        <w:snapToGrid w:val="0"/>
        <w:spacing w:line="336" w:lineRule="auto"/>
        <w:ind w:left="0" w:leftChars="0" w:right="28" w:firstLine="0" w:firstLineChars="0"/>
        <w:jc w:val="both"/>
        <w:textAlignment w:val="baseline"/>
        <w:rPr>
          <w:rFonts w:hint="default" w:ascii="Times New Roman" w:hAnsi="Times New Roman" w:eastAsia="宋体" w:cs="Times New Roman"/>
          <w:color w:val="auto"/>
          <w:spacing w:val="0"/>
          <w:w w:val="100"/>
          <w:kern w:val="0"/>
          <w:position w:val="0"/>
          <w:sz w:val="24"/>
          <w:szCs w:val="24"/>
        </w:rPr>
      </w:pPr>
    </w:p>
    <w:p w14:paraId="6271F8CE">
      <w:pPr>
        <w:spacing w:line="360" w:lineRule="auto"/>
        <w:ind w:left="0" w:leftChars="0" w:firstLine="0" w:firstLineChars="0"/>
        <w:rPr>
          <w:rFonts w:hint="default" w:ascii="Times New Roman" w:hAnsi="Times New Roman" w:eastAsia="宋体" w:cs="Times New Roman"/>
          <w:color w:val="auto"/>
          <w:spacing w:val="0"/>
          <w:w w:val="100"/>
          <w:kern w:val="0"/>
          <w:position w:val="0"/>
          <w:sz w:val="24"/>
          <w:szCs w:val="24"/>
          <w:lang w:val="en-US" w:eastAsia="zh-CN"/>
        </w:rPr>
        <w:sectPr>
          <w:pgSz w:w="11905" w:h="16840"/>
          <w:pgMar w:top="1440" w:right="1080" w:bottom="1440" w:left="1080" w:header="1048" w:footer="1015" w:gutter="0"/>
          <w:pgBorders>
            <w:top w:val="none" w:sz="0" w:space="0"/>
            <w:left w:val="none" w:sz="0" w:space="0"/>
            <w:bottom w:val="none" w:sz="0" w:space="0"/>
            <w:right w:val="none" w:sz="0" w:space="0"/>
          </w:pgBorders>
          <w:pgNumType w:fmt="decimal"/>
          <w:cols w:space="720" w:num="1"/>
        </w:sectPr>
      </w:pPr>
    </w:p>
    <w:p w14:paraId="226314A7">
      <w:pPr>
        <w:numPr>
          <w:ilvl w:val="0"/>
          <w:numId w:val="0"/>
        </w:numPr>
        <w:tabs>
          <w:tab w:val="left" w:pos="0"/>
        </w:tabs>
        <w:bidi w:val="0"/>
        <w:spacing w:line="360" w:lineRule="auto"/>
        <w:ind w:left="0" w:leftChars="0" w:firstLine="0" w:firstLineChars="0"/>
        <w:jc w:val="center"/>
        <w:outlineLvl w:val="9"/>
        <w:rPr>
          <w:rFonts w:hint="default" w:ascii="Times New Roman" w:hAnsi="Times New Roman" w:eastAsia="宋体" w:cs="Times New Roman"/>
          <w:b/>
          <w:bCs/>
          <w:color w:val="auto"/>
          <w:spacing w:val="0"/>
          <w:w w:val="100"/>
          <w:kern w:val="0"/>
          <w:position w:val="0"/>
          <w:sz w:val="21"/>
          <w:szCs w:val="21"/>
        </w:rPr>
      </w:pPr>
      <w:r>
        <w:rPr>
          <w:rFonts w:hint="default" w:ascii="Times New Roman" w:hAnsi="Times New Roman" w:eastAsia="宋体" w:cs="Times New Roman"/>
          <w:b/>
          <w:bCs/>
          <w:snapToGrid w:val="0"/>
          <w:color w:val="auto"/>
          <w:kern w:val="0"/>
          <w:sz w:val="21"/>
          <w:szCs w:val="21"/>
          <w:lang w:val="en-US" w:eastAsia="en-US" w:bidi="ar-SA"/>
        </w:rPr>
        <w:t>表2.</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en-US" w:bidi="ar-SA"/>
        </w:rPr>
        <w:t>-1</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en-US" w:bidi="ar-SA"/>
        </w:rPr>
        <w:t xml:space="preserve">  </w:t>
      </w:r>
      <w:r>
        <w:rPr>
          <w:rFonts w:hint="default" w:ascii="Times New Roman" w:hAnsi="Times New Roman" w:eastAsia="宋体" w:cs="Times New Roman"/>
          <w:b/>
          <w:bCs/>
          <w:color w:val="auto"/>
          <w:sz w:val="21"/>
          <w:szCs w:val="21"/>
        </w:rPr>
        <w:t>项目土石方平衡表</w:t>
      </w:r>
      <w:r>
        <w:rPr>
          <w:rFonts w:hint="default" w:ascii="Times New Roman" w:hAnsi="Times New Roman"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单位：万m</w:t>
      </w:r>
      <w:r>
        <w:rPr>
          <w:rFonts w:hint="default" w:ascii="Times New Roman" w:hAnsi="Times New Roman" w:eastAsia="宋体" w:cs="Times New Roman"/>
          <w:b/>
          <w:bCs/>
          <w:color w:val="auto"/>
          <w:sz w:val="21"/>
          <w:szCs w:val="21"/>
          <w:vertAlign w:val="superscript"/>
        </w:rPr>
        <w:t>3</w:t>
      </w:r>
    </w:p>
    <w:tbl>
      <w:tblPr>
        <w:tblStyle w:val="36"/>
        <w:tblW w:w="1423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311"/>
        <w:gridCol w:w="797"/>
        <w:gridCol w:w="991"/>
        <w:gridCol w:w="853"/>
        <w:gridCol w:w="850"/>
        <w:gridCol w:w="1032"/>
        <w:gridCol w:w="710"/>
        <w:gridCol w:w="703"/>
        <w:gridCol w:w="991"/>
        <w:gridCol w:w="703"/>
        <w:gridCol w:w="2693"/>
        <w:gridCol w:w="859"/>
        <w:gridCol w:w="814"/>
        <w:gridCol w:w="929"/>
      </w:tblGrid>
      <w:tr w14:paraId="5CB0DF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2" w:hRule="atLeast"/>
        </w:trPr>
        <w:tc>
          <w:tcPr>
            <w:tcW w:w="1311" w:type="dxa"/>
            <w:vMerge w:val="restart"/>
            <w:tcBorders>
              <w:tl2br w:val="nil"/>
              <w:tr2bl w:val="nil"/>
            </w:tcBorders>
            <w:noWrap w:val="0"/>
            <w:vAlign w:val="center"/>
          </w:tcPr>
          <w:p w14:paraId="37B63E8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w:t>
            </w:r>
          </w:p>
        </w:tc>
        <w:tc>
          <w:tcPr>
            <w:tcW w:w="2641" w:type="dxa"/>
            <w:gridSpan w:val="3"/>
            <w:tcBorders>
              <w:tl2br w:val="nil"/>
              <w:tr2bl w:val="nil"/>
            </w:tcBorders>
            <w:noWrap w:val="0"/>
            <w:vAlign w:val="center"/>
          </w:tcPr>
          <w:p w14:paraId="2BF1B5C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挖方</w:t>
            </w:r>
          </w:p>
        </w:tc>
        <w:tc>
          <w:tcPr>
            <w:tcW w:w="2592" w:type="dxa"/>
            <w:gridSpan w:val="3"/>
            <w:tcBorders>
              <w:tl2br w:val="nil"/>
              <w:tr2bl w:val="nil"/>
            </w:tcBorders>
            <w:noWrap w:val="0"/>
            <w:vAlign w:val="center"/>
          </w:tcPr>
          <w:p w14:paraId="0CFF287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填方</w:t>
            </w:r>
          </w:p>
        </w:tc>
        <w:tc>
          <w:tcPr>
            <w:tcW w:w="1694" w:type="dxa"/>
            <w:gridSpan w:val="2"/>
            <w:tcBorders>
              <w:tl2br w:val="nil"/>
              <w:tr2bl w:val="nil"/>
            </w:tcBorders>
            <w:noWrap w:val="0"/>
            <w:vAlign w:val="center"/>
          </w:tcPr>
          <w:p w14:paraId="6B43D90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调入</w:t>
            </w:r>
          </w:p>
        </w:tc>
        <w:tc>
          <w:tcPr>
            <w:tcW w:w="3396" w:type="dxa"/>
            <w:gridSpan w:val="2"/>
            <w:tcBorders>
              <w:tl2br w:val="nil"/>
              <w:tr2bl w:val="nil"/>
            </w:tcBorders>
            <w:noWrap w:val="0"/>
            <w:vAlign w:val="center"/>
          </w:tcPr>
          <w:p w14:paraId="0A52ADB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调出</w:t>
            </w:r>
          </w:p>
        </w:tc>
        <w:tc>
          <w:tcPr>
            <w:tcW w:w="2602" w:type="dxa"/>
            <w:gridSpan w:val="3"/>
            <w:tcBorders>
              <w:tl2br w:val="nil"/>
              <w:tr2bl w:val="nil"/>
            </w:tcBorders>
            <w:noWrap w:val="0"/>
            <w:vAlign w:val="center"/>
          </w:tcPr>
          <w:p w14:paraId="781DE55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余方</w:t>
            </w:r>
          </w:p>
        </w:tc>
      </w:tr>
      <w:tr w14:paraId="5E94B3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6" w:hRule="atLeast"/>
        </w:trPr>
        <w:tc>
          <w:tcPr>
            <w:tcW w:w="1311" w:type="dxa"/>
            <w:vMerge w:val="continue"/>
            <w:tcBorders>
              <w:tl2br w:val="nil"/>
              <w:tr2bl w:val="nil"/>
            </w:tcBorders>
            <w:noWrap w:val="0"/>
            <w:vAlign w:val="center"/>
          </w:tcPr>
          <w:p w14:paraId="727AE351">
            <w:pPr>
              <w:pStyle w:val="38"/>
              <w:bidi w:val="0"/>
              <w:jc w:val="center"/>
              <w:rPr>
                <w:rFonts w:hint="default" w:ascii="Times New Roman" w:hAnsi="Times New Roman" w:eastAsia="宋体" w:cs="Times New Roman"/>
                <w:color w:val="auto"/>
                <w:highlight w:val="none"/>
                <w:lang w:val="en-US" w:eastAsia="zh-CN"/>
              </w:rPr>
            </w:pPr>
          </w:p>
        </w:tc>
        <w:tc>
          <w:tcPr>
            <w:tcW w:w="797" w:type="dxa"/>
            <w:tcBorders>
              <w:tl2br w:val="nil"/>
              <w:tr2bl w:val="nil"/>
            </w:tcBorders>
            <w:noWrap w:val="0"/>
            <w:vAlign w:val="center"/>
          </w:tcPr>
          <w:p w14:paraId="095246C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土石方</w:t>
            </w:r>
          </w:p>
        </w:tc>
        <w:tc>
          <w:tcPr>
            <w:tcW w:w="991" w:type="dxa"/>
            <w:tcBorders>
              <w:tl2br w:val="nil"/>
              <w:tr2bl w:val="nil"/>
            </w:tcBorders>
            <w:noWrap w:val="0"/>
            <w:vAlign w:val="center"/>
          </w:tcPr>
          <w:p w14:paraId="784D9F7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表土剥离</w:t>
            </w:r>
          </w:p>
        </w:tc>
        <w:tc>
          <w:tcPr>
            <w:tcW w:w="853" w:type="dxa"/>
            <w:tcBorders>
              <w:tl2br w:val="nil"/>
              <w:tr2bl w:val="nil"/>
            </w:tcBorders>
            <w:noWrap w:val="0"/>
            <w:vAlign w:val="center"/>
          </w:tcPr>
          <w:p w14:paraId="05A3A6B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小计</w:t>
            </w:r>
          </w:p>
        </w:tc>
        <w:tc>
          <w:tcPr>
            <w:tcW w:w="850" w:type="dxa"/>
            <w:tcBorders>
              <w:tl2br w:val="nil"/>
              <w:tr2bl w:val="nil"/>
            </w:tcBorders>
            <w:noWrap w:val="0"/>
            <w:vAlign w:val="center"/>
          </w:tcPr>
          <w:p w14:paraId="54C1113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土石方</w:t>
            </w:r>
          </w:p>
        </w:tc>
        <w:tc>
          <w:tcPr>
            <w:tcW w:w="1032" w:type="dxa"/>
            <w:tcBorders>
              <w:tl2br w:val="nil"/>
              <w:tr2bl w:val="nil"/>
            </w:tcBorders>
            <w:noWrap w:val="0"/>
            <w:vAlign w:val="center"/>
          </w:tcPr>
          <w:p w14:paraId="38C9AE0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表土回覆</w:t>
            </w:r>
          </w:p>
        </w:tc>
        <w:tc>
          <w:tcPr>
            <w:tcW w:w="710" w:type="dxa"/>
            <w:tcBorders>
              <w:tl2br w:val="nil"/>
              <w:tr2bl w:val="nil"/>
            </w:tcBorders>
            <w:noWrap w:val="0"/>
            <w:vAlign w:val="center"/>
          </w:tcPr>
          <w:p w14:paraId="0E22883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小计</w:t>
            </w:r>
          </w:p>
        </w:tc>
        <w:tc>
          <w:tcPr>
            <w:tcW w:w="703" w:type="dxa"/>
            <w:tcBorders>
              <w:tl2br w:val="nil"/>
              <w:tr2bl w:val="nil"/>
            </w:tcBorders>
            <w:noWrap w:val="0"/>
            <w:vAlign w:val="center"/>
          </w:tcPr>
          <w:p w14:paraId="45BB9DA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数量</w:t>
            </w:r>
          </w:p>
        </w:tc>
        <w:tc>
          <w:tcPr>
            <w:tcW w:w="991" w:type="dxa"/>
            <w:tcBorders>
              <w:tl2br w:val="nil"/>
              <w:tr2bl w:val="nil"/>
            </w:tcBorders>
            <w:noWrap w:val="0"/>
            <w:vAlign w:val="center"/>
          </w:tcPr>
          <w:p w14:paraId="60BDBD4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来源</w:t>
            </w:r>
          </w:p>
        </w:tc>
        <w:tc>
          <w:tcPr>
            <w:tcW w:w="703" w:type="dxa"/>
            <w:tcBorders>
              <w:tl2br w:val="nil"/>
              <w:tr2bl w:val="nil"/>
            </w:tcBorders>
            <w:noWrap w:val="0"/>
            <w:vAlign w:val="center"/>
          </w:tcPr>
          <w:p w14:paraId="60DBCF0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数量</w:t>
            </w:r>
          </w:p>
        </w:tc>
        <w:tc>
          <w:tcPr>
            <w:tcW w:w="2693" w:type="dxa"/>
            <w:tcBorders>
              <w:tl2br w:val="nil"/>
              <w:tr2bl w:val="nil"/>
            </w:tcBorders>
            <w:noWrap w:val="0"/>
            <w:vAlign w:val="center"/>
          </w:tcPr>
          <w:p w14:paraId="5DBEB50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去向</w:t>
            </w:r>
          </w:p>
        </w:tc>
        <w:tc>
          <w:tcPr>
            <w:tcW w:w="859" w:type="dxa"/>
            <w:tcBorders>
              <w:tl2br w:val="nil"/>
              <w:tr2bl w:val="nil"/>
            </w:tcBorders>
            <w:noWrap w:val="0"/>
            <w:vAlign w:val="center"/>
          </w:tcPr>
          <w:p w14:paraId="2873EEB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土石方</w:t>
            </w:r>
          </w:p>
        </w:tc>
        <w:tc>
          <w:tcPr>
            <w:tcW w:w="814" w:type="dxa"/>
            <w:tcBorders>
              <w:tl2br w:val="nil"/>
              <w:tr2bl w:val="nil"/>
            </w:tcBorders>
            <w:noWrap w:val="0"/>
            <w:vAlign w:val="center"/>
          </w:tcPr>
          <w:p w14:paraId="56DAC56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松方</w:t>
            </w:r>
          </w:p>
        </w:tc>
        <w:tc>
          <w:tcPr>
            <w:tcW w:w="929" w:type="dxa"/>
            <w:tcBorders>
              <w:tl2br w:val="nil"/>
              <w:tr2bl w:val="nil"/>
            </w:tcBorders>
            <w:noWrap w:val="0"/>
            <w:vAlign w:val="center"/>
          </w:tcPr>
          <w:p w14:paraId="42D5BD2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去向</w:t>
            </w:r>
          </w:p>
        </w:tc>
      </w:tr>
      <w:tr w14:paraId="04C21D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0" w:hRule="atLeast"/>
        </w:trPr>
        <w:tc>
          <w:tcPr>
            <w:tcW w:w="1311" w:type="dxa"/>
            <w:tcBorders>
              <w:tl2br w:val="nil"/>
              <w:tr2bl w:val="nil"/>
            </w:tcBorders>
            <w:noWrap w:val="0"/>
            <w:vAlign w:val="center"/>
          </w:tcPr>
          <w:p w14:paraId="7B105C7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道路工程</w:t>
            </w:r>
          </w:p>
        </w:tc>
        <w:tc>
          <w:tcPr>
            <w:tcW w:w="797" w:type="dxa"/>
            <w:tcBorders>
              <w:tl2br w:val="nil"/>
              <w:tr2bl w:val="nil"/>
            </w:tcBorders>
            <w:noWrap w:val="0"/>
            <w:vAlign w:val="center"/>
          </w:tcPr>
          <w:p w14:paraId="47BEACE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131.53</w:t>
            </w:r>
          </w:p>
        </w:tc>
        <w:tc>
          <w:tcPr>
            <w:tcW w:w="991" w:type="dxa"/>
            <w:tcBorders>
              <w:tl2br w:val="nil"/>
              <w:tr2bl w:val="nil"/>
            </w:tcBorders>
            <w:noWrap w:val="0"/>
            <w:vAlign w:val="center"/>
          </w:tcPr>
          <w:p w14:paraId="3E395E4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4.34</w:t>
            </w:r>
          </w:p>
        </w:tc>
        <w:tc>
          <w:tcPr>
            <w:tcW w:w="853" w:type="dxa"/>
            <w:tcBorders>
              <w:tl2br w:val="nil"/>
              <w:tr2bl w:val="nil"/>
            </w:tcBorders>
            <w:noWrap w:val="0"/>
            <w:vAlign w:val="center"/>
          </w:tcPr>
          <w:p w14:paraId="249F8F4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135.87</w:t>
            </w:r>
          </w:p>
        </w:tc>
        <w:tc>
          <w:tcPr>
            <w:tcW w:w="850" w:type="dxa"/>
            <w:tcBorders>
              <w:tl2br w:val="nil"/>
              <w:tr2bl w:val="nil"/>
            </w:tcBorders>
            <w:noWrap w:val="0"/>
            <w:vAlign w:val="center"/>
          </w:tcPr>
          <w:p w14:paraId="0B2A288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104.84</w:t>
            </w:r>
          </w:p>
        </w:tc>
        <w:tc>
          <w:tcPr>
            <w:tcW w:w="1032" w:type="dxa"/>
            <w:tcBorders>
              <w:tl2br w:val="nil"/>
              <w:tr2bl w:val="nil"/>
            </w:tcBorders>
            <w:noWrap w:val="0"/>
            <w:vAlign w:val="center"/>
          </w:tcPr>
          <w:p w14:paraId="46A1D37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2.04</w:t>
            </w:r>
          </w:p>
        </w:tc>
        <w:tc>
          <w:tcPr>
            <w:tcW w:w="710" w:type="dxa"/>
            <w:tcBorders>
              <w:tl2br w:val="nil"/>
              <w:tr2bl w:val="nil"/>
            </w:tcBorders>
            <w:noWrap w:val="0"/>
            <w:vAlign w:val="center"/>
          </w:tcPr>
          <w:p w14:paraId="5904518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106.88</w:t>
            </w:r>
          </w:p>
        </w:tc>
        <w:tc>
          <w:tcPr>
            <w:tcW w:w="703" w:type="dxa"/>
            <w:tcBorders>
              <w:tl2br w:val="nil"/>
              <w:tr2bl w:val="nil"/>
            </w:tcBorders>
            <w:noWrap w:val="0"/>
            <w:vAlign w:val="center"/>
          </w:tcPr>
          <w:p w14:paraId="3612E7D7">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991" w:type="dxa"/>
            <w:tcBorders>
              <w:tl2br w:val="nil"/>
              <w:tr2bl w:val="nil"/>
            </w:tcBorders>
            <w:noWrap w:val="0"/>
            <w:vAlign w:val="center"/>
          </w:tcPr>
          <w:p w14:paraId="1D0EDB2E">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703" w:type="dxa"/>
            <w:tcBorders>
              <w:tl2br w:val="nil"/>
              <w:tr2bl w:val="nil"/>
            </w:tcBorders>
            <w:noWrap w:val="0"/>
            <w:vAlign w:val="center"/>
          </w:tcPr>
          <w:p w14:paraId="32921CCB">
            <w:pPr>
              <w:pStyle w:val="38"/>
              <w:bidi w:val="0"/>
              <w:jc w:val="center"/>
              <w:rPr>
                <w:rFonts w:hint="default" w:ascii="Times New Roman" w:hAnsi="Times New Roman" w:eastAsia="宋体" w:cs="Times New Roman"/>
                <w:color w:val="auto"/>
                <w:highlight w:val="none"/>
                <w:lang w:val="en-US" w:eastAsia="zh-CN"/>
              </w:rPr>
            </w:pPr>
          </w:p>
          <w:p w14:paraId="22FC068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6.44</w:t>
            </w:r>
          </w:p>
        </w:tc>
        <w:tc>
          <w:tcPr>
            <w:tcW w:w="2693" w:type="dxa"/>
            <w:tcBorders>
              <w:tl2br w:val="nil"/>
              <w:tr2bl w:val="nil"/>
            </w:tcBorders>
            <w:noWrap w:val="0"/>
            <w:vAlign w:val="center"/>
          </w:tcPr>
          <w:p w14:paraId="712AD3A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桥涵工程、互通工程、服务管理、设施、改移道路、施工便道、弃土场</w:t>
            </w:r>
          </w:p>
        </w:tc>
        <w:tc>
          <w:tcPr>
            <w:tcW w:w="859" w:type="dxa"/>
            <w:tcBorders>
              <w:tl2br w:val="nil"/>
              <w:tr2bl w:val="nil"/>
            </w:tcBorders>
            <w:noWrap w:val="0"/>
            <w:vAlign w:val="center"/>
          </w:tcPr>
          <w:p w14:paraId="72692A4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22.55</w:t>
            </w:r>
          </w:p>
        </w:tc>
        <w:tc>
          <w:tcPr>
            <w:tcW w:w="814" w:type="dxa"/>
            <w:tcBorders>
              <w:tl2br w:val="nil"/>
              <w:tr2bl w:val="nil"/>
            </w:tcBorders>
            <w:noWrap w:val="0"/>
            <w:vAlign w:val="center"/>
          </w:tcPr>
          <w:p w14:paraId="70BBB07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29.32</w:t>
            </w:r>
          </w:p>
        </w:tc>
        <w:tc>
          <w:tcPr>
            <w:tcW w:w="929" w:type="dxa"/>
            <w:tcBorders>
              <w:tl2br w:val="nil"/>
              <w:tr2bl w:val="nil"/>
            </w:tcBorders>
            <w:noWrap w:val="0"/>
            <w:vAlign w:val="center"/>
          </w:tcPr>
          <w:p w14:paraId="300D9CE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r>
      <w:tr w14:paraId="6646FE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1311" w:type="dxa"/>
            <w:tcBorders>
              <w:tl2br w:val="nil"/>
              <w:tr2bl w:val="nil"/>
            </w:tcBorders>
            <w:noWrap w:val="0"/>
            <w:vAlign w:val="center"/>
          </w:tcPr>
          <w:p w14:paraId="5F20BE1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桥涵工程</w:t>
            </w:r>
          </w:p>
        </w:tc>
        <w:tc>
          <w:tcPr>
            <w:tcW w:w="797" w:type="dxa"/>
            <w:tcBorders>
              <w:tl2br w:val="nil"/>
              <w:tr2bl w:val="nil"/>
            </w:tcBorders>
            <w:noWrap w:val="0"/>
            <w:vAlign w:val="center"/>
          </w:tcPr>
          <w:p w14:paraId="18F1A93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0.72</w:t>
            </w:r>
          </w:p>
        </w:tc>
        <w:tc>
          <w:tcPr>
            <w:tcW w:w="991" w:type="dxa"/>
            <w:tcBorders>
              <w:tl2br w:val="nil"/>
              <w:tr2bl w:val="nil"/>
            </w:tcBorders>
            <w:noWrap w:val="0"/>
            <w:vAlign w:val="center"/>
          </w:tcPr>
          <w:p w14:paraId="4713B368">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3" w:type="dxa"/>
            <w:tcBorders>
              <w:tl2br w:val="nil"/>
              <w:tr2bl w:val="nil"/>
            </w:tcBorders>
            <w:noWrap w:val="0"/>
            <w:vAlign w:val="center"/>
          </w:tcPr>
          <w:p w14:paraId="4F3A0B1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0.72</w:t>
            </w:r>
          </w:p>
        </w:tc>
        <w:tc>
          <w:tcPr>
            <w:tcW w:w="850" w:type="dxa"/>
            <w:tcBorders>
              <w:tl2br w:val="nil"/>
              <w:tr2bl w:val="nil"/>
            </w:tcBorders>
            <w:noWrap w:val="0"/>
            <w:vAlign w:val="center"/>
          </w:tcPr>
          <w:p w14:paraId="34690C2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0.12</w:t>
            </w:r>
          </w:p>
        </w:tc>
        <w:tc>
          <w:tcPr>
            <w:tcW w:w="1032" w:type="dxa"/>
            <w:tcBorders>
              <w:tl2br w:val="nil"/>
              <w:tr2bl w:val="nil"/>
            </w:tcBorders>
            <w:noWrap w:val="0"/>
            <w:vAlign w:val="center"/>
          </w:tcPr>
          <w:p w14:paraId="51EB8DB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0.29</w:t>
            </w:r>
          </w:p>
        </w:tc>
        <w:tc>
          <w:tcPr>
            <w:tcW w:w="710" w:type="dxa"/>
            <w:tcBorders>
              <w:tl2br w:val="nil"/>
              <w:tr2bl w:val="nil"/>
            </w:tcBorders>
            <w:noWrap w:val="0"/>
            <w:vAlign w:val="center"/>
          </w:tcPr>
          <w:p w14:paraId="0B36C6C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0.41</w:t>
            </w:r>
          </w:p>
        </w:tc>
        <w:tc>
          <w:tcPr>
            <w:tcW w:w="703" w:type="dxa"/>
            <w:tcBorders>
              <w:tl2br w:val="nil"/>
              <w:tr2bl w:val="nil"/>
            </w:tcBorders>
            <w:noWrap w:val="0"/>
            <w:vAlign w:val="center"/>
          </w:tcPr>
          <w:p w14:paraId="646609C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0.29</w:t>
            </w:r>
          </w:p>
        </w:tc>
        <w:tc>
          <w:tcPr>
            <w:tcW w:w="991" w:type="dxa"/>
            <w:tcBorders>
              <w:tl2br w:val="nil"/>
              <w:tr2bl w:val="nil"/>
            </w:tcBorders>
            <w:noWrap w:val="0"/>
            <w:vAlign w:val="center"/>
          </w:tcPr>
          <w:p w14:paraId="63234091">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道路工程</w:t>
            </w:r>
          </w:p>
        </w:tc>
        <w:tc>
          <w:tcPr>
            <w:tcW w:w="703" w:type="dxa"/>
            <w:tcBorders>
              <w:tl2br w:val="nil"/>
              <w:tr2bl w:val="nil"/>
            </w:tcBorders>
            <w:noWrap w:val="0"/>
            <w:vAlign w:val="center"/>
          </w:tcPr>
          <w:p w14:paraId="20F85B00">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2693" w:type="dxa"/>
            <w:tcBorders>
              <w:tl2br w:val="nil"/>
              <w:tr2bl w:val="nil"/>
            </w:tcBorders>
            <w:noWrap w:val="0"/>
            <w:vAlign w:val="center"/>
          </w:tcPr>
          <w:p w14:paraId="333B3CE7">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7FCC4E2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0.60</w:t>
            </w:r>
          </w:p>
        </w:tc>
        <w:tc>
          <w:tcPr>
            <w:tcW w:w="814" w:type="dxa"/>
            <w:tcBorders>
              <w:tl2br w:val="nil"/>
              <w:tr2bl w:val="nil"/>
            </w:tcBorders>
            <w:noWrap w:val="0"/>
            <w:vAlign w:val="center"/>
          </w:tcPr>
          <w:p w14:paraId="1BC3430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0.78</w:t>
            </w:r>
          </w:p>
        </w:tc>
        <w:tc>
          <w:tcPr>
            <w:tcW w:w="929" w:type="dxa"/>
            <w:tcBorders>
              <w:tl2br w:val="nil"/>
              <w:tr2bl w:val="nil"/>
            </w:tcBorders>
            <w:noWrap w:val="0"/>
            <w:vAlign w:val="center"/>
          </w:tcPr>
          <w:p w14:paraId="7045126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r>
      <w:tr w14:paraId="5B8D66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1" w:hRule="atLeast"/>
        </w:trPr>
        <w:tc>
          <w:tcPr>
            <w:tcW w:w="1311" w:type="dxa"/>
            <w:tcBorders>
              <w:tl2br w:val="nil"/>
              <w:tr2bl w:val="nil"/>
            </w:tcBorders>
            <w:noWrap w:val="0"/>
            <w:vAlign w:val="center"/>
          </w:tcPr>
          <w:p w14:paraId="572EB60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互通工程</w:t>
            </w:r>
          </w:p>
        </w:tc>
        <w:tc>
          <w:tcPr>
            <w:tcW w:w="797" w:type="dxa"/>
            <w:tcBorders>
              <w:tl2br w:val="nil"/>
              <w:tr2bl w:val="nil"/>
            </w:tcBorders>
            <w:noWrap w:val="0"/>
            <w:vAlign w:val="center"/>
          </w:tcPr>
          <w:p w14:paraId="5DB4E90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77.82</w:t>
            </w:r>
          </w:p>
        </w:tc>
        <w:tc>
          <w:tcPr>
            <w:tcW w:w="991" w:type="dxa"/>
            <w:tcBorders>
              <w:tl2br w:val="nil"/>
              <w:tr2bl w:val="nil"/>
            </w:tcBorders>
            <w:noWrap w:val="0"/>
            <w:vAlign w:val="center"/>
          </w:tcPr>
          <w:p w14:paraId="78607EC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2.31</w:t>
            </w:r>
          </w:p>
        </w:tc>
        <w:tc>
          <w:tcPr>
            <w:tcW w:w="853" w:type="dxa"/>
            <w:tcBorders>
              <w:tl2br w:val="nil"/>
              <w:tr2bl w:val="nil"/>
            </w:tcBorders>
            <w:noWrap w:val="0"/>
            <w:vAlign w:val="center"/>
          </w:tcPr>
          <w:p w14:paraId="66FEC21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80.13</w:t>
            </w:r>
          </w:p>
        </w:tc>
        <w:tc>
          <w:tcPr>
            <w:tcW w:w="850" w:type="dxa"/>
            <w:tcBorders>
              <w:tl2br w:val="nil"/>
              <w:tr2bl w:val="nil"/>
            </w:tcBorders>
            <w:noWrap w:val="0"/>
            <w:vAlign w:val="center"/>
          </w:tcPr>
          <w:p w14:paraId="3A06AB7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80.52</w:t>
            </w:r>
          </w:p>
        </w:tc>
        <w:tc>
          <w:tcPr>
            <w:tcW w:w="1032" w:type="dxa"/>
            <w:tcBorders>
              <w:tl2br w:val="nil"/>
              <w:tr2bl w:val="nil"/>
            </w:tcBorders>
            <w:noWrap w:val="0"/>
            <w:vAlign w:val="center"/>
          </w:tcPr>
          <w:p w14:paraId="7502AFD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2.31</w:t>
            </w:r>
          </w:p>
        </w:tc>
        <w:tc>
          <w:tcPr>
            <w:tcW w:w="710" w:type="dxa"/>
            <w:tcBorders>
              <w:tl2br w:val="nil"/>
              <w:tr2bl w:val="nil"/>
            </w:tcBorders>
            <w:noWrap w:val="0"/>
            <w:vAlign w:val="center"/>
          </w:tcPr>
          <w:p w14:paraId="4C0ED791">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82.83</w:t>
            </w:r>
          </w:p>
        </w:tc>
        <w:tc>
          <w:tcPr>
            <w:tcW w:w="703" w:type="dxa"/>
            <w:tcBorders>
              <w:tl2br w:val="nil"/>
              <w:tr2bl w:val="nil"/>
            </w:tcBorders>
            <w:noWrap w:val="0"/>
            <w:vAlign w:val="center"/>
          </w:tcPr>
          <w:p w14:paraId="3A0C54A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4.14</w:t>
            </w:r>
          </w:p>
        </w:tc>
        <w:tc>
          <w:tcPr>
            <w:tcW w:w="991" w:type="dxa"/>
            <w:tcBorders>
              <w:tl2br w:val="nil"/>
              <w:tr2bl w:val="nil"/>
            </w:tcBorders>
            <w:noWrap w:val="0"/>
            <w:vAlign w:val="center"/>
          </w:tcPr>
          <w:p w14:paraId="4A2BB80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道路工程</w:t>
            </w:r>
          </w:p>
        </w:tc>
        <w:tc>
          <w:tcPr>
            <w:tcW w:w="703" w:type="dxa"/>
            <w:tcBorders>
              <w:tl2br w:val="nil"/>
              <w:tr2bl w:val="nil"/>
            </w:tcBorders>
            <w:noWrap w:val="0"/>
            <w:vAlign w:val="center"/>
          </w:tcPr>
          <w:p w14:paraId="43D74F0B">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2693" w:type="dxa"/>
            <w:tcBorders>
              <w:tl2br w:val="nil"/>
              <w:tr2bl w:val="nil"/>
            </w:tcBorders>
            <w:noWrap w:val="0"/>
            <w:vAlign w:val="center"/>
          </w:tcPr>
          <w:p w14:paraId="0DE537F3">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5063DCA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1.44</w:t>
            </w:r>
          </w:p>
        </w:tc>
        <w:tc>
          <w:tcPr>
            <w:tcW w:w="814" w:type="dxa"/>
            <w:tcBorders>
              <w:tl2br w:val="nil"/>
              <w:tr2bl w:val="nil"/>
            </w:tcBorders>
            <w:noWrap w:val="0"/>
            <w:vAlign w:val="center"/>
          </w:tcPr>
          <w:p w14:paraId="344B354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1.87</w:t>
            </w:r>
          </w:p>
        </w:tc>
        <w:tc>
          <w:tcPr>
            <w:tcW w:w="929" w:type="dxa"/>
            <w:tcBorders>
              <w:tl2br w:val="nil"/>
              <w:tr2bl w:val="nil"/>
            </w:tcBorders>
            <w:noWrap w:val="0"/>
            <w:vAlign w:val="center"/>
          </w:tcPr>
          <w:p w14:paraId="6A7D3DF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r>
      <w:tr w14:paraId="499E47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1311" w:type="dxa"/>
            <w:tcBorders>
              <w:tl2br w:val="nil"/>
              <w:tr2bl w:val="nil"/>
            </w:tcBorders>
            <w:noWrap w:val="0"/>
            <w:vAlign w:val="center"/>
          </w:tcPr>
          <w:p w14:paraId="4907E4C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服务管理设施</w:t>
            </w:r>
          </w:p>
        </w:tc>
        <w:tc>
          <w:tcPr>
            <w:tcW w:w="797" w:type="dxa"/>
            <w:tcBorders>
              <w:tl2br w:val="nil"/>
              <w:tr2bl w:val="nil"/>
            </w:tcBorders>
            <w:noWrap w:val="0"/>
            <w:vAlign w:val="center"/>
          </w:tcPr>
          <w:p w14:paraId="52A02F4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0.83</w:t>
            </w:r>
          </w:p>
        </w:tc>
        <w:tc>
          <w:tcPr>
            <w:tcW w:w="991" w:type="dxa"/>
            <w:tcBorders>
              <w:tl2br w:val="nil"/>
              <w:tr2bl w:val="nil"/>
            </w:tcBorders>
            <w:noWrap w:val="0"/>
            <w:vAlign w:val="center"/>
          </w:tcPr>
          <w:p w14:paraId="136D7CB2">
            <w:pPr>
              <w:pStyle w:val="38"/>
              <w:bidi w:val="0"/>
              <w:jc w:val="center"/>
              <w:rPr>
                <w:rFonts w:hint="default" w:ascii="Times New Roman" w:hAnsi="Times New Roman" w:eastAsia="宋体" w:cs="Times New Roman"/>
                <w:color w:val="auto"/>
                <w:highlight w:val="none"/>
                <w:lang w:val="en-US" w:eastAsia="zh-CN"/>
              </w:rPr>
            </w:pPr>
          </w:p>
        </w:tc>
        <w:tc>
          <w:tcPr>
            <w:tcW w:w="853" w:type="dxa"/>
            <w:tcBorders>
              <w:tl2br w:val="nil"/>
              <w:tr2bl w:val="nil"/>
            </w:tcBorders>
            <w:noWrap w:val="0"/>
            <w:vAlign w:val="center"/>
          </w:tcPr>
          <w:p w14:paraId="7647F24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0.83</w:t>
            </w:r>
          </w:p>
        </w:tc>
        <w:tc>
          <w:tcPr>
            <w:tcW w:w="850" w:type="dxa"/>
            <w:tcBorders>
              <w:tl2br w:val="nil"/>
              <w:tr2bl w:val="nil"/>
            </w:tcBorders>
            <w:noWrap w:val="0"/>
            <w:vAlign w:val="center"/>
          </w:tcPr>
          <w:p w14:paraId="08CDA5D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0.64</w:t>
            </w:r>
          </w:p>
        </w:tc>
        <w:tc>
          <w:tcPr>
            <w:tcW w:w="1032" w:type="dxa"/>
            <w:tcBorders>
              <w:tl2br w:val="nil"/>
              <w:tr2bl w:val="nil"/>
            </w:tcBorders>
            <w:noWrap w:val="0"/>
            <w:vAlign w:val="center"/>
          </w:tcPr>
          <w:p w14:paraId="73095A3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0.03</w:t>
            </w:r>
          </w:p>
        </w:tc>
        <w:tc>
          <w:tcPr>
            <w:tcW w:w="710" w:type="dxa"/>
            <w:tcBorders>
              <w:tl2br w:val="nil"/>
              <w:tr2bl w:val="nil"/>
            </w:tcBorders>
            <w:noWrap w:val="0"/>
            <w:vAlign w:val="center"/>
          </w:tcPr>
          <w:p w14:paraId="26E5932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0.67</w:t>
            </w:r>
          </w:p>
        </w:tc>
        <w:tc>
          <w:tcPr>
            <w:tcW w:w="703" w:type="dxa"/>
            <w:tcBorders>
              <w:tl2br w:val="nil"/>
              <w:tr2bl w:val="nil"/>
            </w:tcBorders>
            <w:noWrap w:val="0"/>
            <w:vAlign w:val="center"/>
          </w:tcPr>
          <w:p w14:paraId="5FB46BF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0.03</w:t>
            </w:r>
          </w:p>
        </w:tc>
        <w:tc>
          <w:tcPr>
            <w:tcW w:w="991" w:type="dxa"/>
            <w:tcBorders>
              <w:tl2br w:val="nil"/>
              <w:tr2bl w:val="nil"/>
            </w:tcBorders>
            <w:noWrap w:val="0"/>
            <w:vAlign w:val="center"/>
          </w:tcPr>
          <w:p w14:paraId="012DCE3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道路工程</w:t>
            </w:r>
          </w:p>
        </w:tc>
        <w:tc>
          <w:tcPr>
            <w:tcW w:w="703" w:type="dxa"/>
            <w:tcBorders>
              <w:tl2br w:val="nil"/>
              <w:tr2bl w:val="nil"/>
            </w:tcBorders>
            <w:noWrap w:val="0"/>
            <w:vAlign w:val="center"/>
          </w:tcPr>
          <w:p w14:paraId="234FA1F3">
            <w:pPr>
              <w:pStyle w:val="38"/>
              <w:bidi w:val="0"/>
              <w:jc w:val="center"/>
              <w:rPr>
                <w:rFonts w:hint="default" w:ascii="Times New Roman" w:hAnsi="Times New Roman" w:eastAsia="宋体" w:cs="Times New Roman"/>
                <w:color w:val="auto"/>
                <w:highlight w:val="none"/>
                <w:lang w:val="en-US" w:eastAsia="zh-CN"/>
              </w:rPr>
            </w:pPr>
          </w:p>
        </w:tc>
        <w:tc>
          <w:tcPr>
            <w:tcW w:w="2693" w:type="dxa"/>
            <w:tcBorders>
              <w:tl2br w:val="nil"/>
              <w:tr2bl w:val="nil"/>
            </w:tcBorders>
            <w:noWrap w:val="0"/>
            <w:vAlign w:val="center"/>
          </w:tcPr>
          <w:p w14:paraId="11DB7BC9">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19769F61">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0.19</w:t>
            </w:r>
          </w:p>
        </w:tc>
        <w:tc>
          <w:tcPr>
            <w:tcW w:w="814" w:type="dxa"/>
            <w:tcBorders>
              <w:tl2br w:val="nil"/>
              <w:tr2bl w:val="nil"/>
            </w:tcBorders>
            <w:noWrap w:val="0"/>
            <w:vAlign w:val="center"/>
          </w:tcPr>
          <w:p w14:paraId="3A1B6F5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0.25</w:t>
            </w:r>
          </w:p>
        </w:tc>
        <w:tc>
          <w:tcPr>
            <w:tcW w:w="929" w:type="dxa"/>
            <w:tcBorders>
              <w:tl2br w:val="nil"/>
              <w:tr2bl w:val="nil"/>
            </w:tcBorders>
            <w:noWrap w:val="0"/>
            <w:vAlign w:val="center"/>
          </w:tcPr>
          <w:p w14:paraId="439E739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r>
      <w:tr w14:paraId="3AD399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5" w:hRule="atLeast"/>
        </w:trPr>
        <w:tc>
          <w:tcPr>
            <w:tcW w:w="1311" w:type="dxa"/>
            <w:tcBorders>
              <w:tl2br w:val="nil"/>
              <w:tr2bl w:val="nil"/>
            </w:tcBorders>
            <w:noWrap w:val="0"/>
            <w:vAlign w:val="center"/>
          </w:tcPr>
          <w:p w14:paraId="7837443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改移道路</w:t>
            </w:r>
          </w:p>
        </w:tc>
        <w:tc>
          <w:tcPr>
            <w:tcW w:w="797" w:type="dxa"/>
            <w:tcBorders>
              <w:tl2br w:val="nil"/>
              <w:tr2bl w:val="nil"/>
            </w:tcBorders>
            <w:noWrap w:val="0"/>
            <w:vAlign w:val="center"/>
          </w:tcPr>
          <w:p w14:paraId="298BC7C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5.49</w:t>
            </w:r>
          </w:p>
        </w:tc>
        <w:tc>
          <w:tcPr>
            <w:tcW w:w="991" w:type="dxa"/>
            <w:tcBorders>
              <w:tl2br w:val="nil"/>
              <w:tr2bl w:val="nil"/>
            </w:tcBorders>
            <w:noWrap w:val="0"/>
            <w:vAlign w:val="center"/>
          </w:tcPr>
          <w:p w14:paraId="4A060388">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3" w:type="dxa"/>
            <w:tcBorders>
              <w:tl2br w:val="nil"/>
              <w:tr2bl w:val="nil"/>
            </w:tcBorders>
            <w:noWrap w:val="0"/>
            <w:vAlign w:val="center"/>
          </w:tcPr>
          <w:p w14:paraId="5006A31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5.49</w:t>
            </w:r>
          </w:p>
        </w:tc>
        <w:tc>
          <w:tcPr>
            <w:tcW w:w="850" w:type="dxa"/>
            <w:tcBorders>
              <w:tl2br w:val="nil"/>
              <w:tr2bl w:val="nil"/>
            </w:tcBorders>
            <w:noWrap w:val="0"/>
            <w:vAlign w:val="center"/>
          </w:tcPr>
          <w:p w14:paraId="5847DD9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0.38</w:t>
            </w:r>
          </w:p>
        </w:tc>
        <w:tc>
          <w:tcPr>
            <w:tcW w:w="1032" w:type="dxa"/>
            <w:tcBorders>
              <w:tl2br w:val="nil"/>
              <w:tr2bl w:val="nil"/>
            </w:tcBorders>
            <w:noWrap w:val="0"/>
            <w:vAlign w:val="center"/>
          </w:tcPr>
          <w:p w14:paraId="2B33E9B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0.09</w:t>
            </w:r>
          </w:p>
        </w:tc>
        <w:tc>
          <w:tcPr>
            <w:tcW w:w="710" w:type="dxa"/>
            <w:tcBorders>
              <w:tl2br w:val="nil"/>
              <w:tr2bl w:val="nil"/>
            </w:tcBorders>
            <w:noWrap w:val="0"/>
            <w:vAlign w:val="center"/>
          </w:tcPr>
          <w:p w14:paraId="0530A46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0.47</w:t>
            </w:r>
          </w:p>
        </w:tc>
        <w:tc>
          <w:tcPr>
            <w:tcW w:w="703" w:type="dxa"/>
            <w:tcBorders>
              <w:tl2br w:val="nil"/>
              <w:tr2bl w:val="nil"/>
            </w:tcBorders>
            <w:noWrap w:val="0"/>
            <w:vAlign w:val="center"/>
          </w:tcPr>
          <w:p w14:paraId="4AB865C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0.09</w:t>
            </w:r>
          </w:p>
        </w:tc>
        <w:tc>
          <w:tcPr>
            <w:tcW w:w="991" w:type="dxa"/>
            <w:tcBorders>
              <w:tl2br w:val="nil"/>
              <w:tr2bl w:val="nil"/>
            </w:tcBorders>
            <w:noWrap w:val="0"/>
            <w:vAlign w:val="center"/>
          </w:tcPr>
          <w:p w14:paraId="6CF5E76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道路工程</w:t>
            </w:r>
          </w:p>
        </w:tc>
        <w:tc>
          <w:tcPr>
            <w:tcW w:w="703" w:type="dxa"/>
            <w:tcBorders>
              <w:tl2br w:val="nil"/>
              <w:tr2bl w:val="nil"/>
            </w:tcBorders>
            <w:noWrap w:val="0"/>
            <w:vAlign w:val="center"/>
          </w:tcPr>
          <w:p w14:paraId="376CBAC3">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2693" w:type="dxa"/>
            <w:tcBorders>
              <w:tl2br w:val="nil"/>
              <w:tr2bl w:val="nil"/>
            </w:tcBorders>
            <w:noWrap w:val="0"/>
            <w:vAlign w:val="center"/>
          </w:tcPr>
          <w:p w14:paraId="235959C5">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02BDC2E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5.11</w:t>
            </w:r>
          </w:p>
        </w:tc>
        <w:tc>
          <w:tcPr>
            <w:tcW w:w="814" w:type="dxa"/>
            <w:tcBorders>
              <w:tl2br w:val="nil"/>
              <w:tr2bl w:val="nil"/>
            </w:tcBorders>
            <w:noWrap w:val="0"/>
            <w:vAlign w:val="center"/>
          </w:tcPr>
          <w:p w14:paraId="1ED799C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6.64</w:t>
            </w:r>
          </w:p>
        </w:tc>
        <w:tc>
          <w:tcPr>
            <w:tcW w:w="929" w:type="dxa"/>
            <w:tcBorders>
              <w:tl2br w:val="nil"/>
              <w:tr2bl w:val="nil"/>
            </w:tcBorders>
            <w:noWrap w:val="0"/>
            <w:vAlign w:val="center"/>
          </w:tcPr>
          <w:p w14:paraId="1F79BC1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r>
      <w:tr w14:paraId="040E8D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8" w:hRule="atLeast"/>
        </w:trPr>
        <w:tc>
          <w:tcPr>
            <w:tcW w:w="1311" w:type="dxa"/>
            <w:tcBorders>
              <w:tl2br w:val="nil"/>
              <w:tr2bl w:val="nil"/>
            </w:tcBorders>
            <w:noWrap w:val="0"/>
            <w:vAlign w:val="center"/>
          </w:tcPr>
          <w:p w14:paraId="3A0B958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施工便道</w:t>
            </w:r>
          </w:p>
        </w:tc>
        <w:tc>
          <w:tcPr>
            <w:tcW w:w="797" w:type="dxa"/>
            <w:tcBorders>
              <w:tl2br w:val="nil"/>
              <w:tr2bl w:val="nil"/>
            </w:tcBorders>
            <w:noWrap w:val="0"/>
            <w:vAlign w:val="center"/>
          </w:tcPr>
          <w:p w14:paraId="7B27882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0.40</w:t>
            </w:r>
          </w:p>
        </w:tc>
        <w:tc>
          <w:tcPr>
            <w:tcW w:w="991" w:type="dxa"/>
            <w:tcBorders>
              <w:tl2br w:val="nil"/>
              <w:tr2bl w:val="nil"/>
            </w:tcBorders>
            <w:noWrap w:val="0"/>
            <w:vAlign w:val="center"/>
          </w:tcPr>
          <w:p w14:paraId="36DD64DA">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3" w:type="dxa"/>
            <w:tcBorders>
              <w:tl2br w:val="nil"/>
              <w:tr2bl w:val="nil"/>
            </w:tcBorders>
            <w:noWrap w:val="0"/>
            <w:vAlign w:val="center"/>
          </w:tcPr>
          <w:p w14:paraId="3C949F0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0.40</w:t>
            </w:r>
          </w:p>
        </w:tc>
        <w:tc>
          <w:tcPr>
            <w:tcW w:w="850" w:type="dxa"/>
            <w:tcBorders>
              <w:tl2br w:val="nil"/>
              <w:tr2bl w:val="nil"/>
            </w:tcBorders>
            <w:noWrap w:val="0"/>
            <w:vAlign w:val="center"/>
          </w:tcPr>
          <w:p w14:paraId="0F2F1AE1">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0.11</w:t>
            </w:r>
          </w:p>
        </w:tc>
        <w:tc>
          <w:tcPr>
            <w:tcW w:w="1032" w:type="dxa"/>
            <w:tcBorders>
              <w:tl2br w:val="nil"/>
              <w:tr2bl w:val="nil"/>
            </w:tcBorders>
            <w:noWrap w:val="0"/>
            <w:vAlign w:val="center"/>
          </w:tcPr>
          <w:p w14:paraId="366F61E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0.14</w:t>
            </w:r>
          </w:p>
        </w:tc>
        <w:tc>
          <w:tcPr>
            <w:tcW w:w="710" w:type="dxa"/>
            <w:tcBorders>
              <w:tl2br w:val="nil"/>
              <w:tr2bl w:val="nil"/>
            </w:tcBorders>
            <w:noWrap w:val="0"/>
            <w:vAlign w:val="center"/>
          </w:tcPr>
          <w:p w14:paraId="3023D64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0.25</w:t>
            </w:r>
          </w:p>
        </w:tc>
        <w:tc>
          <w:tcPr>
            <w:tcW w:w="703" w:type="dxa"/>
            <w:tcBorders>
              <w:tl2br w:val="nil"/>
              <w:tr2bl w:val="nil"/>
            </w:tcBorders>
            <w:noWrap w:val="0"/>
            <w:vAlign w:val="center"/>
          </w:tcPr>
          <w:p w14:paraId="2696009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0.14</w:t>
            </w:r>
          </w:p>
        </w:tc>
        <w:tc>
          <w:tcPr>
            <w:tcW w:w="991" w:type="dxa"/>
            <w:tcBorders>
              <w:tl2br w:val="nil"/>
              <w:tr2bl w:val="nil"/>
            </w:tcBorders>
            <w:noWrap w:val="0"/>
            <w:vAlign w:val="center"/>
          </w:tcPr>
          <w:p w14:paraId="313EA4D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道路工程</w:t>
            </w:r>
          </w:p>
        </w:tc>
        <w:tc>
          <w:tcPr>
            <w:tcW w:w="703" w:type="dxa"/>
            <w:tcBorders>
              <w:tl2br w:val="nil"/>
              <w:tr2bl w:val="nil"/>
            </w:tcBorders>
            <w:noWrap w:val="0"/>
            <w:vAlign w:val="center"/>
          </w:tcPr>
          <w:p w14:paraId="2BE2D858">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2693" w:type="dxa"/>
            <w:tcBorders>
              <w:tl2br w:val="nil"/>
              <w:tr2bl w:val="nil"/>
            </w:tcBorders>
            <w:noWrap w:val="0"/>
            <w:vAlign w:val="center"/>
          </w:tcPr>
          <w:p w14:paraId="0B55BFEE">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386A3FC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0.29</w:t>
            </w:r>
          </w:p>
        </w:tc>
        <w:tc>
          <w:tcPr>
            <w:tcW w:w="814" w:type="dxa"/>
            <w:tcBorders>
              <w:tl2br w:val="nil"/>
              <w:tr2bl w:val="nil"/>
            </w:tcBorders>
            <w:noWrap w:val="0"/>
            <w:vAlign w:val="center"/>
          </w:tcPr>
          <w:p w14:paraId="21D1C46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0.38</w:t>
            </w:r>
          </w:p>
        </w:tc>
        <w:tc>
          <w:tcPr>
            <w:tcW w:w="929" w:type="dxa"/>
            <w:tcBorders>
              <w:tl2br w:val="nil"/>
              <w:tr2bl w:val="nil"/>
            </w:tcBorders>
            <w:noWrap w:val="0"/>
            <w:vAlign w:val="center"/>
          </w:tcPr>
          <w:p w14:paraId="12A9D2F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r>
      <w:tr w14:paraId="11CAB8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6" w:hRule="atLeast"/>
        </w:trPr>
        <w:tc>
          <w:tcPr>
            <w:tcW w:w="1311" w:type="dxa"/>
            <w:tcBorders>
              <w:tl2br w:val="nil"/>
              <w:tr2bl w:val="nil"/>
            </w:tcBorders>
            <w:noWrap w:val="0"/>
            <w:vAlign w:val="center"/>
          </w:tcPr>
          <w:p w14:paraId="032669D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tc>
        <w:tc>
          <w:tcPr>
            <w:tcW w:w="797" w:type="dxa"/>
            <w:tcBorders>
              <w:tl2br w:val="nil"/>
              <w:tr2bl w:val="nil"/>
            </w:tcBorders>
            <w:noWrap w:val="0"/>
            <w:vAlign w:val="center"/>
          </w:tcPr>
          <w:p w14:paraId="66F776E8">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991" w:type="dxa"/>
            <w:tcBorders>
              <w:tl2br w:val="nil"/>
              <w:tr2bl w:val="nil"/>
            </w:tcBorders>
            <w:noWrap w:val="0"/>
            <w:vAlign w:val="center"/>
          </w:tcPr>
          <w:p w14:paraId="4AE79497">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3" w:type="dxa"/>
            <w:tcBorders>
              <w:tl2br w:val="nil"/>
              <w:tr2bl w:val="nil"/>
            </w:tcBorders>
            <w:noWrap w:val="0"/>
            <w:vAlign w:val="center"/>
          </w:tcPr>
          <w:p w14:paraId="62B05183">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0" w:type="dxa"/>
            <w:tcBorders>
              <w:tl2br w:val="nil"/>
              <w:tr2bl w:val="nil"/>
            </w:tcBorders>
            <w:noWrap w:val="0"/>
            <w:vAlign w:val="center"/>
          </w:tcPr>
          <w:p w14:paraId="7BD8977E">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32" w:type="dxa"/>
            <w:tcBorders>
              <w:tl2br w:val="nil"/>
              <w:tr2bl w:val="nil"/>
            </w:tcBorders>
            <w:noWrap w:val="0"/>
            <w:vAlign w:val="center"/>
          </w:tcPr>
          <w:p w14:paraId="7FD6608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1.75</w:t>
            </w:r>
          </w:p>
        </w:tc>
        <w:tc>
          <w:tcPr>
            <w:tcW w:w="710" w:type="dxa"/>
            <w:tcBorders>
              <w:tl2br w:val="nil"/>
              <w:tr2bl w:val="nil"/>
            </w:tcBorders>
            <w:noWrap w:val="0"/>
            <w:vAlign w:val="center"/>
          </w:tcPr>
          <w:p w14:paraId="08E6BC0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1.75</w:t>
            </w:r>
          </w:p>
        </w:tc>
        <w:tc>
          <w:tcPr>
            <w:tcW w:w="703" w:type="dxa"/>
            <w:tcBorders>
              <w:tl2br w:val="nil"/>
              <w:tr2bl w:val="nil"/>
            </w:tcBorders>
            <w:noWrap w:val="0"/>
            <w:vAlign w:val="center"/>
          </w:tcPr>
          <w:p w14:paraId="33CA11F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1.75</w:t>
            </w:r>
          </w:p>
        </w:tc>
        <w:tc>
          <w:tcPr>
            <w:tcW w:w="991" w:type="dxa"/>
            <w:tcBorders>
              <w:tl2br w:val="nil"/>
              <w:tr2bl w:val="nil"/>
            </w:tcBorders>
            <w:noWrap w:val="0"/>
            <w:vAlign w:val="center"/>
          </w:tcPr>
          <w:p w14:paraId="17C76CD4">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703" w:type="dxa"/>
            <w:tcBorders>
              <w:tl2br w:val="nil"/>
              <w:tr2bl w:val="nil"/>
            </w:tcBorders>
            <w:noWrap w:val="0"/>
            <w:vAlign w:val="center"/>
          </w:tcPr>
          <w:p w14:paraId="1F666E5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6.44</w:t>
            </w:r>
          </w:p>
        </w:tc>
        <w:tc>
          <w:tcPr>
            <w:tcW w:w="2693" w:type="dxa"/>
            <w:tcBorders>
              <w:tl2br w:val="nil"/>
              <w:tr2bl w:val="nil"/>
            </w:tcBorders>
            <w:noWrap w:val="0"/>
            <w:vAlign w:val="center"/>
          </w:tcPr>
          <w:p w14:paraId="6C57276C">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28264854">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14" w:type="dxa"/>
            <w:tcBorders>
              <w:tl2br w:val="nil"/>
              <w:tr2bl w:val="nil"/>
            </w:tcBorders>
            <w:noWrap w:val="0"/>
            <w:vAlign w:val="center"/>
          </w:tcPr>
          <w:p w14:paraId="1C366A37">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929" w:type="dxa"/>
            <w:tcBorders>
              <w:tl2br w:val="nil"/>
              <w:tr2bl w:val="nil"/>
            </w:tcBorders>
            <w:noWrap w:val="0"/>
            <w:vAlign w:val="center"/>
          </w:tcPr>
          <w:p w14:paraId="02CD83AE">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r>
      <w:tr w14:paraId="4A3D9B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2" w:hRule="atLeast"/>
        </w:trPr>
        <w:tc>
          <w:tcPr>
            <w:tcW w:w="1311" w:type="dxa"/>
            <w:tcBorders>
              <w:tl2br w:val="nil"/>
              <w:tr2bl w:val="nil"/>
            </w:tcBorders>
            <w:noWrap w:val="0"/>
            <w:vAlign w:val="center"/>
          </w:tcPr>
          <w:p w14:paraId="4E98904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797" w:type="dxa"/>
            <w:tcBorders>
              <w:tl2br w:val="nil"/>
              <w:tr2bl w:val="nil"/>
            </w:tcBorders>
            <w:noWrap w:val="0"/>
            <w:vAlign w:val="center"/>
          </w:tcPr>
          <w:p w14:paraId="46A867E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216.79</w:t>
            </w:r>
          </w:p>
        </w:tc>
        <w:tc>
          <w:tcPr>
            <w:tcW w:w="991" w:type="dxa"/>
            <w:tcBorders>
              <w:tl2br w:val="nil"/>
              <w:tr2bl w:val="nil"/>
            </w:tcBorders>
            <w:noWrap w:val="0"/>
            <w:vAlign w:val="center"/>
          </w:tcPr>
          <w:p w14:paraId="70B80A7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6.65</w:t>
            </w:r>
          </w:p>
        </w:tc>
        <w:tc>
          <w:tcPr>
            <w:tcW w:w="853" w:type="dxa"/>
            <w:tcBorders>
              <w:tl2br w:val="nil"/>
              <w:tr2bl w:val="nil"/>
            </w:tcBorders>
            <w:noWrap w:val="0"/>
            <w:vAlign w:val="center"/>
          </w:tcPr>
          <w:p w14:paraId="67146D4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223.44</w:t>
            </w:r>
          </w:p>
        </w:tc>
        <w:tc>
          <w:tcPr>
            <w:tcW w:w="850" w:type="dxa"/>
            <w:tcBorders>
              <w:tl2br w:val="nil"/>
              <w:tr2bl w:val="nil"/>
            </w:tcBorders>
            <w:noWrap w:val="0"/>
            <w:vAlign w:val="center"/>
          </w:tcPr>
          <w:p w14:paraId="6400735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186.61</w:t>
            </w:r>
          </w:p>
        </w:tc>
        <w:tc>
          <w:tcPr>
            <w:tcW w:w="1032" w:type="dxa"/>
            <w:tcBorders>
              <w:tl2br w:val="nil"/>
              <w:tr2bl w:val="nil"/>
            </w:tcBorders>
            <w:noWrap w:val="0"/>
            <w:vAlign w:val="center"/>
          </w:tcPr>
          <w:p w14:paraId="0A92A52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6.65</w:t>
            </w:r>
          </w:p>
        </w:tc>
        <w:tc>
          <w:tcPr>
            <w:tcW w:w="710" w:type="dxa"/>
            <w:tcBorders>
              <w:tl2br w:val="nil"/>
              <w:tr2bl w:val="nil"/>
            </w:tcBorders>
            <w:noWrap w:val="0"/>
            <w:vAlign w:val="center"/>
          </w:tcPr>
          <w:p w14:paraId="5742630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193.26</w:t>
            </w:r>
          </w:p>
        </w:tc>
        <w:tc>
          <w:tcPr>
            <w:tcW w:w="703" w:type="dxa"/>
            <w:tcBorders>
              <w:tl2br w:val="nil"/>
              <w:tr2bl w:val="nil"/>
            </w:tcBorders>
            <w:noWrap w:val="0"/>
            <w:vAlign w:val="center"/>
          </w:tcPr>
          <w:p w14:paraId="6DCC7A8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6.44</w:t>
            </w:r>
          </w:p>
        </w:tc>
        <w:tc>
          <w:tcPr>
            <w:tcW w:w="991" w:type="dxa"/>
            <w:tcBorders>
              <w:tl2br w:val="nil"/>
              <w:tr2bl w:val="nil"/>
            </w:tcBorders>
            <w:noWrap w:val="0"/>
            <w:vAlign w:val="center"/>
          </w:tcPr>
          <w:p w14:paraId="660FDC5D">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703" w:type="dxa"/>
            <w:tcBorders>
              <w:tl2br w:val="nil"/>
              <w:tr2bl w:val="nil"/>
            </w:tcBorders>
            <w:noWrap w:val="0"/>
            <w:vAlign w:val="center"/>
          </w:tcPr>
          <w:p w14:paraId="06508D4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6.44</w:t>
            </w:r>
          </w:p>
        </w:tc>
        <w:tc>
          <w:tcPr>
            <w:tcW w:w="2693" w:type="dxa"/>
            <w:tcBorders>
              <w:tl2br w:val="nil"/>
              <w:tr2bl w:val="nil"/>
            </w:tcBorders>
            <w:noWrap w:val="0"/>
            <w:vAlign w:val="center"/>
          </w:tcPr>
          <w:p w14:paraId="4E4A77DB">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859" w:type="dxa"/>
            <w:tcBorders>
              <w:tl2br w:val="nil"/>
              <w:tr2bl w:val="nil"/>
            </w:tcBorders>
            <w:noWrap w:val="0"/>
            <w:vAlign w:val="center"/>
          </w:tcPr>
          <w:p w14:paraId="15F3395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30.18</w:t>
            </w:r>
          </w:p>
        </w:tc>
        <w:tc>
          <w:tcPr>
            <w:tcW w:w="814" w:type="dxa"/>
            <w:tcBorders>
              <w:tl2br w:val="nil"/>
              <w:tr2bl w:val="nil"/>
            </w:tcBorders>
            <w:noWrap w:val="0"/>
            <w:vAlign w:val="center"/>
          </w:tcPr>
          <w:p w14:paraId="3B9B7EF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39.24</w:t>
            </w:r>
          </w:p>
        </w:tc>
        <w:tc>
          <w:tcPr>
            <w:tcW w:w="929" w:type="dxa"/>
            <w:tcBorders>
              <w:tl2br w:val="nil"/>
              <w:tr2bl w:val="nil"/>
            </w:tcBorders>
            <w:noWrap w:val="0"/>
            <w:vAlign w:val="center"/>
          </w:tcPr>
          <w:p w14:paraId="2A8FB53A">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r>
    </w:tbl>
    <w:p w14:paraId="45D48B1F">
      <w:pPr>
        <w:keepNext w:val="0"/>
        <w:keepLines w:val="0"/>
        <w:pageBreakBefore w:val="0"/>
        <w:widowControl/>
        <w:kinsoku w:val="0"/>
        <w:wordWrap/>
        <w:overflowPunct/>
        <w:topLinePunct w:val="0"/>
        <w:autoSpaceDE w:val="0"/>
        <w:autoSpaceDN w:val="0"/>
        <w:bidi w:val="0"/>
        <w:adjustRightInd w:val="0"/>
        <w:snapToGrid w:val="0"/>
        <w:spacing w:line="240" w:lineRule="auto"/>
        <w:ind w:left="4915"/>
        <w:textAlignment w:val="baseline"/>
        <w:outlineLvl w:val="9"/>
        <w:rPr>
          <w:rFonts w:hint="default" w:ascii="Times New Roman" w:hAnsi="Times New Roman" w:eastAsia="宋体" w:cs="Times New Roman"/>
          <w:color w:val="auto"/>
          <w:spacing w:val="0"/>
          <w:w w:val="100"/>
          <w:kern w:val="0"/>
          <w:position w:val="0"/>
          <w:sz w:val="21"/>
          <w:szCs w:val="21"/>
        </w:rPr>
      </w:pPr>
    </w:p>
    <w:p w14:paraId="63F58DF6">
      <w:pPr>
        <w:numPr>
          <w:ilvl w:val="0"/>
          <w:numId w:val="0"/>
        </w:numPr>
        <w:tabs>
          <w:tab w:val="left" w:pos="0"/>
        </w:tabs>
        <w:bidi w:val="0"/>
        <w:spacing w:line="360" w:lineRule="auto"/>
        <w:ind w:left="0" w:leftChars="0" w:firstLine="0" w:firstLineChars="0"/>
        <w:jc w:val="center"/>
        <w:outlineLvl w:val="9"/>
        <w:rPr>
          <w:rFonts w:hint="default" w:ascii="Times New Roman" w:hAnsi="Times New Roman" w:eastAsia="宋体" w:cs="Times New Roman"/>
          <w:b/>
          <w:bCs/>
          <w:color w:val="auto"/>
          <w:spacing w:val="0"/>
          <w:w w:val="100"/>
          <w:kern w:val="0"/>
          <w:position w:val="0"/>
          <w:sz w:val="21"/>
          <w:szCs w:val="21"/>
          <w:lang w:eastAsia="zh-CN"/>
        </w:rPr>
      </w:pPr>
      <w:r>
        <w:rPr>
          <w:rFonts w:hint="default" w:ascii="Times New Roman" w:hAnsi="Times New Roman" w:eastAsia="宋体" w:cs="Times New Roman"/>
          <w:b/>
          <w:bCs/>
          <w:snapToGrid w:val="0"/>
          <w:color w:val="auto"/>
          <w:kern w:val="0"/>
          <w:sz w:val="21"/>
          <w:szCs w:val="21"/>
          <w:lang w:val="en-US" w:eastAsia="en-US" w:bidi="ar-SA"/>
        </w:rPr>
        <w:t>表2.</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en-US" w:bidi="ar-SA"/>
        </w:rPr>
        <w:t>-</w:t>
      </w:r>
      <w:r>
        <w:rPr>
          <w:rFonts w:hint="eastAsia" w:cs="Times New Roman"/>
          <w:b/>
          <w:bCs/>
          <w:snapToGrid w:val="0"/>
          <w:color w:val="auto"/>
          <w:kern w:val="0"/>
          <w:sz w:val="21"/>
          <w:szCs w:val="21"/>
          <w:lang w:val="en-US" w:eastAsia="zh-CN" w:bidi="ar-SA"/>
        </w:rPr>
        <w:t>14</w:t>
      </w:r>
      <w:r>
        <w:rPr>
          <w:rFonts w:hint="default" w:ascii="Times New Roman" w:hAnsi="Times New Roman" w:eastAsia="宋体" w:cs="Times New Roman"/>
          <w:b/>
          <w:bCs/>
          <w:snapToGrid w:val="0"/>
          <w:color w:val="auto"/>
          <w:kern w:val="0"/>
          <w:sz w:val="21"/>
          <w:szCs w:val="21"/>
          <w:lang w:val="en-US" w:eastAsia="en-US" w:bidi="ar-SA"/>
        </w:rPr>
        <w:t xml:space="preserve">  </w:t>
      </w:r>
      <w:r>
        <w:rPr>
          <w:rFonts w:hint="default" w:ascii="Times New Roman" w:hAnsi="Times New Roman" w:cs="Times New Roman"/>
          <w:b/>
          <w:bCs/>
          <w:color w:val="auto"/>
          <w:sz w:val="21"/>
          <w:szCs w:val="21"/>
          <w:lang w:val="en-US" w:eastAsia="zh-CN"/>
        </w:rPr>
        <w:t>项目</w:t>
      </w:r>
      <w:r>
        <w:rPr>
          <w:rFonts w:hint="default" w:ascii="Times New Roman" w:hAnsi="Times New Roman" w:cs="Times New Roman"/>
          <w:b/>
          <w:bCs/>
          <w:color w:val="auto"/>
          <w:sz w:val="21"/>
          <w:szCs w:val="21"/>
          <w:lang w:eastAsia="zh-CN"/>
        </w:rPr>
        <w:t>弃土场</w:t>
      </w:r>
      <w:r>
        <w:rPr>
          <w:rFonts w:hint="default" w:ascii="Times New Roman" w:hAnsi="Times New Roman" w:eastAsia="宋体" w:cs="Times New Roman"/>
          <w:b/>
          <w:bCs/>
          <w:color w:val="auto"/>
          <w:sz w:val="21"/>
          <w:szCs w:val="21"/>
        </w:rPr>
        <w:t>基本情况一览表</w:t>
      </w:r>
    </w:p>
    <w:tbl>
      <w:tblPr>
        <w:tblStyle w:val="36"/>
        <w:tblW w:w="142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44"/>
        <w:gridCol w:w="1649"/>
        <w:gridCol w:w="1645"/>
        <w:gridCol w:w="1260"/>
        <w:gridCol w:w="1089"/>
        <w:gridCol w:w="1260"/>
        <w:gridCol w:w="1327"/>
        <w:gridCol w:w="1090"/>
        <w:gridCol w:w="1013"/>
        <w:gridCol w:w="1010"/>
        <w:gridCol w:w="936"/>
        <w:gridCol w:w="1013"/>
      </w:tblGrid>
      <w:tr w14:paraId="1D1032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944" w:type="dxa"/>
            <w:vMerge w:val="restart"/>
            <w:tcBorders>
              <w:tl2br w:val="nil"/>
              <w:tr2bl w:val="nil"/>
            </w:tcBorders>
            <w:noWrap w:val="0"/>
            <w:vAlign w:val="center"/>
          </w:tcPr>
          <w:p w14:paraId="40A511B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p w14:paraId="699FBC3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编号</w:t>
            </w:r>
          </w:p>
        </w:tc>
        <w:tc>
          <w:tcPr>
            <w:tcW w:w="1649" w:type="dxa"/>
            <w:vMerge w:val="restart"/>
            <w:tcBorders>
              <w:tl2br w:val="nil"/>
              <w:tr2bl w:val="nil"/>
            </w:tcBorders>
            <w:noWrap w:val="0"/>
            <w:vAlign w:val="center"/>
          </w:tcPr>
          <w:p w14:paraId="3105FC4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桩号</w:t>
            </w:r>
          </w:p>
        </w:tc>
        <w:tc>
          <w:tcPr>
            <w:tcW w:w="1645" w:type="dxa"/>
            <w:vMerge w:val="restart"/>
            <w:tcBorders>
              <w:tl2br w:val="nil"/>
              <w:tr2bl w:val="nil"/>
            </w:tcBorders>
            <w:noWrap w:val="0"/>
            <w:vAlign w:val="center"/>
          </w:tcPr>
          <w:p w14:paraId="517FE43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与路线位置关系</w:t>
            </w:r>
          </w:p>
          <w:p w14:paraId="2935572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w:t>
            </w:r>
            <w:r>
              <w:rPr>
                <w:rFonts w:hint="eastAsia" w:cs="Times New Roman"/>
                <w:color w:val="auto"/>
                <w:highlight w:val="none"/>
                <w:lang w:val="en-US" w:eastAsia="zh-CN"/>
              </w:rPr>
              <w:t>)</w:t>
            </w:r>
          </w:p>
        </w:tc>
        <w:tc>
          <w:tcPr>
            <w:tcW w:w="1260" w:type="dxa"/>
            <w:vMerge w:val="restart"/>
            <w:tcBorders>
              <w:tl2br w:val="nil"/>
              <w:tr2bl w:val="nil"/>
            </w:tcBorders>
            <w:noWrap w:val="0"/>
            <w:vAlign w:val="center"/>
          </w:tcPr>
          <w:p w14:paraId="3E7CA95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平均堆高（m）</w:t>
            </w:r>
          </w:p>
        </w:tc>
        <w:tc>
          <w:tcPr>
            <w:tcW w:w="1089" w:type="dxa"/>
            <w:vMerge w:val="restart"/>
            <w:tcBorders>
              <w:tl2br w:val="nil"/>
              <w:tr2bl w:val="nil"/>
            </w:tcBorders>
            <w:noWrap w:val="0"/>
            <w:vAlign w:val="center"/>
          </w:tcPr>
          <w:p w14:paraId="4F990BC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弃渣量</w:t>
            </w:r>
          </w:p>
          <w:p w14:paraId="215D475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tc>
        <w:tc>
          <w:tcPr>
            <w:tcW w:w="1260" w:type="dxa"/>
            <w:vMerge w:val="restart"/>
            <w:tcBorders>
              <w:tl2br w:val="nil"/>
              <w:tr2bl w:val="nil"/>
            </w:tcBorders>
            <w:noWrap w:val="0"/>
            <w:vAlign w:val="center"/>
          </w:tcPr>
          <w:p w14:paraId="14BDDC9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最大堆高（m）</w:t>
            </w:r>
          </w:p>
        </w:tc>
        <w:tc>
          <w:tcPr>
            <w:tcW w:w="1327" w:type="dxa"/>
            <w:vMerge w:val="restart"/>
            <w:tcBorders>
              <w:tl2br w:val="nil"/>
              <w:tr2bl w:val="nil"/>
            </w:tcBorders>
            <w:noWrap w:val="0"/>
            <w:vAlign w:val="center"/>
          </w:tcPr>
          <w:p w14:paraId="52A7E5F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渣场类型</w:t>
            </w:r>
          </w:p>
        </w:tc>
        <w:tc>
          <w:tcPr>
            <w:tcW w:w="1090" w:type="dxa"/>
            <w:vMerge w:val="restart"/>
            <w:tcBorders>
              <w:tl2br w:val="nil"/>
              <w:tr2bl w:val="nil"/>
            </w:tcBorders>
            <w:noWrap w:val="0"/>
            <w:vAlign w:val="center"/>
          </w:tcPr>
          <w:p w14:paraId="4F226FC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容渣量</w:t>
            </w:r>
          </w:p>
          <w:p w14:paraId="780F35A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tc>
        <w:tc>
          <w:tcPr>
            <w:tcW w:w="3972" w:type="dxa"/>
            <w:gridSpan w:val="4"/>
            <w:tcBorders>
              <w:tl2br w:val="nil"/>
              <w:tr2bl w:val="nil"/>
            </w:tcBorders>
            <w:noWrap w:val="0"/>
            <w:vAlign w:val="center"/>
          </w:tcPr>
          <w:p w14:paraId="0679926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占地类型及面积（hm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w:t>
            </w:r>
          </w:p>
        </w:tc>
      </w:tr>
      <w:tr w14:paraId="549CC0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944" w:type="dxa"/>
            <w:vMerge w:val="continue"/>
            <w:tcBorders>
              <w:tl2br w:val="nil"/>
              <w:tr2bl w:val="nil"/>
            </w:tcBorders>
            <w:noWrap w:val="0"/>
            <w:vAlign w:val="center"/>
          </w:tcPr>
          <w:p w14:paraId="67575BE7">
            <w:pPr>
              <w:pStyle w:val="38"/>
              <w:bidi w:val="0"/>
              <w:jc w:val="center"/>
              <w:rPr>
                <w:rFonts w:hint="default" w:ascii="Times New Roman" w:hAnsi="Times New Roman" w:eastAsia="宋体" w:cs="Times New Roman"/>
                <w:color w:val="auto"/>
                <w:highlight w:val="none"/>
                <w:lang w:val="en-US" w:eastAsia="zh-CN"/>
              </w:rPr>
            </w:pPr>
          </w:p>
        </w:tc>
        <w:tc>
          <w:tcPr>
            <w:tcW w:w="1649" w:type="dxa"/>
            <w:vMerge w:val="continue"/>
            <w:tcBorders>
              <w:tl2br w:val="nil"/>
              <w:tr2bl w:val="nil"/>
            </w:tcBorders>
            <w:noWrap w:val="0"/>
            <w:vAlign w:val="center"/>
          </w:tcPr>
          <w:p w14:paraId="4716F4A3">
            <w:pPr>
              <w:pStyle w:val="38"/>
              <w:bidi w:val="0"/>
              <w:jc w:val="center"/>
              <w:rPr>
                <w:rFonts w:hint="default" w:ascii="Times New Roman" w:hAnsi="Times New Roman" w:eastAsia="宋体" w:cs="Times New Roman"/>
                <w:color w:val="auto"/>
                <w:highlight w:val="none"/>
                <w:lang w:val="en-US" w:eastAsia="zh-CN"/>
              </w:rPr>
            </w:pPr>
          </w:p>
        </w:tc>
        <w:tc>
          <w:tcPr>
            <w:tcW w:w="1645" w:type="dxa"/>
            <w:vMerge w:val="continue"/>
            <w:tcBorders>
              <w:tl2br w:val="nil"/>
              <w:tr2bl w:val="nil"/>
            </w:tcBorders>
            <w:noWrap w:val="0"/>
            <w:vAlign w:val="center"/>
          </w:tcPr>
          <w:p w14:paraId="1F554C0B">
            <w:pPr>
              <w:pStyle w:val="38"/>
              <w:bidi w:val="0"/>
              <w:jc w:val="center"/>
              <w:rPr>
                <w:rFonts w:hint="default" w:ascii="Times New Roman" w:hAnsi="Times New Roman" w:eastAsia="宋体" w:cs="Times New Roman"/>
                <w:color w:val="auto"/>
                <w:highlight w:val="none"/>
                <w:lang w:val="en-US" w:eastAsia="zh-CN"/>
              </w:rPr>
            </w:pPr>
          </w:p>
        </w:tc>
        <w:tc>
          <w:tcPr>
            <w:tcW w:w="1260" w:type="dxa"/>
            <w:vMerge w:val="continue"/>
            <w:tcBorders>
              <w:tl2br w:val="nil"/>
              <w:tr2bl w:val="nil"/>
            </w:tcBorders>
            <w:noWrap w:val="0"/>
            <w:vAlign w:val="center"/>
          </w:tcPr>
          <w:p w14:paraId="63B47E37">
            <w:pPr>
              <w:pStyle w:val="38"/>
              <w:bidi w:val="0"/>
              <w:jc w:val="center"/>
              <w:rPr>
                <w:rFonts w:hint="default" w:ascii="Times New Roman" w:hAnsi="Times New Roman" w:eastAsia="宋体" w:cs="Times New Roman"/>
                <w:color w:val="auto"/>
                <w:highlight w:val="none"/>
                <w:lang w:val="en-US" w:eastAsia="zh-CN"/>
              </w:rPr>
            </w:pPr>
          </w:p>
        </w:tc>
        <w:tc>
          <w:tcPr>
            <w:tcW w:w="1089" w:type="dxa"/>
            <w:vMerge w:val="continue"/>
            <w:tcBorders>
              <w:tl2br w:val="nil"/>
              <w:tr2bl w:val="nil"/>
            </w:tcBorders>
            <w:noWrap w:val="0"/>
            <w:vAlign w:val="center"/>
          </w:tcPr>
          <w:p w14:paraId="6996754E">
            <w:pPr>
              <w:pStyle w:val="38"/>
              <w:bidi w:val="0"/>
              <w:jc w:val="center"/>
              <w:rPr>
                <w:rFonts w:hint="default" w:ascii="Times New Roman" w:hAnsi="Times New Roman" w:eastAsia="宋体" w:cs="Times New Roman"/>
                <w:color w:val="auto"/>
                <w:highlight w:val="none"/>
                <w:lang w:val="en-US" w:eastAsia="zh-CN"/>
              </w:rPr>
            </w:pPr>
          </w:p>
        </w:tc>
        <w:tc>
          <w:tcPr>
            <w:tcW w:w="1260" w:type="dxa"/>
            <w:vMerge w:val="continue"/>
            <w:tcBorders>
              <w:tl2br w:val="nil"/>
              <w:tr2bl w:val="nil"/>
            </w:tcBorders>
            <w:noWrap w:val="0"/>
            <w:vAlign w:val="center"/>
          </w:tcPr>
          <w:p w14:paraId="0B5158F7">
            <w:pPr>
              <w:pStyle w:val="38"/>
              <w:bidi w:val="0"/>
              <w:jc w:val="center"/>
              <w:rPr>
                <w:rFonts w:hint="default" w:ascii="Times New Roman" w:hAnsi="Times New Roman" w:eastAsia="宋体" w:cs="Times New Roman"/>
                <w:color w:val="auto"/>
                <w:highlight w:val="none"/>
                <w:lang w:val="en-US" w:eastAsia="zh-CN"/>
              </w:rPr>
            </w:pPr>
          </w:p>
        </w:tc>
        <w:tc>
          <w:tcPr>
            <w:tcW w:w="1327" w:type="dxa"/>
            <w:vMerge w:val="continue"/>
            <w:tcBorders>
              <w:tl2br w:val="nil"/>
              <w:tr2bl w:val="nil"/>
            </w:tcBorders>
            <w:noWrap w:val="0"/>
            <w:vAlign w:val="center"/>
          </w:tcPr>
          <w:p w14:paraId="75B7A90A">
            <w:pPr>
              <w:pStyle w:val="38"/>
              <w:bidi w:val="0"/>
              <w:jc w:val="center"/>
              <w:rPr>
                <w:rFonts w:hint="default" w:ascii="Times New Roman" w:hAnsi="Times New Roman" w:eastAsia="宋体" w:cs="Times New Roman"/>
                <w:color w:val="auto"/>
                <w:highlight w:val="none"/>
                <w:lang w:val="en-US" w:eastAsia="zh-CN"/>
              </w:rPr>
            </w:pPr>
          </w:p>
        </w:tc>
        <w:tc>
          <w:tcPr>
            <w:tcW w:w="1090" w:type="dxa"/>
            <w:vMerge w:val="continue"/>
            <w:tcBorders>
              <w:tl2br w:val="nil"/>
              <w:tr2bl w:val="nil"/>
            </w:tcBorders>
            <w:noWrap w:val="0"/>
            <w:vAlign w:val="center"/>
          </w:tcPr>
          <w:p w14:paraId="123B71DA">
            <w:pPr>
              <w:pStyle w:val="38"/>
              <w:bidi w:val="0"/>
              <w:jc w:val="center"/>
              <w:rPr>
                <w:rFonts w:hint="default" w:ascii="Times New Roman" w:hAnsi="Times New Roman" w:eastAsia="宋体" w:cs="Times New Roman"/>
                <w:color w:val="auto"/>
                <w:highlight w:val="none"/>
                <w:lang w:val="en-US" w:eastAsia="zh-CN"/>
              </w:rPr>
            </w:pPr>
          </w:p>
        </w:tc>
        <w:tc>
          <w:tcPr>
            <w:tcW w:w="1013" w:type="dxa"/>
            <w:tcBorders>
              <w:tl2br w:val="nil"/>
              <w:tr2bl w:val="nil"/>
            </w:tcBorders>
            <w:noWrap w:val="0"/>
            <w:vAlign w:val="center"/>
          </w:tcPr>
          <w:p w14:paraId="3BCE0CC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耕地</w:t>
            </w:r>
          </w:p>
        </w:tc>
        <w:tc>
          <w:tcPr>
            <w:tcW w:w="1010" w:type="dxa"/>
            <w:tcBorders>
              <w:tl2br w:val="nil"/>
              <w:tr2bl w:val="nil"/>
            </w:tcBorders>
            <w:noWrap w:val="0"/>
            <w:vAlign w:val="center"/>
          </w:tcPr>
          <w:p w14:paraId="660D347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林地</w:t>
            </w:r>
          </w:p>
        </w:tc>
        <w:tc>
          <w:tcPr>
            <w:tcW w:w="936" w:type="dxa"/>
            <w:tcBorders>
              <w:tl2br w:val="nil"/>
              <w:tr2bl w:val="nil"/>
            </w:tcBorders>
            <w:noWrap w:val="0"/>
            <w:vAlign w:val="center"/>
          </w:tcPr>
          <w:p w14:paraId="2F372D1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交通运输用地</w:t>
            </w:r>
          </w:p>
        </w:tc>
        <w:tc>
          <w:tcPr>
            <w:tcW w:w="1013" w:type="dxa"/>
            <w:tcBorders>
              <w:tl2br w:val="nil"/>
              <w:tr2bl w:val="nil"/>
            </w:tcBorders>
            <w:noWrap w:val="0"/>
            <w:vAlign w:val="center"/>
          </w:tcPr>
          <w:p w14:paraId="2829C73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r>
      <w:tr w14:paraId="3E425F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944" w:type="dxa"/>
            <w:tcBorders>
              <w:tl2br w:val="nil"/>
              <w:tr2bl w:val="nil"/>
            </w:tcBorders>
            <w:noWrap w:val="0"/>
            <w:vAlign w:val="center"/>
          </w:tcPr>
          <w:p w14:paraId="2E454C9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649" w:type="dxa"/>
            <w:tcBorders>
              <w:tl2br w:val="nil"/>
              <w:tr2bl w:val="nil"/>
            </w:tcBorders>
            <w:noWrap w:val="0"/>
            <w:vAlign w:val="center"/>
          </w:tcPr>
          <w:p w14:paraId="1E15CE2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K69+900</w:t>
            </w:r>
          </w:p>
        </w:tc>
        <w:tc>
          <w:tcPr>
            <w:tcW w:w="1645" w:type="dxa"/>
            <w:tcBorders>
              <w:tl2br w:val="nil"/>
              <w:tr2bl w:val="nil"/>
            </w:tcBorders>
            <w:noWrap w:val="0"/>
            <w:vAlign w:val="center"/>
          </w:tcPr>
          <w:p w14:paraId="64D6C01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w:t>
            </w:r>
          </w:p>
        </w:tc>
        <w:tc>
          <w:tcPr>
            <w:tcW w:w="1260" w:type="dxa"/>
            <w:tcBorders>
              <w:tl2br w:val="nil"/>
              <w:tr2bl w:val="nil"/>
            </w:tcBorders>
            <w:noWrap w:val="0"/>
            <w:vAlign w:val="center"/>
          </w:tcPr>
          <w:p w14:paraId="74839C4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3.4</w:t>
            </w:r>
          </w:p>
        </w:tc>
        <w:tc>
          <w:tcPr>
            <w:tcW w:w="1089" w:type="dxa"/>
            <w:tcBorders>
              <w:tl2br w:val="nil"/>
              <w:tr2bl w:val="nil"/>
            </w:tcBorders>
            <w:noWrap w:val="0"/>
            <w:vAlign w:val="center"/>
          </w:tcPr>
          <w:p w14:paraId="3076419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1.40</w:t>
            </w:r>
          </w:p>
        </w:tc>
        <w:tc>
          <w:tcPr>
            <w:tcW w:w="1260" w:type="dxa"/>
            <w:tcBorders>
              <w:tl2br w:val="nil"/>
              <w:tr2bl w:val="nil"/>
            </w:tcBorders>
            <w:noWrap w:val="0"/>
            <w:vAlign w:val="center"/>
          </w:tcPr>
          <w:p w14:paraId="250D62D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w:t>
            </w:r>
          </w:p>
        </w:tc>
        <w:tc>
          <w:tcPr>
            <w:tcW w:w="1327" w:type="dxa"/>
            <w:tcBorders>
              <w:tl2br w:val="nil"/>
              <w:tr2bl w:val="nil"/>
            </w:tcBorders>
            <w:noWrap w:val="0"/>
            <w:vAlign w:val="center"/>
          </w:tcPr>
          <w:p w14:paraId="170A9A4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坡地型</w:t>
            </w:r>
          </w:p>
        </w:tc>
        <w:tc>
          <w:tcPr>
            <w:tcW w:w="1090" w:type="dxa"/>
            <w:tcBorders>
              <w:tl2br w:val="nil"/>
              <w:tr2bl w:val="nil"/>
            </w:tcBorders>
            <w:noWrap w:val="0"/>
            <w:vAlign w:val="center"/>
          </w:tcPr>
          <w:p w14:paraId="14394BF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2.04</w:t>
            </w:r>
          </w:p>
        </w:tc>
        <w:tc>
          <w:tcPr>
            <w:tcW w:w="1013" w:type="dxa"/>
            <w:tcBorders>
              <w:tl2br w:val="nil"/>
              <w:tr2bl w:val="nil"/>
            </w:tcBorders>
            <w:noWrap w:val="0"/>
            <w:vAlign w:val="center"/>
          </w:tcPr>
          <w:p w14:paraId="7BF4295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0.53</w:t>
            </w:r>
          </w:p>
        </w:tc>
        <w:tc>
          <w:tcPr>
            <w:tcW w:w="1010" w:type="dxa"/>
            <w:tcBorders>
              <w:tl2br w:val="nil"/>
              <w:tr2bl w:val="nil"/>
            </w:tcBorders>
            <w:noWrap w:val="0"/>
            <w:vAlign w:val="center"/>
          </w:tcPr>
          <w:p w14:paraId="2DCE9871">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936" w:type="dxa"/>
            <w:tcBorders>
              <w:tl2br w:val="nil"/>
              <w:tr2bl w:val="nil"/>
            </w:tcBorders>
            <w:noWrap w:val="0"/>
            <w:vAlign w:val="center"/>
          </w:tcPr>
          <w:p w14:paraId="54D5849A">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13" w:type="dxa"/>
            <w:tcBorders>
              <w:tl2br w:val="nil"/>
              <w:tr2bl w:val="nil"/>
            </w:tcBorders>
            <w:noWrap w:val="0"/>
            <w:vAlign w:val="center"/>
          </w:tcPr>
          <w:p w14:paraId="53657AB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0.53</w:t>
            </w:r>
          </w:p>
        </w:tc>
      </w:tr>
      <w:tr w14:paraId="4B577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944" w:type="dxa"/>
            <w:tcBorders>
              <w:tl2br w:val="nil"/>
              <w:tr2bl w:val="nil"/>
            </w:tcBorders>
            <w:noWrap w:val="0"/>
            <w:vAlign w:val="center"/>
          </w:tcPr>
          <w:p w14:paraId="42EBB9E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649" w:type="dxa"/>
            <w:tcBorders>
              <w:tl2br w:val="nil"/>
              <w:tr2bl w:val="nil"/>
            </w:tcBorders>
            <w:noWrap w:val="0"/>
            <w:vAlign w:val="center"/>
          </w:tcPr>
          <w:p w14:paraId="3FA3CE6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K72+350</w:t>
            </w:r>
          </w:p>
        </w:tc>
        <w:tc>
          <w:tcPr>
            <w:tcW w:w="1645" w:type="dxa"/>
            <w:tcBorders>
              <w:tl2br w:val="nil"/>
              <w:tr2bl w:val="nil"/>
            </w:tcBorders>
            <w:noWrap w:val="0"/>
            <w:vAlign w:val="center"/>
          </w:tcPr>
          <w:p w14:paraId="7CEC03C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w:t>
            </w:r>
          </w:p>
        </w:tc>
        <w:tc>
          <w:tcPr>
            <w:tcW w:w="1260" w:type="dxa"/>
            <w:tcBorders>
              <w:tl2br w:val="nil"/>
              <w:tr2bl w:val="nil"/>
            </w:tcBorders>
            <w:noWrap w:val="0"/>
            <w:vAlign w:val="center"/>
          </w:tcPr>
          <w:p w14:paraId="291C724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5.6</w:t>
            </w:r>
          </w:p>
        </w:tc>
        <w:tc>
          <w:tcPr>
            <w:tcW w:w="1089" w:type="dxa"/>
            <w:tcBorders>
              <w:tl2br w:val="nil"/>
              <w:tr2bl w:val="nil"/>
            </w:tcBorders>
            <w:noWrap w:val="0"/>
            <w:vAlign w:val="center"/>
          </w:tcPr>
          <w:p w14:paraId="5AE7A6C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3.66</w:t>
            </w:r>
          </w:p>
        </w:tc>
        <w:tc>
          <w:tcPr>
            <w:tcW w:w="1260" w:type="dxa"/>
            <w:tcBorders>
              <w:tl2br w:val="nil"/>
              <w:tr2bl w:val="nil"/>
            </w:tcBorders>
            <w:noWrap w:val="0"/>
            <w:vAlign w:val="center"/>
          </w:tcPr>
          <w:p w14:paraId="66A46C8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1327" w:type="dxa"/>
            <w:tcBorders>
              <w:tl2br w:val="nil"/>
              <w:tr2bl w:val="nil"/>
            </w:tcBorders>
            <w:noWrap w:val="0"/>
            <w:vAlign w:val="center"/>
          </w:tcPr>
          <w:p w14:paraId="77A19D9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坡地型</w:t>
            </w:r>
          </w:p>
        </w:tc>
        <w:tc>
          <w:tcPr>
            <w:tcW w:w="1090" w:type="dxa"/>
            <w:tcBorders>
              <w:tl2br w:val="nil"/>
              <w:tr2bl w:val="nil"/>
            </w:tcBorders>
            <w:noWrap w:val="0"/>
            <w:vAlign w:val="center"/>
          </w:tcPr>
          <w:p w14:paraId="464EA93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5.52</w:t>
            </w:r>
          </w:p>
        </w:tc>
        <w:tc>
          <w:tcPr>
            <w:tcW w:w="1013" w:type="dxa"/>
            <w:tcBorders>
              <w:tl2br w:val="nil"/>
              <w:tr2bl w:val="nil"/>
            </w:tcBorders>
            <w:noWrap w:val="0"/>
            <w:vAlign w:val="center"/>
          </w:tcPr>
          <w:p w14:paraId="15F0A6E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0.70</w:t>
            </w:r>
          </w:p>
        </w:tc>
        <w:tc>
          <w:tcPr>
            <w:tcW w:w="1010" w:type="dxa"/>
            <w:tcBorders>
              <w:tl2br w:val="nil"/>
              <w:tr2bl w:val="nil"/>
            </w:tcBorders>
            <w:noWrap w:val="0"/>
            <w:vAlign w:val="center"/>
          </w:tcPr>
          <w:p w14:paraId="3647002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0.11</w:t>
            </w:r>
          </w:p>
        </w:tc>
        <w:tc>
          <w:tcPr>
            <w:tcW w:w="936" w:type="dxa"/>
            <w:tcBorders>
              <w:tl2br w:val="nil"/>
              <w:tr2bl w:val="nil"/>
            </w:tcBorders>
            <w:noWrap w:val="0"/>
            <w:vAlign w:val="center"/>
          </w:tcPr>
          <w:p w14:paraId="4A97048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0.04</w:t>
            </w:r>
          </w:p>
        </w:tc>
        <w:tc>
          <w:tcPr>
            <w:tcW w:w="1013" w:type="dxa"/>
            <w:tcBorders>
              <w:tl2br w:val="nil"/>
              <w:tr2bl w:val="nil"/>
            </w:tcBorders>
            <w:noWrap w:val="0"/>
            <w:vAlign w:val="center"/>
          </w:tcPr>
          <w:p w14:paraId="3956FCE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0.85</w:t>
            </w:r>
          </w:p>
        </w:tc>
      </w:tr>
      <w:tr w14:paraId="635A7E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944" w:type="dxa"/>
            <w:tcBorders>
              <w:tl2br w:val="nil"/>
              <w:tr2bl w:val="nil"/>
            </w:tcBorders>
            <w:noWrap w:val="0"/>
            <w:vAlign w:val="center"/>
          </w:tcPr>
          <w:p w14:paraId="0F39CC7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649" w:type="dxa"/>
            <w:tcBorders>
              <w:tl2br w:val="nil"/>
              <w:tr2bl w:val="nil"/>
            </w:tcBorders>
            <w:noWrap w:val="0"/>
            <w:vAlign w:val="center"/>
          </w:tcPr>
          <w:p w14:paraId="6DB53E5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K73+080</w:t>
            </w:r>
          </w:p>
        </w:tc>
        <w:tc>
          <w:tcPr>
            <w:tcW w:w="1645" w:type="dxa"/>
            <w:tcBorders>
              <w:tl2br w:val="nil"/>
              <w:tr2bl w:val="nil"/>
            </w:tcBorders>
            <w:noWrap w:val="0"/>
            <w:vAlign w:val="center"/>
          </w:tcPr>
          <w:p w14:paraId="276AFB8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w:t>
            </w:r>
          </w:p>
        </w:tc>
        <w:tc>
          <w:tcPr>
            <w:tcW w:w="1260" w:type="dxa"/>
            <w:tcBorders>
              <w:tl2br w:val="nil"/>
              <w:tr2bl w:val="nil"/>
            </w:tcBorders>
            <w:noWrap w:val="0"/>
            <w:vAlign w:val="center"/>
          </w:tcPr>
          <w:p w14:paraId="79D537D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7.3</w:t>
            </w:r>
          </w:p>
        </w:tc>
        <w:tc>
          <w:tcPr>
            <w:tcW w:w="1089" w:type="dxa"/>
            <w:tcBorders>
              <w:tl2br w:val="nil"/>
              <w:tr2bl w:val="nil"/>
            </w:tcBorders>
            <w:noWrap w:val="0"/>
            <w:vAlign w:val="center"/>
          </w:tcPr>
          <w:p w14:paraId="493A139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3.08</w:t>
            </w:r>
          </w:p>
        </w:tc>
        <w:tc>
          <w:tcPr>
            <w:tcW w:w="1260" w:type="dxa"/>
            <w:tcBorders>
              <w:tl2br w:val="nil"/>
              <w:tr2bl w:val="nil"/>
            </w:tcBorders>
            <w:noWrap w:val="0"/>
            <w:vAlign w:val="center"/>
          </w:tcPr>
          <w:p w14:paraId="1451E3A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w:t>
            </w:r>
          </w:p>
        </w:tc>
        <w:tc>
          <w:tcPr>
            <w:tcW w:w="1327" w:type="dxa"/>
            <w:tcBorders>
              <w:tl2br w:val="nil"/>
              <w:tr2bl w:val="nil"/>
            </w:tcBorders>
            <w:noWrap w:val="0"/>
            <w:vAlign w:val="center"/>
          </w:tcPr>
          <w:p w14:paraId="43B4EC3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坡地型</w:t>
            </w:r>
          </w:p>
        </w:tc>
        <w:tc>
          <w:tcPr>
            <w:tcW w:w="1090" w:type="dxa"/>
            <w:tcBorders>
              <w:tl2br w:val="nil"/>
              <w:tr2bl w:val="nil"/>
            </w:tcBorders>
            <w:noWrap w:val="0"/>
            <w:vAlign w:val="center"/>
          </w:tcPr>
          <w:p w14:paraId="72103EC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4.56</w:t>
            </w:r>
          </w:p>
        </w:tc>
        <w:tc>
          <w:tcPr>
            <w:tcW w:w="1013" w:type="dxa"/>
            <w:tcBorders>
              <w:tl2br w:val="nil"/>
              <w:tr2bl w:val="nil"/>
            </w:tcBorders>
            <w:noWrap w:val="0"/>
            <w:vAlign w:val="center"/>
          </w:tcPr>
          <w:p w14:paraId="2C7E0E0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0.55</w:t>
            </w:r>
          </w:p>
        </w:tc>
        <w:tc>
          <w:tcPr>
            <w:tcW w:w="1010" w:type="dxa"/>
            <w:tcBorders>
              <w:tl2br w:val="nil"/>
              <w:tr2bl w:val="nil"/>
            </w:tcBorders>
            <w:noWrap w:val="0"/>
            <w:vAlign w:val="center"/>
          </w:tcPr>
          <w:p w14:paraId="32932E62">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936" w:type="dxa"/>
            <w:tcBorders>
              <w:tl2br w:val="nil"/>
              <w:tr2bl w:val="nil"/>
            </w:tcBorders>
            <w:noWrap w:val="0"/>
            <w:vAlign w:val="center"/>
          </w:tcPr>
          <w:p w14:paraId="173331D1">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13" w:type="dxa"/>
            <w:tcBorders>
              <w:tl2br w:val="nil"/>
              <w:tr2bl w:val="nil"/>
            </w:tcBorders>
            <w:noWrap w:val="0"/>
            <w:vAlign w:val="center"/>
          </w:tcPr>
          <w:p w14:paraId="5D8B2AB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0.55</w:t>
            </w:r>
          </w:p>
        </w:tc>
      </w:tr>
      <w:tr w14:paraId="5D994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944" w:type="dxa"/>
            <w:tcBorders>
              <w:tl2br w:val="nil"/>
              <w:tr2bl w:val="nil"/>
            </w:tcBorders>
            <w:noWrap w:val="0"/>
            <w:vAlign w:val="center"/>
          </w:tcPr>
          <w:p w14:paraId="795B89A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1649" w:type="dxa"/>
            <w:tcBorders>
              <w:tl2br w:val="nil"/>
              <w:tr2bl w:val="nil"/>
            </w:tcBorders>
            <w:noWrap w:val="0"/>
            <w:vAlign w:val="center"/>
          </w:tcPr>
          <w:p w14:paraId="5BF487E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K74+740</w:t>
            </w:r>
          </w:p>
        </w:tc>
        <w:tc>
          <w:tcPr>
            <w:tcW w:w="1645" w:type="dxa"/>
            <w:tcBorders>
              <w:tl2br w:val="nil"/>
              <w:tr2bl w:val="nil"/>
            </w:tcBorders>
            <w:noWrap w:val="0"/>
            <w:vAlign w:val="center"/>
          </w:tcPr>
          <w:p w14:paraId="2A233C5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路基左侧150m</w:t>
            </w:r>
          </w:p>
        </w:tc>
        <w:tc>
          <w:tcPr>
            <w:tcW w:w="1260" w:type="dxa"/>
            <w:tcBorders>
              <w:tl2br w:val="nil"/>
              <w:tr2bl w:val="nil"/>
            </w:tcBorders>
            <w:noWrap w:val="0"/>
            <w:vAlign w:val="center"/>
          </w:tcPr>
          <w:p w14:paraId="26B6049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9.8</w:t>
            </w:r>
          </w:p>
        </w:tc>
        <w:tc>
          <w:tcPr>
            <w:tcW w:w="1089" w:type="dxa"/>
            <w:tcBorders>
              <w:tl2br w:val="nil"/>
              <w:tr2bl w:val="nil"/>
            </w:tcBorders>
            <w:noWrap w:val="0"/>
            <w:vAlign w:val="center"/>
          </w:tcPr>
          <w:p w14:paraId="10B3F07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14.78</w:t>
            </w:r>
          </w:p>
        </w:tc>
        <w:tc>
          <w:tcPr>
            <w:tcW w:w="1260" w:type="dxa"/>
            <w:tcBorders>
              <w:tl2br w:val="nil"/>
              <w:tr2bl w:val="nil"/>
            </w:tcBorders>
            <w:noWrap w:val="0"/>
            <w:vAlign w:val="center"/>
          </w:tcPr>
          <w:p w14:paraId="7D80D68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w:t>
            </w:r>
          </w:p>
        </w:tc>
        <w:tc>
          <w:tcPr>
            <w:tcW w:w="1327" w:type="dxa"/>
            <w:tcBorders>
              <w:tl2br w:val="nil"/>
              <w:tr2bl w:val="nil"/>
            </w:tcBorders>
            <w:noWrap w:val="0"/>
            <w:vAlign w:val="center"/>
          </w:tcPr>
          <w:p w14:paraId="191A0AE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坡地型</w:t>
            </w:r>
          </w:p>
        </w:tc>
        <w:tc>
          <w:tcPr>
            <w:tcW w:w="1090" w:type="dxa"/>
            <w:tcBorders>
              <w:tl2br w:val="nil"/>
              <w:tr2bl w:val="nil"/>
            </w:tcBorders>
            <w:noWrap w:val="0"/>
            <w:vAlign w:val="center"/>
          </w:tcPr>
          <w:p w14:paraId="2DE9244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21.52</w:t>
            </w:r>
          </w:p>
        </w:tc>
        <w:tc>
          <w:tcPr>
            <w:tcW w:w="1013" w:type="dxa"/>
            <w:tcBorders>
              <w:tl2br w:val="nil"/>
              <w:tr2bl w:val="nil"/>
            </w:tcBorders>
            <w:noWrap w:val="0"/>
            <w:vAlign w:val="center"/>
          </w:tcPr>
          <w:p w14:paraId="22D57F1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1.96</w:t>
            </w:r>
          </w:p>
        </w:tc>
        <w:tc>
          <w:tcPr>
            <w:tcW w:w="1010" w:type="dxa"/>
            <w:tcBorders>
              <w:tl2br w:val="nil"/>
              <w:tr2bl w:val="nil"/>
            </w:tcBorders>
            <w:noWrap w:val="0"/>
            <w:vAlign w:val="center"/>
          </w:tcPr>
          <w:p w14:paraId="2A4CD770">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936" w:type="dxa"/>
            <w:tcBorders>
              <w:tl2br w:val="nil"/>
              <w:tr2bl w:val="nil"/>
            </w:tcBorders>
            <w:noWrap w:val="0"/>
            <w:vAlign w:val="center"/>
          </w:tcPr>
          <w:p w14:paraId="0984926F">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13" w:type="dxa"/>
            <w:tcBorders>
              <w:tl2br w:val="nil"/>
              <w:tr2bl w:val="nil"/>
            </w:tcBorders>
            <w:noWrap w:val="0"/>
            <w:vAlign w:val="center"/>
          </w:tcPr>
          <w:p w14:paraId="60C90761">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1.96</w:t>
            </w:r>
          </w:p>
        </w:tc>
      </w:tr>
      <w:tr w14:paraId="7AA9E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944" w:type="dxa"/>
            <w:tcBorders>
              <w:tl2br w:val="nil"/>
              <w:tr2bl w:val="nil"/>
            </w:tcBorders>
            <w:noWrap w:val="0"/>
            <w:vAlign w:val="center"/>
          </w:tcPr>
          <w:p w14:paraId="6DA2679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1649" w:type="dxa"/>
            <w:tcBorders>
              <w:tl2br w:val="nil"/>
              <w:tr2bl w:val="nil"/>
            </w:tcBorders>
            <w:noWrap w:val="0"/>
            <w:vAlign w:val="center"/>
          </w:tcPr>
          <w:p w14:paraId="4A57301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小沔枢纽互通D匝道DK0+250右侧</w:t>
            </w:r>
          </w:p>
        </w:tc>
        <w:tc>
          <w:tcPr>
            <w:tcW w:w="1645" w:type="dxa"/>
            <w:tcBorders>
              <w:tl2br w:val="nil"/>
              <w:tr2bl w:val="nil"/>
            </w:tcBorders>
            <w:noWrap w:val="0"/>
            <w:vAlign w:val="center"/>
          </w:tcPr>
          <w:p w14:paraId="4723BC11">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路基右侧</w:t>
            </w:r>
          </w:p>
        </w:tc>
        <w:tc>
          <w:tcPr>
            <w:tcW w:w="1260" w:type="dxa"/>
            <w:tcBorders>
              <w:tl2br w:val="nil"/>
              <w:tr2bl w:val="nil"/>
            </w:tcBorders>
            <w:noWrap w:val="0"/>
            <w:vAlign w:val="center"/>
          </w:tcPr>
          <w:p w14:paraId="333F5E4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5.8</w:t>
            </w:r>
          </w:p>
        </w:tc>
        <w:tc>
          <w:tcPr>
            <w:tcW w:w="1089" w:type="dxa"/>
            <w:tcBorders>
              <w:tl2br w:val="nil"/>
              <w:tr2bl w:val="nil"/>
            </w:tcBorders>
            <w:noWrap w:val="0"/>
            <w:vAlign w:val="center"/>
          </w:tcPr>
          <w:p w14:paraId="1F98E56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7.26</w:t>
            </w:r>
          </w:p>
        </w:tc>
        <w:tc>
          <w:tcPr>
            <w:tcW w:w="1260" w:type="dxa"/>
            <w:tcBorders>
              <w:tl2br w:val="nil"/>
              <w:tr2bl w:val="nil"/>
            </w:tcBorders>
            <w:noWrap w:val="0"/>
            <w:vAlign w:val="center"/>
          </w:tcPr>
          <w:p w14:paraId="7B8E474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1327" w:type="dxa"/>
            <w:tcBorders>
              <w:tl2br w:val="nil"/>
              <w:tr2bl w:val="nil"/>
            </w:tcBorders>
            <w:noWrap w:val="0"/>
            <w:vAlign w:val="center"/>
          </w:tcPr>
          <w:p w14:paraId="408A25D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填凹型</w:t>
            </w:r>
          </w:p>
        </w:tc>
        <w:tc>
          <w:tcPr>
            <w:tcW w:w="1090" w:type="dxa"/>
            <w:tcBorders>
              <w:tl2br w:val="nil"/>
              <w:tr2bl w:val="nil"/>
            </w:tcBorders>
            <w:noWrap w:val="0"/>
            <w:vAlign w:val="center"/>
          </w:tcPr>
          <w:p w14:paraId="1F73118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11.14</w:t>
            </w:r>
          </w:p>
        </w:tc>
        <w:tc>
          <w:tcPr>
            <w:tcW w:w="1013" w:type="dxa"/>
            <w:tcBorders>
              <w:tl2br w:val="nil"/>
              <w:tr2bl w:val="nil"/>
            </w:tcBorders>
            <w:noWrap w:val="0"/>
            <w:vAlign w:val="center"/>
          </w:tcPr>
          <w:p w14:paraId="6908E7D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1.55</w:t>
            </w:r>
          </w:p>
        </w:tc>
        <w:tc>
          <w:tcPr>
            <w:tcW w:w="1010" w:type="dxa"/>
            <w:tcBorders>
              <w:tl2br w:val="nil"/>
              <w:tr2bl w:val="nil"/>
            </w:tcBorders>
            <w:noWrap w:val="0"/>
            <w:vAlign w:val="center"/>
          </w:tcPr>
          <w:p w14:paraId="6E65103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0.06</w:t>
            </w:r>
          </w:p>
        </w:tc>
        <w:tc>
          <w:tcPr>
            <w:tcW w:w="936" w:type="dxa"/>
            <w:tcBorders>
              <w:tl2br w:val="nil"/>
              <w:tr2bl w:val="nil"/>
            </w:tcBorders>
            <w:noWrap w:val="0"/>
            <w:vAlign w:val="center"/>
          </w:tcPr>
          <w:p w14:paraId="1B72E121">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13" w:type="dxa"/>
            <w:tcBorders>
              <w:tl2br w:val="nil"/>
              <w:tr2bl w:val="nil"/>
            </w:tcBorders>
            <w:noWrap w:val="0"/>
            <w:vAlign w:val="center"/>
          </w:tcPr>
          <w:p w14:paraId="667DE45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1.62</w:t>
            </w:r>
          </w:p>
        </w:tc>
      </w:tr>
      <w:tr w14:paraId="581E8E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944" w:type="dxa"/>
            <w:tcBorders>
              <w:tl2br w:val="nil"/>
              <w:tr2bl w:val="nil"/>
            </w:tcBorders>
            <w:noWrap w:val="0"/>
            <w:vAlign w:val="center"/>
          </w:tcPr>
          <w:p w14:paraId="416A947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1649" w:type="dxa"/>
            <w:tcBorders>
              <w:tl2br w:val="nil"/>
              <w:tr2bl w:val="nil"/>
            </w:tcBorders>
            <w:noWrap w:val="0"/>
            <w:vAlign w:val="center"/>
          </w:tcPr>
          <w:p w14:paraId="51FB0220">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645" w:type="dxa"/>
            <w:tcBorders>
              <w:tl2br w:val="nil"/>
              <w:tr2bl w:val="nil"/>
            </w:tcBorders>
            <w:noWrap w:val="0"/>
            <w:vAlign w:val="center"/>
          </w:tcPr>
          <w:p w14:paraId="70BBBE54">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260" w:type="dxa"/>
            <w:tcBorders>
              <w:tl2br w:val="nil"/>
              <w:tr2bl w:val="nil"/>
            </w:tcBorders>
            <w:noWrap w:val="0"/>
            <w:vAlign w:val="center"/>
          </w:tcPr>
          <w:p w14:paraId="11898BB2">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89" w:type="dxa"/>
            <w:tcBorders>
              <w:tl2br w:val="nil"/>
              <w:tr2bl w:val="nil"/>
            </w:tcBorders>
            <w:noWrap w:val="0"/>
            <w:vAlign w:val="center"/>
          </w:tcPr>
          <w:p w14:paraId="16B60A7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30.18</w:t>
            </w:r>
          </w:p>
        </w:tc>
        <w:tc>
          <w:tcPr>
            <w:tcW w:w="1260" w:type="dxa"/>
            <w:tcBorders>
              <w:tl2br w:val="nil"/>
              <w:tr2bl w:val="nil"/>
            </w:tcBorders>
            <w:noWrap w:val="0"/>
            <w:vAlign w:val="center"/>
          </w:tcPr>
          <w:p w14:paraId="189ABA0F">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327" w:type="dxa"/>
            <w:tcBorders>
              <w:tl2br w:val="nil"/>
              <w:tr2bl w:val="nil"/>
            </w:tcBorders>
            <w:noWrap w:val="0"/>
            <w:vAlign w:val="center"/>
          </w:tcPr>
          <w:p w14:paraId="3C22B16B">
            <w:pPr>
              <w:pStyle w:val="38"/>
              <w:bidi w:val="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1090" w:type="dxa"/>
            <w:tcBorders>
              <w:tl2br w:val="nil"/>
              <w:tr2bl w:val="nil"/>
            </w:tcBorders>
            <w:noWrap w:val="0"/>
            <w:vAlign w:val="center"/>
          </w:tcPr>
          <w:p w14:paraId="504D62B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44.78</w:t>
            </w:r>
          </w:p>
        </w:tc>
        <w:tc>
          <w:tcPr>
            <w:tcW w:w="1013" w:type="dxa"/>
            <w:tcBorders>
              <w:tl2br w:val="nil"/>
              <w:tr2bl w:val="nil"/>
            </w:tcBorders>
            <w:noWrap w:val="0"/>
            <w:vAlign w:val="center"/>
          </w:tcPr>
          <w:p w14:paraId="0259B2F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5.29</w:t>
            </w:r>
          </w:p>
        </w:tc>
        <w:tc>
          <w:tcPr>
            <w:tcW w:w="1010" w:type="dxa"/>
            <w:tcBorders>
              <w:tl2br w:val="nil"/>
              <w:tr2bl w:val="nil"/>
            </w:tcBorders>
            <w:noWrap w:val="0"/>
            <w:vAlign w:val="center"/>
          </w:tcPr>
          <w:p w14:paraId="24DB107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0.17</w:t>
            </w:r>
          </w:p>
        </w:tc>
        <w:tc>
          <w:tcPr>
            <w:tcW w:w="936" w:type="dxa"/>
            <w:tcBorders>
              <w:tl2br w:val="nil"/>
              <w:tr2bl w:val="nil"/>
            </w:tcBorders>
            <w:noWrap w:val="0"/>
            <w:vAlign w:val="center"/>
          </w:tcPr>
          <w:p w14:paraId="6DF6279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0.04</w:t>
            </w:r>
          </w:p>
        </w:tc>
        <w:tc>
          <w:tcPr>
            <w:tcW w:w="1013" w:type="dxa"/>
            <w:tcBorders>
              <w:tl2br w:val="nil"/>
              <w:tr2bl w:val="nil"/>
            </w:tcBorders>
            <w:noWrap w:val="0"/>
            <w:vAlign w:val="center"/>
          </w:tcPr>
          <w:p w14:paraId="77950D9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5.50</w:t>
            </w:r>
          </w:p>
        </w:tc>
      </w:tr>
    </w:tbl>
    <w:p w14:paraId="60238BF8">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outlineLvl w:val="9"/>
        <w:rPr>
          <w:rFonts w:hint="default" w:ascii="Times New Roman" w:hAnsi="Times New Roman" w:eastAsia="宋体" w:cs="Times New Roman"/>
          <w:color w:val="auto"/>
          <w:spacing w:val="0"/>
          <w:w w:val="100"/>
          <w:kern w:val="0"/>
          <w:position w:val="0"/>
          <w:lang w:eastAsia="zh-CN"/>
        </w:rPr>
        <w:sectPr>
          <w:headerReference r:id="rId17" w:type="default"/>
          <w:pgSz w:w="16840" w:h="11905"/>
          <w:pgMar w:top="1440" w:right="1080" w:bottom="1440" w:left="1080" w:header="1048" w:footer="1012" w:gutter="0"/>
          <w:pgBorders>
            <w:top w:val="none" w:sz="0" w:space="0"/>
            <w:left w:val="none" w:sz="0" w:space="0"/>
            <w:bottom w:val="none" w:sz="0" w:space="0"/>
            <w:right w:val="none" w:sz="0" w:space="0"/>
          </w:pgBorders>
          <w:pgNumType w:fmt="decimal"/>
          <w:cols w:space="720" w:num="1"/>
        </w:sectPr>
      </w:pPr>
    </w:p>
    <w:p w14:paraId="6F356CEE">
      <w:pPr>
        <w:pStyle w:val="5"/>
        <w:keepNext/>
        <w:keepLines/>
        <w:pageBreakBefore w:val="0"/>
        <w:numPr>
          <w:ilvl w:val="0"/>
          <w:numId w:val="0"/>
        </w:numPr>
        <w:tabs>
          <w:tab w:val="left" w:pos="0"/>
        </w:tabs>
        <w:wordWrap/>
        <w:topLinePunct w:val="0"/>
        <w:autoSpaceDE w:val="0"/>
        <w:autoSpaceDN w:val="0"/>
        <w:bidi w:val="0"/>
        <w:adjustRightInd w:val="0"/>
        <w:snapToGrid w:val="0"/>
        <w:spacing w:beforeLines="0"/>
        <w:textAlignment w:val="baseline"/>
        <w:rPr>
          <w:rFonts w:hint="default" w:ascii="Times New Roman" w:hAnsi="Times New Roman" w:eastAsia="宋体" w:cs="Times New Roman"/>
          <w:b/>
          <w:snapToGrid w:val="0"/>
          <w:color w:val="auto"/>
          <w:kern w:val="0"/>
          <w:sz w:val="28"/>
          <w:szCs w:val="28"/>
          <w:lang w:val="en-US" w:eastAsia="zh-CN" w:bidi="ar-SA"/>
        </w:rPr>
      </w:pPr>
      <w:bookmarkStart w:id="70" w:name="bookmark24"/>
      <w:bookmarkEnd w:id="70"/>
      <w:bookmarkStart w:id="71" w:name="_Toc8348"/>
      <w:bookmarkStart w:id="72" w:name="_Toc9346"/>
      <w:bookmarkStart w:id="73" w:name="_Toc12271"/>
      <w:bookmarkStart w:id="74" w:name="_Toc10228"/>
      <w:r>
        <w:rPr>
          <w:rFonts w:hint="default" w:ascii="Times New Roman" w:hAnsi="Times New Roman" w:eastAsia="宋体" w:cs="Times New Roman"/>
          <w:b/>
          <w:snapToGrid w:val="0"/>
          <w:color w:val="auto"/>
          <w:kern w:val="0"/>
          <w:sz w:val="28"/>
          <w:szCs w:val="28"/>
          <w:lang w:val="en-US" w:eastAsia="zh-CN" w:bidi="ar-SA"/>
        </w:rPr>
        <w:t>2.</w:t>
      </w:r>
      <w:r>
        <w:rPr>
          <w:rFonts w:hint="eastAsia" w:ascii="Times New Roman" w:hAnsi="Times New Roman" w:eastAsia="宋体" w:cs="Times New Roman"/>
          <w:b/>
          <w:snapToGrid w:val="0"/>
          <w:color w:val="auto"/>
          <w:kern w:val="0"/>
          <w:sz w:val="28"/>
          <w:szCs w:val="28"/>
          <w:lang w:val="en-US" w:eastAsia="zh-CN" w:bidi="ar-SA"/>
        </w:rPr>
        <w:t>3</w:t>
      </w:r>
      <w:r>
        <w:rPr>
          <w:rFonts w:hint="default" w:ascii="Times New Roman" w:hAnsi="Times New Roman" w:eastAsia="宋体" w:cs="Times New Roman"/>
          <w:b/>
          <w:snapToGrid w:val="0"/>
          <w:color w:val="auto"/>
          <w:kern w:val="0"/>
          <w:sz w:val="28"/>
          <w:szCs w:val="28"/>
          <w:lang w:val="en-US" w:eastAsia="zh-CN" w:bidi="ar-SA"/>
        </w:rPr>
        <w:t>.</w:t>
      </w:r>
      <w:r>
        <w:rPr>
          <w:rFonts w:hint="eastAsia" w:ascii="Times New Roman" w:hAnsi="Times New Roman" w:eastAsia="宋体" w:cs="Times New Roman"/>
          <w:b/>
          <w:snapToGrid w:val="0"/>
          <w:color w:val="auto"/>
          <w:kern w:val="0"/>
          <w:sz w:val="28"/>
          <w:szCs w:val="28"/>
          <w:lang w:val="en-US" w:eastAsia="zh-CN" w:bidi="ar-SA"/>
        </w:rPr>
        <w:t xml:space="preserve">11.3 </w:t>
      </w:r>
      <w:r>
        <w:rPr>
          <w:rFonts w:hint="default" w:ascii="Times New Roman" w:hAnsi="Times New Roman" w:eastAsia="宋体" w:cs="Times New Roman"/>
          <w:b/>
          <w:snapToGrid w:val="0"/>
          <w:color w:val="auto"/>
          <w:kern w:val="0"/>
          <w:sz w:val="28"/>
          <w:szCs w:val="28"/>
          <w:lang w:val="en-US" w:eastAsia="zh-CN" w:bidi="ar-SA"/>
        </w:rPr>
        <w:t>施工场地</w:t>
      </w:r>
    </w:p>
    <w:p w14:paraId="2B6A4421">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leftChars="0" w:firstLine="480" w:firstLineChars="200"/>
        <w:textAlignment w:val="baseline"/>
        <w:outlineLvl w:val="9"/>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（1）</w:t>
      </w:r>
      <w:r>
        <w:rPr>
          <w:rFonts w:hint="eastAsia" w:cs="Times New Roman"/>
          <w:b w:val="0"/>
          <w:bCs w:val="0"/>
          <w:color w:val="auto"/>
          <w:spacing w:val="0"/>
          <w:w w:val="100"/>
          <w:kern w:val="0"/>
          <w:position w:val="0"/>
          <w:sz w:val="24"/>
          <w:szCs w:val="24"/>
          <w:lang w:val="en-US" w:eastAsia="zh-CN"/>
        </w:rPr>
        <w:t>拌和</w:t>
      </w:r>
      <w:r>
        <w:rPr>
          <w:rFonts w:hint="default" w:ascii="Times New Roman" w:hAnsi="Times New Roman" w:eastAsia="宋体" w:cs="Times New Roman"/>
          <w:b w:val="0"/>
          <w:bCs w:val="0"/>
          <w:color w:val="auto"/>
          <w:spacing w:val="0"/>
          <w:w w:val="100"/>
          <w:kern w:val="0"/>
          <w:position w:val="0"/>
          <w:sz w:val="24"/>
          <w:szCs w:val="24"/>
          <w:lang w:val="en-US" w:eastAsia="zh-CN"/>
        </w:rPr>
        <w:t>场</w:t>
      </w:r>
    </w:p>
    <w:p w14:paraId="77D8E6B3">
      <w:pPr>
        <w:keepNext w:val="0"/>
        <w:keepLines w:val="0"/>
        <w:pageBreakBefore w:val="0"/>
        <w:wordWrap/>
        <w:topLinePunct w:val="0"/>
        <w:autoSpaceDE w:val="0"/>
        <w:autoSpaceDN w:val="0"/>
        <w:bidi w:val="0"/>
        <w:adjustRightInd w:val="0"/>
        <w:snapToGrid w:val="0"/>
        <w:spacing w:line="360" w:lineRule="auto"/>
        <w:ind w:leftChars="0"/>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t>由于项目混凝土使用量较大，公路在小沔</w:t>
      </w:r>
      <w:r>
        <w:rPr>
          <w:rFonts w:hint="default" w:ascii="Times New Roman" w:hAnsi="Times New Roman" w:eastAsia="宋体" w:cs="Times New Roman"/>
          <w:snapToGrid w:val="0"/>
          <w:color w:val="auto"/>
          <w:kern w:val="0"/>
          <w:sz w:val="24"/>
          <w:szCs w:val="24"/>
          <w:lang w:val="en-US" w:eastAsia="zh-CN" w:bidi="ar-SA"/>
        </w:rPr>
        <w:t>收费站永久占地区内</w:t>
      </w:r>
      <w:r>
        <w:rPr>
          <w:rFonts w:hint="default" w:ascii="Times New Roman" w:hAnsi="Times New Roman" w:eastAsia="宋体" w:cs="Times New Roman"/>
          <w:color w:val="auto"/>
          <w:sz w:val="24"/>
          <w:szCs w:val="24"/>
          <w:lang w:val="en-US" w:eastAsia="zh-CN"/>
        </w:rPr>
        <w:t>设置1处混凝土</w:t>
      </w:r>
      <w:r>
        <w:rPr>
          <w:rFonts w:hint="eastAsia" w:cs="Times New Roman"/>
          <w:color w:val="auto"/>
          <w:sz w:val="24"/>
          <w:szCs w:val="24"/>
          <w:lang w:val="en-US" w:eastAsia="zh-CN"/>
        </w:rPr>
        <w:t>拌和</w:t>
      </w:r>
      <w:r>
        <w:rPr>
          <w:rFonts w:hint="default" w:ascii="Times New Roman" w:hAnsi="Times New Roman" w:eastAsia="宋体" w:cs="Times New Roman"/>
          <w:color w:val="auto"/>
          <w:sz w:val="24"/>
          <w:szCs w:val="24"/>
          <w:lang w:val="en-US" w:eastAsia="zh-CN"/>
        </w:rPr>
        <w:t>场，临时</w:t>
      </w:r>
      <w:r>
        <w:rPr>
          <w:rFonts w:hint="eastAsia" w:cs="Times New Roman"/>
          <w:color w:val="auto"/>
          <w:sz w:val="24"/>
          <w:szCs w:val="24"/>
          <w:lang w:val="en-US" w:eastAsia="zh-CN"/>
        </w:rPr>
        <w:t>拌和</w:t>
      </w:r>
      <w:r>
        <w:rPr>
          <w:rFonts w:hint="default" w:ascii="Times New Roman" w:hAnsi="Times New Roman" w:eastAsia="宋体" w:cs="Times New Roman"/>
          <w:color w:val="auto"/>
          <w:sz w:val="24"/>
          <w:szCs w:val="24"/>
          <w:lang w:val="en-US" w:eastAsia="zh-CN"/>
        </w:rPr>
        <w:t>场设置情况见</w:t>
      </w:r>
      <w:r>
        <w:rPr>
          <w:rFonts w:hint="eastAsia" w:cs="Times New Roman"/>
          <w:color w:val="auto"/>
          <w:sz w:val="24"/>
          <w:szCs w:val="24"/>
          <w:lang w:val="en-US" w:eastAsia="zh-CN"/>
        </w:rPr>
        <w:t>下</w:t>
      </w:r>
      <w:r>
        <w:rPr>
          <w:rFonts w:hint="default" w:ascii="Times New Roman" w:hAnsi="Times New Roman" w:eastAsia="宋体" w:cs="Times New Roman"/>
          <w:color w:val="auto"/>
          <w:sz w:val="24"/>
          <w:szCs w:val="24"/>
          <w:lang w:val="en-US" w:eastAsia="zh-CN"/>
        </w:rPr>
        <w:t>表。</w:t>
      </w:r>
    </w:p>
    <w:p w14:paraId="729F9B9A">
      <w:pPr>
        <w:numPr>
          <w:ilvl w:val="0"/>
          <w:numId w:val="0"/>
        </w:numPr>
        <w:tabs>
          <w:tab w:val="left" w:pos="0"/>
        </w:tabs>
        <w:bidi w:val="0"/>
        <w:spacing w:line="360" w:lineRule="auto"/>
        <w:ind w:left="0" w:leftChars="0" w:firstLine="0" w:firstLineChars="0"/>
        <w:jc w:val="center"/>
        <w:outlineLvl w:val="9"/>
        <w:rPr>
          <w:rFonts w:hint="default" w:cs="Times New Roman"/>
          <w:b/>
          <w:bCs/>
          <w:snapToGrid w:val="0"/>
          <w:color w:val="auto"/>
          <w:kern w:val="0"/>
          <w:sz w:val="21"/>
          <w:szCs w:val="21"/>
          <w:lang w:val="en-US" w:eastAsia="zh-CN" w:bidi="ar-SA"/>
        </w:rPr>
      </w:pPr>
      <w:r>
        <w:rPr>
          <w:rFonts w:hint="default" w:cs="Times New Roman"/>
          <w:b/>
          <w:bCs/>
          <w:snapToGrid w:val="0"/>
          <w:color w:val="auto"/>
          <w:kern w:val="0"/>
          <w:sz w:val="21"/>
          <w:szCs w:val="21"/>
          <w:lang w:val="en-US" w:eastAsia="en-US" w:bidi="ar-SA"/>
        </w:rPr>
        <w:t>表2.</w:t>
      </w:r>
      <w:r>
        <w:rPr>
          <w:rFonts w:hint="eastAsia" w:cs="Times New Roman"/>
          <w:b/>
          <w:bCs/>
          <w:snapToGrid w:val="0"/>
          <w:color w:val="auto"/>
          <w:kern w:val="0"/>
          <w:sz w:val="21"/>
          <w:szCs w:val="21"/>
          <w:lang w:val="en-US" w:eastAsia="zh-CN" w:bidi="ar-SA"/>
        </w:rPr>
        <w:t>3</w:t>
      </w:r>
      <w:r>
        <w:rPr>
          <w:rFonts w:hint="default" w:cs="Times New Roman"/>
          <w:b/>
          <w:bCs/>
          <w:snapToGrid w:val="0"/>
          <w:color w:val="auto"/>
          <w:kern w:val="0"/>
          <w:sz w:val="21"/>
          <w:szCs w:val="21"/>
          <w:lang w:val="en-US" w:eastAsia="en-US" w:bidi="ar-SA"/>
        </w:rPr>
        <w:t>-</w:t>
      </w:r>
      <w:r>
        <w:rPr>
          <w:rFonts w:hint="eastAsia" w:cs="Times New Roman"/>
          <w:b/>
          <w:bCs/>
          <w:snapToGrid w:val="0"/>
          <w:color w:val="auto"/>
          <w:kern w:val="0"/>
          <w:sz w:val="21"/>
          <w:szCs w:val="21"/>
          <w:lang w:val="en-US" w:eastAsia="zh-CN" w:bidi="ar-SA"/>
        </w:rPr>
        <w:t>15</w:t>
      </w:r>
      <w:r>
        <w:rPr>
          <w:rFonts w:hint="default" w:cs="Times New Roman"/>
          <w:b/>
          <w:bCs/>
          <w:snapToGrid w:val="0"/>
          <w:color w:val="auto"/>
          <w:kern w:val="0"/>
          <w:sz w:val="21"/>
          <w:szCs w:val="21"/>
          <w:lang w:val="en-US" w:eastAsia="en-US" w:bidi="ar-SA"/>
        </w:rPr>
        <w:t xml:space="preserve">  </w:t>
      </w:r>
      <w:r>
        <w:rPr>
          <w:rFonts w:hint="default" w:cs="Times New Roman"/>
          <w:b/>
          <w:bCs/>
          <w:snapToGrid w:val="0"/>
          <w:color w:val="auto"/>
          <w:kern w:val="0"/>
          <w:sz w:val="21"/>
          <w:szCs w:val="21"/>
          <w:lang w:val="en-US" w:eastAsia="zh-CN" w:bidi="ar-SA"/>
        </w:rPr>
        <w:t>项目建设临时</w:t>
      </w:r>
      <w:r>
        <w:rPr>
          <w:rFonts w:hint="eastAsia" w:cs="Times New Roman"/>
          <w:b/>
          <w:bCs/>
          <w:snapToGrid w:val="0"/>
          <w:color w:val="auto"/>
          <w:kern w:val="0"/>
          <w:sz w:val="21"/>
          <w:szCs w:val="21"/>
          <w:lang w:val="en-US" w:eastAsia="zh-CN" w:bidi="ar-SA"/>
        </w:rPr>
        <w:t>拌和</w:t>
      </w:r>
      <w:r>
        <w:rPr>
          <w:rFonts w:hint="default" w:cs="Times New Roman"/>
          <w:b/>
          <w:bCs/>
          <w:snapToGrid w:val="0"/>
          <w:color w:val="auto"/>
          <w:kern w:val="0"/>
          <w:sz w:val="21"/>
          <w:szCs w:val="21"/>
          <w:lang w:val="en-US" w:eastAsia="zh-CN" w:bidi="ar-SA"/>
        </w:rPr>
        <w:t>场设置情况</w:t>
      </w:r>
    </w:p>
    <w:tbl>
      <w:tblPr>
        <w:tblStyle w:val="36"/>
        <w:tblW w:w="49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05"/>
        <w:gridCol w:w="744"/>
        <w:gridCol w:w="1826"/>
        <w:gridCol w:w="985"/>
        <w:gridCol w:w="1222"/>
        <w:gridCol w:w="1278"/>
        <w:gridCol w:w="1760"/>
      </w:tblGrid>
      <w:tr w14:paraId="35B1C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246" w:type="pct"/>
            <w:tcBorders>
              <w:tl2br w:val="nil"/>
              <w:tr2bl w:val="nil"/>
            </w:tcBorders>
            <w:noWrap w:val="0"/>
            <w:textDirection w:val="tbRlV"/>
            <w:vAlign w:val="center"/>
          </w:tcPr>
          <w:p w14:paraId="327F67C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序号</w:t>
            </w:r>
          </w:p>
        </w:tc>
        <w:tc>
          <w:tcPr>
            <w:tcW w:w="452" w:type="pct"/>
            <w:tcBorders>
              <w:tl2br w:val="nil"/>
              <w:tr2bl w:val="nil"/>
            </w:tcBorders>
            <w:noWrap w:val="0"/>
            <w:vAlign w:val="center"/>
          </w:tcPr>
          <w:p w14:paraId="401BF05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名称</w:t>
            </w:r>
          </w:p>
        </w:tc>
        <w:tc>
          <w:tcPr>
            <w:tcW w:w="1110" w:type="pct"/>
            <w:tcBorders>
              <w:tl2br w:val="nil"/>
              <w:tr2bl w:val="nil"/>
            </w:tcBorders>
            <w:noWrap w:val="0"/>
            <w:vAlign w:val="center"/>
          </w:tcPr>
          <w:p w14:paraId="1E11BBE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所在桩号与</w:t>
            </w:r>
          </w:p>
          <w:p w14:paraId="66FA0A9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主线位置关系</w:t>
            </w:r>
          </w:p>
        </w:tc>
        <w:tc>
          <w:tcPr>
            <w:tcW w:w="599" w:type="pct"/>
            <w:tcBorders>
              <w:tl2br w:val="nil"/>
              <w:tr2bl w:val="nil"/>
            </w:tcBorders>
            <w:noWrap w:val="0"/>
            <w:vAlign w:val="center"/>
          </w:tcPr>
          <w:p w14:paraId="00F5A71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面积</w:t>
            </w:r>
            <w:r>
              <w:rPr>
                <w:rFonts w:hint="default" w:ascii="Times New Roman" w:hAnsi="Times New Roman" w:eastAsia="宋体"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en-US" w:bidi="ar-SA"/>
              </w:rPr>
              <w:t>hm</w:t>
            </w:r>
            <w:r>
              <w:rPr>
                <w:rFonts w:hint="default" w:ascii="Times New Roman" w:hAnsi="Times New Roman" w:eastAsia="宋体" w:cs="Times New Roman"/>
                <w:snapToGrid w:val="0"/>
                <w:color w:val="auto"/>
                <w:kern w:val="0"/>
                <w:sz w:val="21"/>
                <w:szCs w:val="21"/>
                <w:highlight w:val="none"/>
                <w:vertAlign w:val="superscript"/>
                <w:lang w:val="en-US" w:eastAsia="en-US" w:bidi="ar-SA"/>
              </w:rPr>
              <w:t>2</w:t>
            </w:r>
            <w:r>
              <w:rPr>
                <w:rFonts w:hint="eastAsia" w:cs="Times New Roman"/>
                <w:snapToGrid w:val="0"/>
                <w:color w:val="auto"/>
                <w:kern w:val="0"/>
                <w:sz w:val="21"/>
                <w:szCs w:val="21"/>
                <w:highlight w:val="none"/>
                <w:vertAlign w:val="superscript"/>
                <w:lang w:val="en-US" w:eastAsia="zh-CN" w:bidi="ar-SA"/>
              </w:rPr>
              <w:t>）</w:t>
            </w:r>
          </w:p>
        </w:tc>
        <w:tc>
          <w:tcPr>
            <w:tcW w:w="743" w:type="pct"/>
            <w:tcBorders>
              <w:tl2br w:val="nil"/>
              <w:tr2bl w:val="nil"/>
            </w:tcBorders>
            <w:noWrap w:val="0"/>
            <w:vAlign w:val="center"/>
          </w:tcPr>
          <w:p w14:paraId="19BA5B4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占地类型</w:t>
            </w:r>
          </w:p>
        </w:tc>
        <w:tc>
          <w:tcPr>
            <w:tcW w:w="777" w:type="pct"/>
            <w:tcBorders>
              <w:tl2br w:val="nil"/>
              <w:tr2bl w:val="nil"/>
            </w:tcBorders>
            <w:noWrap w:val="0"/>
            <w:vAlign w:val="center"/>
          </w:tcPr>
          <w:p w14:paraId="5646899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所属县、乡（镇）</w:t>
            </w:r>
          </w:p>
        </w:tc>
        <w:tc>
          <w:tcPr>
            <w:tcW w:w="1070" w:type="pct"/>
            <w:tcBorders>
              <w:tl2br w:val="nil"/>
              <w:tr2bl w:val="nil"/>
            </w:tcBorders>
            <w:noWrap w:val="0"/>
            <w:vAlign w:val="center"/>
          </w:tcPr>
          <w:p w14:paraId="6932466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备注</w:t>
            </w:r>
          </w:p>
        </w:tc>
      </w:tr>
      <w:tr w14:paraId="6B66F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6" w:type="pct"/>
            <w:tcBorders>
              <w:tl2br w:val="nil"/>
              <w:tr2bl w:val="nil"/>
            </w:tcBorders>
            <w:noWrap w:val="0"/>
            <w:vAlign w:val="center"/>
          </w:tcPr>
          <w:p w14:paraId="60A3757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1</w:t>
            </w:r>
          </w:p>
        </w:tc>
        <w:tc>
          <w:tcPr>
            <w:tcW w:w="452" w:type="pct"/>
            <w:tcBorders>
              <w:tl2br w:val="nil"/>
              <w:tr2bl w:val="nil"/>
            </w:tcBorders>
            <w:noWrap w:val="0"/>
            <w:vAlign w:val="center"/>
          </w:tcPr>
          <w:p w14:paraId="77D503C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拌</w:t>
            </w:r>
            <w:r>
              <w:rPr>
                <w:rFonts w:hint="default" w:ascii="Times New Roman" w:hAnsi="Times New Roman" w:eastAsia="宋体" w:cs="Times New Roman"/>
                <w:snapToGrid w:val="0"/>
                <w:color w:val="auto"/>
                <w:kern w:val="0"/>
                <w:sz w:val="21"/>
                <w:szCs w:val="21"/>
                <w:highlight w:val="none"/>
                <w:lang w:val="en-US" w:eastAsia="zh-CN" w:bidi="ar-SA"/>
              </w:rPr>
              <w:t>合</w:t>
            </w:r>
            <w:r>
              <w:rPr>
                <w:rFonts w:hint="default" w:ascii="Times New Roman" w:hAnsi="Times New Roman" w:eastAsia="宋体" w:cs="Times New Roman"/>
                <w:snapToGrid w:val="0"/>
                <w:color w:val="auto"/>
                <w:kern w:val="0"/>
                <w:sz w:val="21"/>
                <w:szCs w:val="21"/>
                <w:highlight w:val="none"/>
                <w:lang w:val="en-US" w:eastAsia="en-US" w:bidi="ar-SA"/>
              </w:rPr>
              <w:t>场</w:t>
            </w:r>
          </w:p>
        </w:tc>
        <w:tc>
          <w:tcPr>
            <w:tcW w:w="1110" w:type="pct"/>
            <w:tcBorders>
              <w:tl2br w:val="nil"/>
              <w:tr2bl w:val="nil"/>
            </w:tcBorders>
            <w:noWrap w:val="0"/>
            <w:vAlign w:val="center"/>
          </w:tcPr>
          <w:p w14:paraId="5F289D9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K79+650</w:t>
            </w:r>
            <w:r>
              <w:rPr>
                <w:rFonts w:hint="eastAsia"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zh-CN" w:bidi="ar-SA"/>
              </w:rPr>
              <w:t>K79+760</w:t>
            </w:r>
          </w:p>
        </w:tc>
        <w:tc>
          <w:tcPr>
            <w:tcW w:w="599" w:type="pct"/>
            <w:tcBorders>
              <w:tl2br w:val="nil"/>
              <w:tr2bl w:val="nil"/>
            </w:tcBorders>
            <w:noWrap w:val="0"/>
            <w:vAlign w:val="center"/>
          </w:tcPr>
          <w:p w14:paraId="1A302FC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0.55</w:t>
            </w:r>
          </w:p>
        </w:tc>
        <w:tc>
          <w:tcPr>
            <w:tcW w:w="743" w:type="pct"/>
            <w:tcBorders>
              <w:tl2br w:val="nil"/>
              <w:tr2bl w:val="nil"/>
            </w:tcBorders>
            <w:noWrap w:val="0"/>
            <w:vAlign w:val="center"/>
          </w:tcPr>
          <w:p w14:paraId="456A54A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777" w:type="pct"/>
            <w:tcBorders>
              <w:tl2br w:val="nil"/>
              <w:tr2bl w:val="nil"/>
            </w:tcBorders>
            <w:noWrap w:val="0"/>
            <w:vAlign w:val="center"/>
          </w:tcPr>
          <w:p w14:paraId="3B42F52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合川区小沔镇</w:t>
            </w:r>
          </w:p>
        </w:tc>
        <w:tc>
          <w:tcPr>
            <w:tcW w:w="1070" w:type="pct"/>
            <w:tcBorders>
              <w:tl2br w:val="nil"/>
              <w:tr2bl w:val="nil"/>
            </w:tcBorders>
            <w:noWrap w:val="0"/>
            <w:vAlign w:val="center"/>
          </w:tcPr>
          <w:p w14:paraId="345A2B0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zh-CN" w:bidi="ar-SA"/>
              </w:rPr>
              <w:t>利用小沔收费站管理用房占地</w:t>
            </w:r>
          </w:p>
        </w:tc>
      </w:tr>
    </w:tbl>
    <w:p w14:paraId="0269E23E">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leftChars="0" w:firstLine="480" w:firstLineChars="200"/>
        <w:jc w:val="left"/>
        <w:textAlignment w:val="baseline"/>
        <w:outlineLvl w:val="9"/>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（2）预制场</w:t>
      </w:r>
    </w:p>
    <w:p w14:paraId="77B1E145">
      <w:pPr>
        <w:bidi w:val="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建设单位在沿线设置2处预制场，设置情况见</w:t>
      </w:r>
      <w:r>
        <w:rPr>
          <w:rFonts w:hint="eastAsia" w:cs="Times New Roman"/>
          <w:color w:val="auto"/>
          <w:spacing w:val="0"/>
          <w:w w:val="100"/>
          <w:kern w:val="0"/>
          <w:position w:val="0"/>
          <w:sz w:val="24"/>
          <w:szCs w:val="24"/>
          <w:lang w:val="en-US" w:eastAsia="zh-CN"/>
        </w:rPr>
        <w:t>下</w:t>
      </w:r>
      <w:r>
        <w:rPr>
          <w:rFonts w:hint="default" w:ascii="Times New Roman" w:hAnsi="Times New Roman" w:eastAsia="宋体" w:cs="Times New Roman"/>
          <w:color w:val="auto"/>
          <w:spacing w:val="0"/>
          <w:w w:val="100"/>
          <w:kern w:val="0"/>
          <w:position w:val="0"/>
          <w:sz w:val="24"/>
          <w:szCs w:val="24"/>
          <w:lang w:val="en-US" w:eastAsia="zh-CN"/>
        </w:rPr>
        <w:t>表。</w:t>
      </w:r>
    </w:p>
    <w:p w14:paraId="6051E8FD">
      <w:pPr>
        <w:numPr>
          <w:ilvl w:val="0"/>
          <w:numId w:val="0"/>
        </w:numPr>
        <w:tabs>
          <w:tab w:val="left" w:pos="0"/>
        </w:tabs>
        <w:bidi w:val="0"/>
        <w:spacing w:line="360" w:lineRule="auto"/>
        <w:ind w:left="0" w:leftChars="0" w:firstLine="0" w:firstLineChars="0"/>
        <w:jc w:val="center"/>
        <w:outlineLvl w:val="9"/>
        <w:rPr>
          <w:rFonts w:hint="default" w:cs="Times New Roman"/>
          <w:b/>
          <w:bCs/>
          <w:snapToGrid w:val="0"/>
          <w:color w:val="auto"/>
          <w:kern w:val="0"/>
          <w:sz w:val="21"/>
          <w:szCs w:val="21"/>
          <w:lang w:val="en-US" w:eastAsia="en-US" w:bidi="ar-SA"/>
        </w:rPr>
      </w:pPr>
      <w:r>
        <w:rPr>
          <w:rFonts w:hint="default" w:cs="Times New Roman"/>
          <w:b/>
          <w:bCs/>
          <w:snapToGrid w:val="0"/>
          <w:color w:val="auto"/>
          <w:kern w:val="0"/>
          <w:sz w:val="21"/>
          <w:szCs w:val="21"/>
          <w:lang w:val="en-US" w:eastAsia="en-US" w:bidi="ar-SA"/>
        </w:rPr>
        <w:t>表2.</w:t>
      </w:r>
      <w:r>
        <w:rPr>
          <w:rFonts w:hint="eastAsia" w:cs="Times New Roman"/>
          <w:b/>
          <w:bCs/>
          <w:snapToGrid w:val="0"/>
          <w:color w:val="auto"/>
          <w:kern w:val="0"/>
          <w:sz w:val="21"/>
          <w:szCs w:val="21"/>
          <w:lang w:val="en-US" w:eastAsia="zh-CN" w:bidi="ar-SA"/>
        </w:rPr>
        <w:t>3</w:t>
      </w:r>
      <w:r>
        <w:rPr>
          <w:rFonts w:hint="default" w:cs="Times New Roman"/>
          <w:b/>
          <w:bCs/>
          <w:snapToGrid w:val="0"/>
          <w:color w:val="auto"/>
          <w:kern w:val="0"/>
          <w:sz w:val="21"/>
          <w:szCs w:val="21"/>
          <w:lang w:val="en-US" w:eastAsia="en-US" w:bidi="ar-SA"/>
        </w:rPr>
        <w:t>-</w:t>
      </w:r>
      <w:r>
        <w:rPr>
          <w:rFonts w:hint="eastAsia" w:cs="Times New Roman"/>
          <w:b/>
          <w:bCs/>
          <w:snapToGrid w:val="0"/>
          <w:color w:val="auto"/>
          <w:kern w:val="0"/>
          <w:sz w:val="21"/>
          <w:szCs w:val="21"/>
          <w:lang w:val="en-US" w:eastAsia="zh-CN" w:bidi="ar-SA"/>
        </w:rPr>
        <w:t>16</w:t>
      </w:r>
      <w:r>
        <w:rPr>
          <w:rFonts w:hint="default" w:cs="Times New Roman"/>
          <w:b/>
          <w:bCs/>
          <w:snapToGrid w:val="0"/>
          <w:color w:val="auto"/>
          <w:kern w:val="0"/>
          <w:sz w:val="21"/>
          <w:szCs w:val="21"/>
          <w:lang w:val="en-US" w:eastAsia="en-US" w:bidi="ar-SA"/>
        </w:rPr>
        <w:t xml:space="preserve">  </w:t>
      </w:r>
      <w:r>
        <w:rPr>
          <w:rFonts w:hint="default" w:cs="Times New Roman"/>
          <w:b/>
          <w:bCs/>
          <w:snapToGrid w:val="0"/>
          <w:color w:val="auto"/>
          <w:kern w:val="0"/>
          <w:sz w:val="21"/>
          <w:szCs w:val="21"/>
          <w:lang w:val="en-US" w:eastAsia="zh-CN" w:bidi="ar-SA"/>
        </w:rPr>
        <w:t>项目</w:t>
      </w:r>
      <w:r>
        <w:rPr>
          <w:rFonts w:hint="default" w:cs="Times New Roman"/>
          <w:b/>
          <w:bCs/>
          <w:snapToGrid w:val="0"/>
          <w:color w:val="auto"/>
          <w:kern w:val="0"/>
          <w:sz w:val="21"/>
          <w:szCs w:val="21"/>
          <w:lang w:val="en-US" w:eastAsia="en-US" w:bidi="ar-SA"/>
        </w:rPr>
        <w:t>建设临时预制场设置情况</w:t>
      </w:r>
    </w:p>
    <w:tbl>
      <w:tblPr>
        <w:tblStyle w:val="36"/>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59"/>
        <w:gridCol w:w="884"/>
        <w:gridCol w:w="1757"/>
        <w:gridCol w:w="951"/>
        <w:gridCol w:w="1260"/>
        <w:gridCol w:w="1303"/>
        <w:gridCol w:w="1747"/>
      </w:tblGrid>
      <w:tr w14:paraId="0B6E3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9" w:hRule="atLeast"/>
          <w:jc w:val="center"/>
        </w:trPr>
        <w:tc>
          <w:tcPr>
            <w:tcW w:w="217" w:type="pct"/>
            <w:tcBorders>
              <w:tl2br w:val="nil"/>
              <w:tr2bl w:val="nil"/>
            </w:tcBorders>
            <w:noWrap w:val="0"/>
            <w:textDirection w:val="tbRlV"/>
            <w:vAlign w:val="center"/>
          </w:tcPr>
          <w:p w14:paraId="3176AE58">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535" w:type="pct"/>
            <w:tcBorders>
              <w:tl2br w:val="nil"/>
              <w:tr2bl w:val="nil"/>
            </w:tcBorders>
            <w:noWrap w:val="0"/>
            <w:vAlign w:val="center"/>
          </w:tcPr>
          <w:p w14:paraId="61012FF3">
            <w:pPr>
              <w:pStyle w:val="37"/>
              <w:bidi w:val="0"/>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名称</w:t>
            </w:r>
          </w:p>
        </w:tc>
        <w:tc>
          <w:tcPr>
            <w:tcW w:w="1063" w:type="pct"/>
            <w:tcBorders>
              <w:tl2br w:val="nil"/>
              <w:tr2bl w:val="nil"/>
            </w:tcBorders>
            <w:noWrap w:val="0"/>
            <w:vAlign w:val="center"/>
          </w:tcPr>
          <w:p w14:paraId="0A516412">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所在桩号</w:t>
            </w:r>
            <w:r>
              <w:rPr>
                <w:rFonts w:hint="default" w:ascii="Times New Roman" w:hAnsi="Times New Roman" w:cs="Times New Roman"/>
                <w:color w:val="auto"/>
                <w:lang w:val="en-US" w:eastAsia="zh-CN"/>
              </w:rPr>
              <w:t>及与主线位置关系</w:t>
            </w:r>
          </w:p>
        </w:tc>
        <w:tc>
          <w:tcPr>
            <w:tcW w:w="575" w:type="pct"/>
            <w:tcBorders>
              <w:tl2br w:val="nil"/>
              <w:tr2bl w:val="nil"/>
            </w:tcBorders>
            <w:noWrap w:val="0"/>
            <w:vAlign w:val="center"/>
          </w:tcPr>
          <w:p w14:paraId="31D4BD75">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面积</w:t>
            </w:r>
          </w:p>
          <w:p w14:paraId="67C04348">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hm</w:t>
            </w:r>
            <w:r>
              <w:rPr>
                <w:rFonts w:hint="default" w:ascii="Times New Roman" w:hAnsi="Times New Roman" w:eastAsia="宋体" w:cs="Times New Roman"/>
                <w:color w:val="auto"/>
                <w:vertAlign w:val="superscript"/>
              </w:rPr>
              <w:t>2</w:t>
            </w:r>
            <w:r>
              <w:rPr>
                <w:rFonts w:hint="eastAsia" w:cs="Times New Roman"/>
                <w:color w:val="auto"/>
                <w:vertAlign w:val="superscript"/>
                <w:lang w:eastAsia="zh-CN"/>
              </w:rPr>
              <w:t>)</w:t>
            </w:r>
          </w:p>
        </w:tc>
        <w:tc>
          <w:tcPr>
            <w:tcW w:w="762" w:type="pct"/>
            <w:tcBorders>
              <w:tl2br w:val="nil"/>
              <w:tr2bl w:val="nil"/>
            </w:tcBorders>
            <w:noWrap w:val="0"/>
            <w:vAlign w:val="center"/>
          </w:tcPr>
          <w:p w14:paraId="2100214B">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占地类型</w:t>
            </w:r>
          </w:p>
        </w:tc>
        <w:tc>
          <w:tcPr>
            <w:tcW w:w="788" w:type="pct"/>
            <w:tcBorders>
              <w:tl2br w:val="nil"/>
              <w:tr2bl w:val="nil"/>
            </w:tcBorders>
            <w:noWrap w:val="0"/>
            <w:vAlign w:val="center"/>
          </w:tcPr>
          <w:p w14:paraId="161851FD">
            <w:pPr>
              <w:pStyle w:val="37"/>
              <w:bidi w:val="0"/>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highlight w:val="none"/>
                <w:lang w:val="en-US" w:eastAsia="en-US" w:bidi="ar-SA"/>
              </w:rPr>
              <w:t>所属县、乡（镇）</w:t>
            </w:r>
          </w:p>
        </w:tc>
        <w:tc>
          <w:tcPr>
            <w:tcW w:w="1057" w:type="pct"/>
            <w:tcBorders>
              <w:tl2br w:val="nil"/>
              <w:tr2bl w:val="nil"/>
            </w:tcBorders>
            <w:noWrap w:val="0"/>
            <w:vAlign w:val="center"/>
          </w:tcPr>
          <w:p w14:paraId="7C3723A7">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6E537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9" w:hRule="atLeast"/>
          <w:jc w:val="center"/>
        </w:trPr>
        <w:tc>
          <w:tcPr>
            <w:tcW w:w="217" w:type="pct"/>
            <w:tcBorders>
              <w:tl2br w:val="nil"/>
              <w:tr2bl w:val="nil"/>
            </w:tcBorders>
            <w:noWrap w:val="0"/>
            <w:vAlign w:val="center"/>
          </w:tcPr>
          <w:p w14:paraId="44692AC6">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535" w:type="pct"/>
            <w:tcBorders>
              <w:tl2br w:val="nil"/>
              <w:tr2bl w:val="nil"/>
            </w:tcBorders>
            <w:noWrap w:val="0"/>
            <w:vAlign w:val="center"/>
          </w:tcPr>
          <w:p w14:paraId="4470FE63">
            <w:pPr>
              <w:pStyle w:val="37"/>
              <w:bidi w:val="0"/>
              <w:rPr>
                <w:rFonts w:hint="default" w:ascii="Times New Roman" w:hAnsi="Times New Roman" w:eastAsia="宋体" w:cs="Times New Roman"/>
                <w:color w:val="auto"/>
              </w:rPr>
            </w:pPr>
            <w:r>
              <w:rPr>
                <w:rFonts w:hint="default" w:ascii="Times New Roman" w:hAnsi="Times New Roman" w:cs="Times New Roman"/>
                <w:color w:val="auto"/>
                <w:lang w:val="en-US" w:eastAsia="zh-CN"/>
              </w:rPr>
              <w:t>1#</w:t>
            </w:r>
            <w:r>
              <w:rPr>
                <w:rFonts w:hint="default" w:ascii="Times New Roman" w:hAnsi="Times New Roman" w:eastAsia="宋体" w:cs="Times New Roman"/>
                <w:color w:val="auto"/>
              </w:rPr>
              <w:t>预制场</w:t>
            </w:r>
          </w:p>
        </w:tc>
        <w:tc>
          <w:tcPr>
            <w:tcW w:w="1063" w:type="pct"/>
            <w:tcBorders>
              <w:tl2br w:val="nil"/>
              <w:tr2bl w:val="nil"/>
            </w:tcBorders>
            <w:noWrap w:val="0"/>
            <w:vAlign w:val="center"/>
          </w:tcPr>
          <w:p w14:paraId="59262512">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lang w:val="en-US" w:eastAsia="zh-CN" w:bidi="ar-SA"/>
              </w:rPr>
              <w:t>K72+800~K73+100</w:t>
            </w:r>
          </w:p>
        </w:tc>
        <w:tc>
          <w:tcPr>
            <w:tcW w:w="575" w:type="pct"/>
            <w:tcBorders>
              <w:tl2br w:val="nil"/>
              <w:tr2bl w:val="nil"/>
            </w:tcBorders>
            <w:noWrap w:val="0"/>
            <w:vAlign w:val="center"/>
          </w:tcPr>
          <w:p w14:paraId="48442CB9">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lang w:val="en-US" w:eastAsia="zh-CN" w:bidi="ar-SA"/>
              </w:rPr>
              <w:t>0.77</w:t>
            </w:r>
          </w:p>
        </w:tc>
        <w:tc>
          <w:tcPr>
            <w:tcW w:w="762" w:type="pct"/>
            <w:tcBorders>
              <w:tl2br w:val="nil"/>
              <w:tr2bl w:val="nil"/>
            </w:tcBorders>
            <w:noWrap w:val="0"/>
            <w:vAlign w:val="center"/>
          </w:tcPr>
          <w:p w14:paraId="7FFEAF2F">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788" w:type="pct"/>
            <w:tcBorders>
              <w:tl2br w:val="nil"/>
              <w:tr2bl w:val="nil"/>
            </w:tcBorders>
            <w:noWrap w:val="0"/>
            <w:vAlign w:val="center"/>
          </w:tcPr>
          <w:p w14:paraId="73C941F8">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合川区三汇镇</w:t>
            </w:r>
          </w:p>
        </w:tc>
        <w:tc>
          <w:tcPr>
            <w:tcW w:w="1057" w:type="pct"/>
            <w:tcBorders>
              <w:tl2br w:val="nil"/>
              <w:tr2bl w:val="nil"/>
            </w:tcBorders>
            <w:noWrap w:val="0"/>
            <w:vAlign w:val="center"/>
          </w:tcPr>
          <w:p w14:paraId="5971D1B2">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利用成型路基</w:t>
            </w:r>
          </w:p>
          <w:p w14:paraId="66D8782F">
            <w:pPr>
              <w:pStyle w:val="37"/>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道路红线范围内</w:t>
            </w:r>
          </w:p>
        </w:tc>
      </w:tr>
      <w:tr w14:paraId="7585D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7" w:type="pct"/>
            <w:tcBorders>
              <w:tl2br w:val="nil"/>
              <w:tr2bl w:val="nil"/>
            </w:tcBorders>
            <w:noWrap w:val="0"/>
            <w:vAlign w:val="center"/>
          </w:tcPr>
          <w:p w14:paraId="2FDC3DC2">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35" w:type="pct"/>
            <w:tcBorders>
              <w:tl2br w:val="nil"/>
              <w:tr2bl w:val="nil"/>
            </w:tcBorders>
            <w:noWrap w:val="0"/>
            <w:vAlign w:val="center"/>
          </w:tcPr>
          <w:p w14:paraId="7825D71C">
            <w:pPr>
              <w:pStyle w:val="37"/>
              <w:bidi w:val="0"/>
              <w:rPr>
                <w:rFonts w:hint="default" w:ascii="Times New Roman" w:hAnsi="Times New Roman" w:eastAsia="宋体" w:cs="Times New Roman"/>
                <w:color w:val="auto"/>
              </w:rPr>
            </w:pPr>
            <w:r>
              <w:rPr>
                <w:rFonts w:hint="default" w:ascii="Times New Roman" w:hAnsi="Times New Roman" w:cs="Times New Roman"/>
                <w:color w:val="auto"/>
                <w:lang w:val="en-US" w:eastAsia="zh-CN"/>
              </w:rPr>
              <w:t>2#</w:t>
            </w:r>
            <w:r>
              <w:rPr>
                <w:rFonts w:hint="default" w:ascii="Times New Roman" w:hAnsi="Times New Roman" w:eastAsia="宋体" w:cs="Times New Roman"/>
                <w:color w:val="auto"/>
              </w:rPr>
              <w:t>预制场</w:t>
            </w:r>
          </w:p>
        </w:tc>
        <w:tc>
          <w:tcPr>
            <w:tcW w:w="1063" w:type="pct"/>
            <w:tcBorders>
              <w:tl2br w:val="nil"/>
              <w:tr2bl w:val="nil"/>
            </w:tcBorders>
            <w:noWrap w:val="0"/>
            <w:vAlign w:val="center"/>
          </w:tcPr>
          <w:p w14:paraId="07C316E0">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lang w:val="en-US" w:eastAsia="zh-CN" w:bidi="ar-SA"/>
              </w:rPr>
              <w:t>K78+470~K78+810</w:t>
            </w:r>
          </w:p>
        </w:tc>
        <w:tc>
          <w:tcPr>
            <w:tcW w:w="575" w:type="pct"/>
            <w:tcBorders>
              <w:tl2br w:val="nil"/>
              <w:tr2bl w:val="nil"/>
            </w:tcBorders>
            <w:noWrap w:val="0"/>
            <w:vAlign w:val="center"/>
          </w:tcPr>
          <w:p w14:paraId="754A6FF8">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lang w:val="en-US" w:eastAsia="zh-CN" w:bidi="ar-SA"/>
              </w:rPr>
              <w:t>0.96</w:t>
            </w:r>
          </w:p>
        </w:tc>
        <w:tc>
          <w:tcPr>
            <w:tcW w:w="762" w:type="pct"/>
            <w:tcBorders>
              <w:tl2br w:val="nil"/>
              <w:tr2bl w:val="nil"/>
            </w:tcBorders>
            <w:noWrap w:val="0"/>
            <w:vAlign w:val="center"/>
          </w:tcPr>
          <w:p w14:paraId="3D873B2C">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788" w:type="pct"/>
            <w:tcBorders>
              <w:tl2br w:val="nil"/>
              <w:tr2bl w:val="nil"/>
            </w:tcBorders>
            <w:noWrap w:val="0"/>
            <w:vAlign w:val="center"/>
          </w:tcPr>
          <w:p w14:paraId="5AAF31C0">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合川区小沔镇</w:t>
            </w:r>
          </w:p>
        </w:tc>
        <w:tc>
          <w:tcPr>
            <w:tcW w:w="1057" w:type="pct"/>
            <w:tcBorders>
              <w:tl2br w:val="nil"/>
              <w:tr2bl w:val="nil"/>
            </w:tcBorders>
            <w:noWrap w:val="0"/>
            <w:vAlign w:val="center"/>
          </w:tcPr>
          <w:p w14:paraId="0BC55C06">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利用成型路基</w:t>
            </w:r>
          </w:p>
          <w:p w14:paraId="05EF8E3E">
            <w:pPr>
              <w:pStyle w:val="37"/>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道路红线范围内</w:t>
            </w:r>
          </w:p>
        </w:tc>
      </w:tr>
    </w:tbl>
    <w:p w14:paraId="0D910BBE">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0" w:line="360" w:lineRule="auto"/>
        <w:ind w:leftChars="0" w:firstLine="480" w:firstLineChars="200"/>
        <w:jc w:val="left"/>
        <w:textAlignment w:val="baseline"/>
        <w:outlineLvl w:val="9"/>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（3）施工营地</w:t>
      </w:r>
    </w:p>
    <w:p w14:paraId="64627521">
      <w:pPr>
        <w:pageBreakBefore w:val="0"/>
        <w:widowControl w:val="0"/>
        <w:kinsoku/>
        <w:wordWrap/>
        <w:overflowPunct/>
        <w:topLinePunct w:val="0"/>
        <w:bidi w:val="0"/>
        <w:adjustRightInd w:val="0"/>
        <w:snapToGrid w:val="0"/>
        <w:spacing w:line="360" w:lineRule="auto"/>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项目主要为租用三汇镇响水村当地居民用房，不新增临时占地。</w:t>
      </w:r>
    </w:p>
    <w:p w14:paraId="7895E3ED">
      <w:pPr>
        <w:pStyle w:val="5"/>
        <w:keepNext/>
        <w:keepLines/>
        <w:pageBreakBefore w:val="0"/>
        <w:widowControl w:val="0"/>
        <w:numPr>
          <w:ilvl w:val="0"/>
          <w:numId w:val="0"/>
        </w:numPr>
        <w:tabs>
          <w:tab w:val="left" w:pos="0"/>
        </w:tabs>
        <w:kinsoku/>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宋体" w:cs="Times New Roman"/>
          <w:b/>
          <w:snapToGrid w:val="0"/>
          <w:color w:val="auto"/>
          <w:kern w:val="0"/>
          <w:sz w:val="28"/>
          <w:szCs w:val="28"/>
          <w:lang w:val="en-US" w:eastAsia="zh-CN" w:bidi="ar-SA"/>
        </w:rPr>
      </w:pPr>
      <w:r>
        <w:rPr>
          <w:rFonts w:hint="default" w:ascii="Times New Roman" w:hAnsi="Times New Roman" w:eastAsia="宋体" w:cs="Times New Roman"/>
          <w:b/>
          <w:snapToGrid w:val="0"/>
          <w:color w:val="auto"/>
          <w:kern w:val="0"/>
          <w:sz w:val="28"/>
          <w:szCs w:val="28"/>
          <w:lang w:val="en-US" w:eastAsia="zh-CN" w:bidi="ar-SA"/>
        </w:rPr>
        <w:t>2.</w:t>
      </w:r>
      <w:r>
        <w:rPr>
          <w:rFonts w:hint="eastAsia" w:ascii="Times New Roman" w:hAnsi="Times New Roman" w:eastAsia="宋体" w:cs="Times New Roman"/>
          <w:b/>
          <w:snapToGrid w:val="0"/>
          <w:color w:val="auto"/>
          <w:kern w:val="0"/>
          <w:sz w:val="28"/>
          <w:szCs w:val="28"/>
          <w:lang w:val="en-US" w:eastAsia="zh-CN" w:bidi="ar-SA"/>
        </w:rPr>
        <w:t>3</w:t>
      </w:r>
      <w:r>
        <w:rPr>
          <w:rFonts w:hint="default" w:ascii="Times New Roman" w:hAnsi="Times New Roman" w:eastAsia="宋体" w:cs="Times New Roman"/>
          <w:b/>
          <w:snapToGrid w:val="0"/>
          <w:color w:val="auto"/>
          <w:kern w:val="0"/>
          <w:sz w:val="28"/>
          <w:szCs w:val="28"/>
          <w:lang w:val="en-US" w:eastAsia="zh-CN" w:bidi="ar-SA"/>
        </w:rPr>
        <w:t>.</w:t>
      </w:r>
      <w:r>
        <w:rPr>
          <w:rFonts w:hint="eastAsia" w:ascii="Times New Roman" w:hAnsi="Times New Roman" w:eastAsia="宋体" w:cs="Times New Roman"/>
          <w:b/>
          <w:snapToGrid w:val="0"/>
          <w:color w:val="auto"/>
          <w:kern w:val="0"/>
          <w:sz w:val="28"/>
          <w:szCs w:val="28"/>
          <w:lang w:val="en-US" w:eastAsia="zh-CN" w:bidi="ar-SA"/>
        </w:rPr>
        <w:t>11.</w:t>
      </w:r>
      <w:r>
        <w:rPr>
          <w:rFonts w:hint="default" w:ascii="Times New Roman" w:hAnsi="Times New Roman" w:eastAsia="宋体" w:cs="Times New Roman"/>
          <w:b/>
          <w:snapToGrid w:val="0"/>
          <w:color w:val="auto"/>
          <w:kern w:val="0"/>
          <w:sz w:val="28"/>
          <w:szCs w:val="28"/>
          <w:lang w:val="en-US" w:eastAsia="zh-CN" w:bidi="ar-SA"/>
        </w:rPr>
        <w:t>4</w:t>
      </w:r>
      <w:r>
        <w:rPr>
          <w:rFonts w:hint="eastAsia" w:ascii="Times New Roman" w:hAnsi="Times New Roman" w:eastAsia="宋体" w:cs="Times New Roman"/>
          <w:b/>
          <w:snapToGrid w:val="0"/>
          <w:color w:val="auto"/>
          <w:kern w:val="0"/>
          <w:sz w:val="28"/>
          <w:szCs w:val="28"/>
          <w:lang w:val="en-US" w:eastAsia="zh-CN" w:bidi="ar-SA"/>
        </w:rPr>
        <w:t xml:space="preserve"> </w:t>
      </w:r>
      <w:r>
        <w:rPr>
          <w:rFonts w:hint="default" w:ascii="Times New Roman" w:hAnsi="Times New Roman" w:eastAsia="宋体" w:cs="Times New Roman"/>
          <w:b/>
          <w:snapToGrid w:val="0"/>
          <w:color w:val="auto"/>
          <w:kern w:val="0"/>
          <w:sz w:val="28"/>
          <w:szCs w:val="28"/>
          <w:lang w:val="en-US" w:eastAsia="zh-CN" w:bidi="ar-SA"/>
        </w:rPr>
        <w:t>施工便道</w:t>
      </w:r>
      <w:bookmarkEnd w:id="71"/>
      <w:bookmarkEnd w:id="72"/>
      <w:bookmarkEnd w:id="73"/>
      <w:bookmarkEnd w:id="74"/>
    </w:p>
    <w:p w14:paraId="6DE277CC">
      <w:pPr>
        <w:pageBreakBefore w:val="0"/>
        <w:widowControl w:val="0"/>
        <w:kinsoku/>
        <w:wordWrap/>
        <w:overflowPunct/>
        <w:topLinePunct w:val="0"/>
        <w:bidi w:val="0"/>
        <w:adjustRightInd w:val="0"/>
        <w:snapToGrid w:val="0"/>
        <w:spacing w:line="360" w:lineRule="auto"/>
        <w:rPr>
          <w:rFonts w:hint="default" w:ascii="Times New Roman" w:hAnsi="Times New Roman" w:eastAsia="宋体" w:cs="Times New Roman"/>
          <w:b w:val="0"/>
          <w:bCs/>
          <w:snapToGrid w:val="0"/>
          <w:color w:val="auto"/>
          <w:kern w:val="0"/>
          <w:sz w:val="24"/>
          <w:szCs w:val="21"/>
          <w:lang w:val="en-US" w:eastAsia="zh-CN" w:bidi="ar-SA"/>
        </w:rPr>
      </w:pPr>
      <w:r>
        <w:rPr>
          <w:rFonts w:hint="default" w:ascii="Times New Roman" w:hAnsi="Times New Roman" w:eastAsia="宋体" w:cs="Times New Roman"/>
          <w:color w:val="auto"/>
          <w:spacing w:val="0"/>
          <w:w w:val="100"/>
          <w:kern w:val="0"/>
          <w:position w:val="0"/>
          <w:sz w:val="24"/>
          <w:szCs w:val="24"/>
        </w:rPr>
        <w:t>工程区内</w:t>
      </w:r>
      <w:r>
        <w:rPr>
          <w:rFonts w:hint="default" w:ascii="Times New Roman" w:hAnsi="Times New Roman" w:eastAsia="宋体" w:cs="Times New Roman"/>
          <w:color w:val="auto"/>
          <w:spacing w:val="0"/>
          <w:w w:val="100"/>
          <w:kern w:val="0"/>
          <w:position w:val="0"/>
          <w:sz w:val="24"/>
          <w:szCs w:val="24"/>
          <w:lang w:eastAsia="zh-CN"/>
        </w:rPr>
        <w:t>有多条</w:t>
      </w:r>
      <w:r>
        <w:rPr>
          <w:rFonts w:hint="default" w:ascii="Times New Roman" w:hAnsi="Times New Roman" w:eastAsia="宋体" w:cs="Times New Roman"/>
          <w:color w:val="auto"/>
          <w:spacing w:val="0"/>
          <w:w w:val="100"/>
          <w:kern w:val="0"/>
          <w:position w:val="0"/>
          <w:sz w:val="24"/>
          <w:szCs w:val="24"/>
        </w:rPr>
        <w:t>乡</w:t>
      </w:r>
      <w:r>
        <w:rPr>
          <w:rFonts w:hint="default" w:ascii="Times New Roman" w:hAnsi="Times New Roman" w:eastAsia="宋体" w:cs="Times New Roman"/>
          <w:color w:val="auto"/>
          <w:spacing w:val="0"/>
          <w:w w:val="100"/>
          <w:kern w:val="0"/>
          <w:position w:val="0"/>
          <w:sz w:val="24"/>
          <w:szCs w:val="24"/>
          <w:lang w:eastAsia="zh-CN"/>
        </w:rPr>
        <w:t>、村道</w:t>
      </w:r>
      <w:r>
        <w:rPr>
          <w:rFonts w:hint="default" w:ascii="Times New Roman" w:hAnsi="Times New Roman" w:eastAsia="宋体" w:cs="Times New Roman"/>
          <w:color w:val="auto"/>
          <w:spacing w:val="0"/>
          <w:w w:val="100"/>
          <w:kern w:val="0"/>
          <w:position w:val="0"/>
          <w:sz w:val="24"/>
          <w:szCs w:val="24"/>
        </w:rPr>
        <w:t>路分布，项目沿线施工便道大多利用旧路为主，同时也临时新建部分施工便道。</w:t>
      </w:r>
      <w:r>
        <w:rPr>
          <w:rFonts w:hint="default" w:ascii="Times New Roman" w:hAnsi="Times New Roman" w:eastAsia="宋体" w:cs="Times New Roman"/>
          <w:color w:val="auto"/>
          <w:spacing w:val="0"/>
          <w:w w:val="100"/>
          <w:kern w:val="0"/>
          <w:position w:val="0"/>
          <w:sz w:val="24"/>
          <w:szCs w:val="24"/>
          <w:lang w:val="en-US" w:eastAsia="zh-CN"/>
        </w:rPr>
        <w:t>经统计，</w:t>
      </w:r>
      <w:r>
        <w:rPr>
          <w:rFonts w:hint="default" w:ascii="Times New Roman" w:hAnsi="Times New Roman" w:eastAsia="宋体" w:cs="Times New Roman"/>
          <w:color w:val="auto"/>
          <w:spacing w:val="-4"/>
          <w:sz w:val="24"/>
          <w:szCs w:val="24"/>
        </w:rPr>
        <w:t>项目</w:t>
      </w:r>
      <w:r>
        <w:rPr>
          <w:rFonts w:hint="default" w:ascii="Times New Roman" w:hAnsi="Times New Roman" w:eastAsia="宋体" w:cs="Times New Roman"/>
          <w:color w:val="auto"/>
          <w:spacing w:val="-4"/>
          <w:sz w:val="24"/>
          <w:szCs w:val="24"/>
          <w:lang w:val="en-US" w:eastAsia="zh-CN"/>
        </w:rPr>
        <w:t>建设过程中</w:t>
      </w:r>
      <w:r>
        <w:rPr>
          <w:rFonts w:hint="default" w:ascii="Times New Roman" w:hAnsi="Times New Roman" w:eastAsia="宋体" w:cs="Times New Roman"/>
          <w:color w:val="auto"/>
          <w:spacing w:val="-4"/>
          <w:sz w:val="24"/>
          <w:szCs w:val="24"/>
        </w:rPr>
        <w:t>修建了1条施工便道，用于连接主线道路及4#</w:t>
      </w:r>
      <w:r>
        <w:rPr>
          <w:rFonts w:hint="default" w:ascii="Times New Roman" w:hAnsi="Times New Roman" w:eastAsia="宋体" w:cs="Times New Roman"/>
          <w:color w:val="auto"/>
          <w:spacing w:val="-4"/>
          <w:sz w:val="24"/>
          <w:szCs w:val="24"/>
          <w:lang w:eastAsia="zh-CN"/>
        </w:rPr>
        <w:t>弃土场</w:t>
      </w:r>
      <w:r>
        <w:rPr>
          <w:rFonts w:hint="default" w:ascii="Times New Roman" w:hAnsi="Times New Roman" w:eastAsia="宋体" w:cs="Times New Roman"/>
          <w:color w:val="auto"/>
          <w:spacing w:val="-4"/>
          <w:sz w:val="24"/>
          <w:szCs w:val="24"/>
        </w:rPr>
        <w:t>，施工便道长1</w:t>
      </w:r>
      <w:r>
        <w:rPr>
          <w:rFonts w:hint="default" w:ascii="Times New Roman" w:hAnsi="Times New Roman" w:eastAsia="宋体" w:cs="Times New Roman"/>
          <w:color w:val="auto"/>
          <w:spacing w:val="-4"/>
          <w:sz w:val="24"/>
          <w:szCs w:val="24"/>
          <w:lang w:val="en-US" w:eastAsia="zh-CN"/>
        </w:rPr>
        <w:t>20</w:t>
      </w:r>
      <w:r>
        <w:rPr>
          <w:rFonts w:hint="default" w:ascii="Times New Roman" w:hAnsi="Times New Roman" w:eastAsia="宋体" w:cs="Times New Roman"/>
          <w:color w:val="auto"/>
          <w:spacing w:val="-4"/>
          <w:sz w:val="24"/>
          <w:szCs w:val="24"/>
        </w:rPr>
        <w:t>m，基宽度</w:t>
      </w:r>
      <w:r>
        <w:rPr>
          <w:rFonts w:hint="default" w:ascii="Times New Roman" w:hAnsi="Times New Roman" w:eastAsia="宋体" w:cs="Times New Roman"/>
          <w:color w:val="auto"/>
          <w:spacing w:val="-49"/>
          <w:sz w:val="24"/>
          <w:szCs w:val="24"/>
        </w:rPr>
        <w:t xml:space="preserve"> </w:t>
      </w:r>
      <w:r>
        <w:rPr>
          <w:rFonts w:hint="default" w:ascii="Times New Roman" w:hAnsi="Times New Roman" w:eastAsia="宋体" w:cs="Times New Roman"/>
          <w:color w:val="auto"/>
          <w:spacing w:val="-4"/>
          <w:sz w:val="24"/>
          <w:szCs w:val="24"/>
        </w:rPr>
        <w:t>6.5m，</w:t>
      </w:r>
      <w:r>
        <w:rPr>
          <w:rFonts w:hint="default" w:ascii="Times New Roman" w:hAnsi="Times New Roman" w:eastAsia="宋体" w:cs="Times New Roman"/>
          <w:color w:val="auto"/>
          <w:spacing w:val="-4"/>
          <w:sz w:val="24"/>
          <w:szCs w:val="24"/>
          <w:lang w:val="en-US" w:eastAsia="zh-CN"/>
        </w:rPr>
        <w:t>道路临时边坡面积612</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采用泥结碎石路面</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lang w:val="en-US" w:eastAsia="zh-CN"/>
        </w:rPr>
        <w:t>含道路边坡临时占地面积约为0.14</w:t>
      </w:r>
      <w:r>
        <w:rPr>
          <w:rFonts w:hint="default" w:ascii="Times New Roman" w:hAnsi="Times New Roman" w:eastAsia="宋体" w:cs="Times New Roman"/>
          <w:color w:val="auto"/>
        </w:rPr>
        <w:t>hm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0"/>
          <w:w w:val="100"/>
          <w:kern w:val="0"/>
          <w:position w:val="0"/>
          <w:sz w:val="24"/>
          <w:szCs w:val="24"/>
        </w:rPr>
        <w:t>占地类型主要为</w:t>
      </w:r>
      <w:r>
        <w:rPr>
          <w:rFonts w:hint="default" w:ascii="Times New Roman" w:hAnsi="Times New Roman" w:eastAsia="宋体" w:cs="Times New Roman"/>
          <w:color w:val="auto"/>
          <w:spacing w:val="0"/>
          <w:w w:val="100"/>
          <w:kern w:val="0"/>
          <w:position w:val="0"/>
          <w:sz w:val="24"/>
          <w:szCs w:val="24"/>
          <w:lang w:val="en-US" w:eastAsia="zh-CN"/>
        </w:rPr>
        <w:t>耕地</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3"/>
          <w:sz w:val="24"/>
          <w:szCs w:val="24"/>
        </w:rPr>
        <w:t>已进行了表土回覆及复耕</w:t>
      </w:r>
      <w:r>
        <w:rPr>
          <w:rFonts w:hint="default" w:ascii="Times New Roman" w:hAnsi="Times New Roman" w:eastAsia="宋体" w:cs="Times New Roman"/>
          <w:color w:val="auto"/>
          <w:spacing w:val="0"/>
          <w:w w:val="100"/>
          <w:kern w:val="0"/>
          <w:position w:val="0"/>
          <w:sz w:val="24"/>
          <w:szCs w:val="24"/>
        </w:rPr>
        <w:t>。</w:t>
      </w:r>
    </w:p>
    <w:p w14:paraId="766A586A">
      <w:pPr>
        <w:pStyle w:val="5"/>
        <w:keepNext/>
        <w:keepLines/>
        <w:pageBreakBefore w:val="0"/>
        <w:widowControl w:val="0"/>
        <w:numPr>
          <w:ilvl w:val="0"/>
          <w:numId w:val="0"/>
        </w:numPr>
        <w:tabs>
          <w:tab w:val="left" w:pos="0"/>
        </w:tabs>
        <w:kinsoku/>
        <w:wordWrap/>
        <w:overflowPunct/>
        <w:topLinePunct w:val="0"/>
        <w:autoSpaceDE w:val="0"/>
        <w:autoSpaceDN w:val="0"/>
        <w:bidi w:val="0"/>
        <w:adjustRightInd w:val="0"/>
        <w:snapToGrid w:val="0"/>
        <w:spacing w:before="0" w:after="0" w:line="360" w:lineRule="auto"/>
        <w:textAlignment w:val="baseline"/>
        <w:rPr>
          <w:rFonts w:hint="default" w:ascii="Times New Roman" w:hAnsi="Times New Roman" w:eastAsia="宋体" w:cs="Times New Roman"/>
          <w:b/>
          <w:snapToGrid w:val="0"/>
          <w:color w:val="auto"/>
          <w:kern w:val="0"/>
          <w:sz w:val="28"/>
          <w:szCs w:val="28"/>
          <w:lang w:val="en-US" w:eastAsia="zh-CN" w:bidi="ar-SA"/>
        </w:rPr>
      </w:pPr>
      <w:r>
        <w:rPr>
          <w:rFonts w:hint="default" w:ascii="Times New Roman" w:hAnsi="Times New Roman" w:eastAsia="宋体" w:cs="Times New Roman"/>
          <w:b/>
          <w:snapToGrid w:val="0"/>
          <w:color w:val="auto"/>
          <w:kern w:val="0"/>
          <w:sz w:val="28"/>
          <w:szCs w:val="28"/>
          <w:lang w:val="en-US" w:eastAsia="zh-CN" w:bidi="ar-SA"/>
        </w:rPr>
        <w:t>2.3.11.5</w:t>
      </w:r>
      <w:r>
        <w:rPr>
          <w:rFonts w:hint="eastAsia" w:ascii="Times New Roman" w:hAnsi="Times New Roman" w:eastAsia="宋体" w:cs="Times New Roman"/>
          <w:b/>
          <w:snapToGrid w:val="0"/>
          <w:color w:val="auto"/>
          <w:kern w:val="0"/>
          <w:sz w:val="28"/>
          <w:szCs w:val="28"/>
          <w:lang w:val="en-US" w:eastAsia="zh-CN" w:bidi="ar-SA"/>
        </w:rPr>
        <w:t xml:space="preserve"> </w:t>
      </w:r>
      <w:r>
        <w:rPr>
          <w:rFonts w:hint="default" w:ascii="Times New Roman" w:hAnsi="Times New Roman" w:eastAsia="宋体" w:cs="Times New Roman"/>
          <w:b/>
          <w:snapToGrid w:val="0"/>
          <w:color w:val="auto"/>
          <w:kern w:val="0"/>
          <w:sz w:val="28"/>
          <w:szCs w:val="28"/>
          <w:lang w:val="en-US" w:eastAsia="zh-CN" w:bidi="ar-SA"/>
        </w:rPr>
        <w:t>筑路材料</w:t>
      </w:r>
    </w:p>
    <w:p w14:paraId="1068B7F4">
      <w:pPr>
        <w:pageBreakBefore w:val="0"/>
        <w:widowControl w:val="0"/>
        <w:kinsoku/>
        <w:wordWrap/>
        <w:overflowPunct/>
        <w:topLinePunct w:val="0"/>
        <w:bidi w:val="0"/>
        <w:adjustRightInd w:val="0"/>
        <w:snapToGrid w:val="0"/>
        <w:spacing w:line="360" w:lineRule="auto"/>
        <w:ind w:left="0" w:leftChars="0" w:firstLine="480" w:firstLineChars="20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lang w:eastAsia="zh-CN"/>
        </w:rPr>
        <w:t>本项目</w:t>
      </w:r>
      <w:r>
        <w:rPr>
          <w:rFonts w:hint="default" w:ascii="Times New Roman" w:hAnsi="Times New Roman" w:eastAsia="宋体" w:cs="Times New Roman"/>
          <w:color w:val="auto"/>
          <w:spacing w:val="0"/>
          <w:w w:val="100"/>
          <w:kern w:val="0"/>
          <w:position w:val="0"/>
          <w:sz w:val="24"/>
          <w:szCs w:val="24"/>
        </w:rPr>
        <w:t>所用的筑路材料全部采用外购形式，由建设单位统一购买。项目区域可利用的施工便道较多，运输条件相对较好，可选择市场化的运输方式，以满足</w:t>
      </w:r>
      <w:r>
        <w:rPr>
          <w:rFonts w:hint="default" w:ascii="Times New Roman" w:hAnsi="Times New Roman" w:eastAsia="宋体" w:cs="Times New Roman"/>
          <w:color w:val="auto"/>
          <w:spacing w:val="0"/>
          <w:w w:val="100"/>
          <w:kern w:val="0"/>
          <w:position w:val="0"/>
          <w:sz w:val="24"/>
          <w:szCs w:val="24"/>
          <w:lang w:eastAsia="zh-CN"/>
        </w:rPr>
        <w:t>本项目</w:t>
      </w:r>
      <w:r>
        <w:rPr>
          <w:rFonts w:hint="default" w:ascii="Times New Roman" w:hAnsi="Times New Roman" w:eastAsia="宋体" w:cs="Times New Roman"/>
          <w:color w:val="auto"/>
          <w:spacing w:val="0"/>
          <w:w w:val="100"/>
          <w:kern w:val="0"/>
          <w:position w:val="0"/>
          <w:sz w:val="24"/>
          <w:szCs w:val="24"/>
        </w:rPr>
        <w:t>的运输需求。</w:t>
      </w:r>
    </w:p>
    <w:p w14:paraId="0926AF51">
      <w:pPr>
        <w:numPr>
          <w:ilvl w:val="0"/>
          <w:numId w:val="0"/>
        </w:numPr>
        <w:spacing w:line="360" w:lineRule="auto"/>
        <w:ind w:firstLine="480" w:firstLineChars="200"/>
        <w:rPr>
          <w:rFonts w:hint="default" w:ascii="Times New Roman" w:hAnsi="Times New Roman" w:cs="Times New Roman"/>
          <w:color w:val="auto"/>
          <w:spacing w:val="0"/>
          <w:w w:val="100"/>
          <w:kern w:val="0"/>
          <w:position w:val="0"/>
          <w:sz w:val="24"/>
          <w:szCs w:val="24"/>
          <w:lang w:val="en-US" w:eastAsia="zh-CN"/>
        </w:rPr>
      </w:pPr>
      <w:bookmarkStart w:id="75" w:name="bookmark26"/>
      <w:bookmarkEnd w:id="75"/>
      <w:r>
        <w:rPr>
          <w:rFonts w:hint="default" w:ascii="Times New Roman" w:hAnsi="Times New Roman" w:eastAsia="宋体" w:cs="Times New Roman"/>
          <w:color w:val="auto"/>
          <w:spacing w:val="0"/>
          <w:w w:val="100"/>
          <w:kern w:val="0"/>
          <w:position w:val="0"/>
          <w:sz w:val="24"/>
          <w:szCs w:val="24"/>
          <w:lang w:val="en-US" w:eastAsia="zh-CN"/>
        </w:rPr>
        <w:t>①</w:t>
      </w:r>
      <w:r>
        <w:rPr>
          <w:rFonts w:hint="default" w:ascii="Times New Roman" w:hAnsi="Times New Roman" w:cs="Times New Roman"/>
          <w:color w:val="auto"/>
          <w:spacing w:val="0"/>
          <w:w w:val="100"/>
          <w:kern w:val="0"/>
          <w:position w:val="0"/>
          <w:sz w:val="24"/>
          <w:szCs w:val="24"/>
          <w:lang w:val="en-US" w:eastAsia="zh-CN"/>
        </w:rPr>
        <w:t>机制砂</w:t>
      </w:r>
    </w:p>
    <w:p w14:paraId="14740562">
      <w:pPr>
        <w:numPr>
          <w:ilvl w:val="0"/>
          <w:numId w:val="0"/>
        </w:numPr>
        <w:spacing w:line="360" w:lineRule="auto"/>
        <w:ind w:firstLine="480" w:firstLineChars="20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项目机制砂主要来源于三汇镇睿繁建材料场，料场位于重庆市三汇镇唐家乡五组，料场石质主要为灰岩，岩质较硬；交通便利，有便道通往料场，上路桩号K72+000，外运距离约16km。</w:t>
      </w:r>
    </w:p>
    <w:p w14:paraId="22B6D02E">
      <w:pPr>
        <w:numPr>
          <w:ilvl w:val="0"/>
          <w:numId w:val="0"/>
        </w:numPr>
        <w:spacing w:line="360" w:lineRule="auto"/>
        <w:ind w:leftChars="200"/>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②</w:t>
      </w:r>
      <w:r>
        <w:rPr>
          <w:rFonts w:hint="default" w:ascii="Times New Roman" w:hAnsi="Times New Roman" w:cs="Times New Roman"/>
          <w:color w:val="auto"/>
          <w:spacing w:val="0"/>
          <w:w w:val="100"/>
          <w:kern w:val="0"/>
          <w:position w:val="0"/>
          <w:sz w:val="24"/>
          <w:szCs w:val="24"/>
          <w:lang w:val="en-US" w:eastAsia="zh-CN"/>
        </w:rPr>
        <w:t>天然砂</w:t>
      </w:r>
    </w:p>
    <w:p w14:paraId="12DEA8ED">
      <w:pPr>
        <w:numPr>
          <w:ilvl w:val="0"/>
          <w:numId w:val="0"/>
        </w:numPr>
        <w:spacing w:line="360" w:lineRule="auto"/>
        <w:ind w:firstLine="48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项目天然砂主要来源于重庆市合川区云门南岸码头砂场，料场位于云门镇云门南岸码头，石质成分以灰岩、花岗岩、石英砂岩为主，岩质较硬；交通便利，有便道通往料场，上路桩号K79+900，外运距离约37km。</w:t>
      </w:r>
    </w:p>
    <w:p w14:paraId="08A1838C">
      <w:pPr>
        <w:numPr>
          <w:ilvl w:val="0"/>
          <w:numId w:val="0"/>
        </w:numPr>
        <w:spacing w:line="360" w:lineRule="auto"/>
        <w:ind w:leftChars="200"/>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③块、片石</w:t>
      </w:r>
    </w:p>
    <w:p w14:paraId="0FB8A76C">
      <w:pPr>
        <w:keepNext w:val="0"/>
        <w:keepLines w:val="0"/>
        <w:widowControl/>
        <w:suppressLineNumbers w:val="0"/>
        <w:jc w:val="left"/>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项目块片石材料来源于合川三汇坝采石场，灰色石灰岩，交通便利，有现有道路通往采石场，上路桩号K79+900。</w:t>
      </w:r>
    </w:p>
    <w:p w14:paraId="2FE499BA">
      <w:pPr>
        <w:keepNext w:val="0"/>
        <w:keepLines w:val="0"/>
        <w:widowControl/>
        <w:numPr>
          <w:ilvl w:val="0"/>
          <w:numId w:val="0"/>
        </w:numPr>
        <w:suppressLineNumbers w:val="0"/>
        <w:ind w:leftChars="200"/>
        <w:jc w:val="left"/>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④水泥、钢筋</w:t>
      </w:r>
    </w:p>
    <w:p w14:paraId="15B3B18B">
      <w:pPr>
        <w:keepNext w:val="0"/>
        <w:keepLines w:val="0"/>
        <w:pageBreakBefore w:val="0"/>
        <w:widowControl/>
        <w:numPr>
          <w:ilvl w:val="0"/>
          <w:numId w:val="0"/>
        </w:numPr>
        <w:suppressLineNumbers w:val="0"/>
        <w:kinsoku/>
        <w:wordWrap/>
        <w:overflowPunct w:val="0"/>
        <w:topLinePunct w:val="0"/>
        <w:autoSpaceDE w:val="0"/>
        <w:autoSpaceDN w:val="0"/>
        <w:bidi w:val="0"/>
        <w:adjustRightInd w:val="0"/>
        <w:snapToGrid w:val="0"/>
        <w:ind w:leftChars="0" w:firstLine="480" w:firstLineChars="200"/>
        <w:jc w:val="left"/>
        <w:textAlignment w:val="baseline"/>
        <w:rPr>
          <w:rFonts w:hint="default" w:ascii="Times New Roman" w:hAnsi="Times New Roman" w:eastAsia="宋体" w:cs="Times New Roman"/>
          <w:color w:val="auto"/>
          <w:spacing w:val="0"/>
          <w:w w:val="100"/>
          <w:kern w:val="0"/>
          <w:position w:val="0"/>
          <w:sz w:val="24"/>
          <w:szCs w:val="24"/>
          <w:lang w:eastAsia="zh-CN"/>
        </w:rPr>
      </w:pPr>
      <w:r>
        <w:rPr>
          <w:rFonts w:hint="default" w:ascii="Times New Roman" w:hAnsi="Times New Roman" w:eastAsia="宋体" w:cs="Times New Roman"/>
          <w:color w:val="auto"/>
          <w:spacing w:val="0"/>
          <w:w w:val="100"/>
          <w:kern w:val="0"/>
          <w:position w:val="0"/>
          <w:sz w:val="24"/>
          <w:szCs w:val="24"/>
          <w:lang w:val="en-US" w:eastAsia="zh-CN"/>
        </w:rPr>
        <w:t>项目</w:t>
      </w:r>
      <w:r>
        <w:rPr>
          <w:rFonts w:hint="default" w:ascii="Times New Roman" w:hAnsi="Times New Roman" w:eastAsia="宋体" w:cs="Times New Roman"/>
          <w:color w:val="auto"/>
          <w:spacing w:val="0"/>
          <w:w w:val="100"/>
          <w:kern w:val="0"/>
          <w:position w:val="0"/>
          <w:sz w:val="24"/>
          <w:szCs w:val="24"/>
        </w:rPr>
        <w:t>水泥从</w:t>
      </w:r>
      <w:r>
        <w:rPr>
          <w:rFonts w:hint="default" w:ascii="Times New Roman" w:hAnsi="Times New Roman" w:eastAsia="宋体" w:cs="Times New Roman"/>
          <w:color w:val="auto"/>
          <w:spacing w:val="0"/>
          <w:w w:val="100"/>
          <w:kern w:val="0"/>
          <w:position w:val="0"/>
          <w:sz w:val="24"/>
          <w:szCs w:val="24"/>
          <w:lang w:val="en-US" w:eastAsia="zh-CN"/>
        </w:rPr>
        <w:t>合川区附近</w:t>
      </w:r>
      <w:r>
        <w:rPr>
          <w:rFonts w:hint="default" w:ascii="Times New Roman" w:hAnsi="Times New Roman" w:eastAsia="宋体" w:cs="Times New Roman"/>
          <w:color w:val="auto"/>
          <w:spacing w:val="0"/>
          <w:w w:val="100"/>
          <w:kern w:val="0"/>
          <w:position w:val="0"/>
          <w:sz w:val="24"/>
          <w:szCs w:val="24"/>
        </w:rPr>
        <w:t>水泥厂购买。钢筋从</w:t>
      </w:r>
      <w:r>
        <w:rPr>
          <w:rFonts w:hint="default" w:ascii="Times New Roman" w:hAnsi="Times New Roman" w:eastAsia="宋体" w:cs="Times New Roman"/>
          <w:color w:val="auto"/>
          <w:spacing w:val="0"/>
          <w:w w:val="100"/>
          <w:kern w:val="0"/>
          <w:position w:val="0"/>
          <w:sz w:val="24"/>
          <w:szCs w:val="24"/>
          <w:lang w:val="en-US" w:eastAsia="zh-CN"/>
        </w:rPr>
        <w:t>合川区城区</w:t>
      </w:r>
      <w:r>
        <w:rPr>
          <w:rFonts w:hint="default" w:ascii="Times New Roman" w:hAnsi="Times New Roman" w:eastAsia="宋体" w:cs="Times New Roman"/>
          <w:color w:val="auto"/>
          <w:spacing w:val="0"/>
          <w:w w:val="100"/>
          <w:kern w:val="0"/>
          <w:position w:val="0"/>
          <w:sz w:val="24"/>
          <w:szCs w:val="24"/>
        </w:rPr>
        <w:t>购买。公路沿线均有机耕道与干线公路相连接，材料运输条件较好</w:t>
      </w:r>
      <w:r>
        <w:rPr>
          <w:rFonts w:hint="default" w:ascii="Times New Roman" w:hAnsi="Times New Roman" w:eastAsia="宋体" w:cs="Times New Roman"/>
          <w:color w:val="auto"/>
          <w:spacing w:val="0"/>
          <w:w w:val="100"/>
          <w:kern w:val="0"/>
          <w:position w:val="0"/>
          <w:sz w:val="24"/>
          <w:szCs w:val="24"/>
          <w:lang w:eastAsia="zh-CN"/>
        </w:rPr>
        <w:t>。</w:t>
      </w:r>
    </w:p>
    <w:p w14:paraId="21CE2B93">
      <w:pPr>
        <w:keepNext w:val="0"/>
        <w:keepLines w:val="0"/>
        <w:pageBreakBefore w:val="0"/>
        <w:widowControl/>
        <w:numPr>
          <w:ilvl w:val="0"/>
          <w:numId w:val="0"/>
        </w:numPr>
        <w:suppressLineNumbers w:val="0"/>
        <w:kinsoku/>
        <w:wordWrap/>
        <w:overflowPunct w:val="0"/>
        <w:topLinePunct w:val="0"/>
        <w:autoSpaceDE w:val="0"/>
        <w:autoSpaceDN w:val="0"/>
        <w:bidi w:val="0"/>
        <w:adjustRightInd w:val="0"/>
        <w:snapToGrid w:val="0"/>
        <w:ind w:leftChars="0" w:firstLine="480" w:firstLineChars="200"/>
        <w:jc w:val="left"/>
        <w:textAlignment w:val="baseline"/>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⑤沥青混凝土</w:t>
      </w:r>
    </w:p>
    <w:p w14:paraId="0C142248">
      <w:pPr>
        <w:bidi w:val="0"/>
        <w:ind w:left="0" w:leftChars="0" w:firstLine="480" w:firstLineChars="20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lang w:val="en-US" w:eastAsia="zh-CN"/>
        </w:rPr>
        <w:t>项目</w:t>
      </w:r>
      <w:r>
        <w:rPr>
          <w:rFonts w:hint="default" w:ascii="Times New Roman" w:hAnsi="Times New Roman" w:eastAsia="宋体" w:cs="Times New Roman"/>
          <w:color w:val="auto"/>
          <w:spacing w:val="0"/>
          <w:w w:val="100"/>
          <w:kern w:val="0"/>
          <w:position w:val="0"/>
          <w:sz w:val="24"/>
          <w:szCs w:val="24"/>
        </w:rPr>
        <w:t>使用的沥青混凝土</w:t>
      </w:r>
      <w:r>
        <w:rPr>
          <w:rFonts w:hint="default" w:ascii="Times New Roman" w:hAnsi="Times New Roman" w:eastAsia="宋体" w:cs="Times New Roman"/>
          <w:color w:val="auto"/>
          <w:spacing w:val="0"/>
          <w:w w:val="100"/>
          <w:kern w:val="0"/>
          <w:position w:val="0"/>
          <w:sz w:val="24"/>
          <w:szCs w:val="24"/>
          <w:lang w:val="en-US" w:eastAsia="zh-CN"/>
        </w:rPr>
        <w:t>依托广安市过境高速公路东环线及渝广高速支线在四川境内设置的热拌站</w:t>
      </w:r>
      <w:r>
        <w:rPr>
          <w:rFonts w:hint="default" w:ascii="Times New Roman" w:hAnsi="Times New Roman" w:eastAsia="宋体" w:cs="Times New Roman"/>
          <w:color w:val="auto"/>
          <w:spacing w:val="0"/>
          <w:w w:val="100"/>
          <w:kern w:val="0"/>
          <w:position w:val="0"/>
          <w:sz w:val="24"/>
          <w:szCs w:val="24"/>
        </w:rPr>
        <w:t>，不在</w:t>
      </w:r>
      <w:r>
        <w:rPr>
          <w:rFonts w:hint="default" w:ascii="Times New Roman" w:hAnsi="Times New Roman" w:eastAsia="宋体" w:cs="Times New Roman"/>
          <w:color w:val="auto"/>
          <w:spacing w:val="0"/>
          <w:w w:val="100"/>
          <w:kern w:val="0"/>
          <w:position w:val="0"/>
          <w:sz w:val="24"/>
          <w:szCs w:val="24"/>
          <w:lang w:val="en-US" w:eastAsia="zh-CN"/>
        </w:rPr>
        <w:t>本项目</w:t>
      </w:r>
      <w:r>
        <w:rPr>
          <w:rFonts w:hint="default" w:ascii="Times New Roman" w:hAnsi="Times New Roman" w:eastAsia="宋体" w:cs="Times New Roman"/>
          <w:color w:val="auto"/>
          <w:spacing w:val="0"/>
          <w:w w:val="100"/>
          <w:kern w:val="0"/>
          <w:position w:val="0"/>
          <w:sz w:val="24"/>
          <w:szCs w:val="24"/>
        </w:rPr>
        <w:t>公路沿线</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lang w:val="en-US" w:eastAsia="zh-CN"/>
        </w:rPr>
        <w:t>重庆市合川境内</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设置热</w:t>
      </w:r>
      <w:r>
        <w:rPr>
          <w:rFonts w:hint="default" w:ascii="Times New Roman" w:hAnsi="Times New Roman" w:cs="Times New Roman"/>
          <w:color w:val="auto"/>
          <w:spacing w:val="0"/>
          <w:w w:val="100"/>
          <w:kern w:val="0"/>
          <w:position w:val="0"/>
          <w:sz w:val="24"/>
          <w:szCs w:val="24"/>
          <w:lang w:eastAsia="zh-CN"/>
        </w:rPr>
        <w:t>拌合场</w:t>
      </w:r>
      <w:r>
        <w:rPr>
          <w:rFonts w:hint="default" w:ascii="Times New Roman" w:hAnsi="Times New Roman" w:eastAsia="宋体" w:cs="Times New Roman"/>
          <w:color w:val="auto"/>
          <w:spacing w:val="0"/>
          <w:w w:val="100"/>
          <w:kern w:val="0"/>
          <w:position w:val="0"/>
          <w:sz w:val="24"/>
          <w:szCs w:val="24"/>
        </w:rPr>
        <w:t>。</w:t>
      </w:r>
    </w:p>
    <w:p w14:paraId="4352C75D">
      <w:pPr>
        <w:bidi w:val="0"/>
        <w:rPr>
          <w:rFonts w:hint="default" w:ascii="Times New Roman" w:hAnsi="Times New Roman" w:eastAsia="宋体" w:cs="Times New Roman"/>
          <w:color w:val="auto"/>
          <w:spacing w:val="0"/>
          <w:w w:val="100"/>
          <w:kern w:val="0"/>
          <w:position w:val="0"/>
          <w:sz w:val="24"/>
          <w:szCs w:val="24"/>
          <w:lang w:eastAsia="zh-CN"/>
        </w:rPr>
      </w:pPr>
    </w:p>
    <w:p w14:paraId="58925D89">
      <w:pPr>
        <w:pStyle w:val="3"/>
        <w:numPr>
          <w:ilvl w:val="1"/>
          <w:numId w:val="0"/>
        </w:numPr>
        <w:ind w:left="578" w:leftChars="0" w:hanging="578" w:firstLineChars="0"/>
        <w:rPr>
          <w:rFonts w:hint="default" w:ascii="Times New Roman" w:hAnsi="Times New Roman" w:eastAsia="宋体" w:cs="Times New Roman"/>
          <w:color w:val="auto"/>
        </w:rPr>
      </w:pPr>
      <w:bookmarkStart w:id="76" w:name="_Toc21725"/>
      <w:r>
        <w:rPr>
          <w:rFonts w:hint="default" w:ascii="Times New Roman" w:hAnsi="Times New Roman" w:eastAsia="宋体" w:cs="Times New Roman"/>
          <w:color w:val="auto"/>
        </w:rPr>
        <w:t>2.4 工程变化情况</w:t>
      </w:r>
      <w:bookmarkEnd w:id="76"/>
    </w:p>
    <w:p w14:paraId="2660E4BA">
      <w:pPr>
        <w:pStyle w:val="4"/>
        <w:keepNext/>
        <w:keepLines/>
        <w:pageBreakBefore w:val="0"/>
        <w:numPr>
          <w:ilvl w:val="0"/>
          <w:numId w:val="0"/>
        </w:numPr>
        <w:tabs>
          <w:tab w:val="left" w:pos="0"/>
        </w:tabs>
        <w:wordWrap/>
        <w:topLinePunct w:val="0"/>
        <w:autoSpaceDE w:val="0"/>
        <w:autoSpaceDN w:val="0"/>
        <w:bidi w:val="0"/>
        <w:adjustRightInd w:val="0"/>
        <w:snapToGrid w:val="0"/>
        <w:spacing w:beforeLines="0"/>
        <w:ind w:left="0" w:leftChars="0" w:firstLine="0" w:firstLineChars="0"/>
        <w:textAlignment w:val="baseline"/>
        <w:rPr>
          <w:rFonts w:hint="default" w:ascii="Times New Roman" w:hAnsi="Times New Roman" w:eastAsia="宋体" w:cs="Times New Roman"/>
          <w:b/>
          <w:snapToGrid w:val="0"/>
          <w:color w:val="auto"/>
          <w:kern w:val="0"/>
          <w:sz w:val="30"/>
          <w:szCs w:val="30"/>
          <w:lang w:val="en-US" w:eastAsia="zh-CN" w:bidi="ar-SA"/>
        </w:rPr>
      </w:pPr>
      <w:r>
        <w:rPr>
          <w:rFonts w:hint="default" w:ascii="Times New Roman" w:hAnsi="Times New Roman" w:eastAsia="宋体" w:cs="Times New Roman"/>
          <w:b/>
          <w:snapToGrid w:val="0"/>
          <w:color w:val="auto"/>
          <w:kern w:val="0"/>
          <w:sz w:val="30"/>
          <w:szCs w:val="30"/>
          <w:lang w:val="en-US" w:eastAsia="zh-CN" w:bidi="ar-SA"/>
        </w:rPr>
        <w:t>2.4.1 线路变化及原因</w:t>
      </w:r>
    </w:p>
    <w:p w14:paraId="02BC9181">
      <w:pPr>
        <w:pStyle w:val="24"/>
        <w:ind w:firstLine="480"/>
        <w:rPr>
          <w:rFonts w:hint="default" w:ascii="Times New Roman" w:hAnsi="Times New Roman" w:eastAsia="宋体" w:cs="Times New Roman"/>
          <w:color w:val="auto"/>
          <w:szCs w:val="24"/>
        </w:rPr>
      </w:pPr>
      <w:r>
        <w:rPr>
          <w:rFonts w:hint="eastAsia" w:cs="Times New Roman"/>
          <w:color w:val="auto"/>
          <w:szCs w:val="24"/>
          <w:lang w:val="en-US" w:eastAsia="zh-CN"/>
        </w:rPr>
        <w:t>项目验收内容同重新报批内容情况见下表</w:t>
      </w:r>
      <w:r>
        <w:rPr>
          <w:rFonts w:hint="default" w:ascii="Times New Roman" w:hAnsi="Times New Roman" w:eastAsia="宋体" w:cs="Times New Roman"/>
          <w:color w:val="auto"/>
          <w:szCs w:val="24"/>
        </w:rPr>
        <w:t>。</w:t>
      </w:r>
    </w:p>
    <w:p w14:paraId="51797C06">
      <w:pPr>
        <w:pStyle w:val="24"/>
        <w:ind w:left="0" w:leftChars="0" w:firstLine="0" w:firstLineChars="0"/>
        <w:jc w:val="center"/>
        <w:rPr>
          <w:rFonts w:hint="eastAsia" w:cs="Times New Roman"/>
          <w:b/>
          <w:bCs/>
          <w:color w:val="auto"/>
          <w:sz w:val="21"/>
          <w:szCs w:val="21"/>
          <w:lang w:val="en-US" w:eastAsia="zh-CN"/>
        </w:rPr>
      </w:pPr>
      <w:r>
        <w:rPr>
          <w:rFonts w:hint="eastAsia" w:cs="Times New Roman"/>
          <w:b/>
          <w:bCs/>
          <w:color w:val="auto"/>
          <w:sz w:val="21"/>
          <w:szCs w:val="21"/>
          <w:lang w:val="en-US" w:eastAsia="zh-CN"/>
        </w:rPr>
        <w:t xml:space="preserve">表2.4-1 </w:t>
      </w:r>
      <w:r>
        <w:rPr>
          <w:rFonts w:hint="default" w:ascii="Times New Roman" w:hAnsi="Times New Roman" w:cs="Times New Roman"/>
          <w:b/>
          <w:bCs/>
          <w:color w:val="auto"/>
          <w:sz w:val="21"/>
          <w:szCs w:val="21"/>
        </w:rPr>
        <w:t>建设内容及规模对比情况一览表</w:t>
      </w:r>
    </w:p>
    <w:tbl>
      <w:tblPr>
        <w:tblStyle w:val="20"/>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997"/>
        <w:gridCol w:w="889"/>
        <w:gridCol w:w="1976"/>
        <w:gridCol w:w="1460"/>
        <w:gridCol w:w="2111"/>
      </w:tblGrid>
      <w:tr w14:paraId="4C911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47" w:type="dxa"/>
            <w:tcBorders>
              <w:tl2br w:val="nil"/>
              <w:tr2bl w:val="nil"/>
            </w:tcBorders>
            <w:noWrap w:val="0"/>
            <w:tcMar>
              <w:top w:w="28" w:type="dxa"/>
              <w:left w:w="28" w:type="dxa"/>
              <w:bottom w:w="28" w:type="dxa"/>
              <w:right w:w="28" w:type="dxa"/>
            </w:tcMar>
            <w:vAlign w:val="center"/>
          </w:tcPr>
          <w:p w14:paraId="09C60226">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2088" w:type="dxa"/>
            <w:gridSpan w:val="2"/>
            <w:tcBorders>
              <w:tl2br w:val="nil"/>
              <w:tr2bl w:val="nil"/>
            </w:tcBorders>
            <w:noWrap w:val="0"/>
            <w:tcMar>
              <w:top w:w="28" w:type="dxa"/>
              <w:left w:w="28" w:type="dxa"/>
              <w:bottom w:w="28" w:type="dxa"/>
              <w:right w:w="28" w:type="dxa"/>
            </w:tcMar>
            <w:vAlign w:val="center"/>
          </w:tcPr>
          <w:p w14:paraId="56FAC354">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项目</w:t>
            </w:r>
          </w:p>
        </w:tc>
        <w:tc>
          <w:tcPr>
            <w:tcW w:w="2187" w:type="dxa"/>
            <w:tcBorders>
              <w:tl2br w:val="nil"/>
              <w:tr2bl w:val="nil"/>
            </w:tcBorders>
            <w:noWrap w:val="0"/>
            <w:tcMar>
              <w:top w:w="28" w:type="dxa"/>
              <w:left w:w="28" w:type="dxa"/>
              <w:bottom w:w="28" w:type="dxa"/>
              <w:right w:w="28" w:type="dxa"/>
            </w:tcMar>
            <w:vAlign w:val="center"/>
          </w:tcPr>
          <w:p w14:paraId="29EB2DBE">
            <w:pPr>
              <w:pStyle w:val="37"/>
              <w:bidi w:val="0"/>
              <w:rPr>
                <w:rFonts w:hint="default" w:ascii="Times New Roman" w:hAnsi="Times New Roman" w:eastAsia="宋体" w:cs="Times New Roman"/>
                <w:color w:val="auto"/>
              </w:rPr>
            </w:pPr>
            <w:r>
              <w:rPr>
                <w:rFonts w:hint="eastAsia" w:cs="Times New Roman"/>
                <w:color w:val="auto"/>
                <w:lang w:val="en-US" w:eastAsia="zh-CN"/>
              </w:rPr>
              <w:t>重新报批</w:t>
            </w:r>
            <w:r>
              <w:rPr>
                <w:rFonts w:hint="default" w:ascii="Times New Roman" w:hAnsi="Times New Roman" w:eastAsia="宋体" w:cs="Times New Roman"/>
                <w:color w:val="auto"/>
              </w:rPr>
              <w:t>内容</w:t>
            </w:r>
          </w:p>
        </w:tc>
        <w:tc>
          <w:tcPr>
            <w:tcW w:w="1616" w:type="dxa"/>
            <w:tcBorders>
              <w:tl2br w:val="nil"/>
              <w:tr2bl w:val="nil"/>
            </w:tcBorders>
            <w:noWrap w:val="0"/>
            <w:tcMar>
              <w:top w:w="28" w:type="dxa"/>
              <w:left w:w="28" w:type="dxa"/>
              <w:bottom w:w="28" w:type="dxa"/>
              <w:right w:w="28" w:type="dxa"/>
            </w:tcMar>
            <w:vAlign w:val="center"/>
          </w:tcPr>
          <w:p w14:paraId="2C597528">
            <w:pPr>
              <w:pStyle w:val="37"/>
              <w:bidi w:val="0"/>
              <w:rPr>
                <w:rFonts w:hint="default" w:ascii="Times New Roman" w:hAnsi="Times New Roman" w:eastAsia="宋体" w:cs="Times New Roman"/>
                <w:color w:val="auto"/>
              </w:rPr>
            </w:pPr>
            <w:r>
              <w:rPr>
                <w:rFonts w:hint="eastAsia" w:cs="Times New Roman"/>
                <w:color w:val="auto"/>
                <w:lang w:val="en-US" w:eastAsia="zh-CN"/>
              </w:rPr>
              <w:t>验收</w:t>
            </w:r>
            <w:r>
              <w:rPr>
                <w:rFonts w:hint="default" w:ascii="Times New Roman" w:hAnsi="Times New Roman" w:eastAsia="宋体" w:cs="Times New Roman"/>
                <w:color w:val="auto"/>
              </w:rPr>
              <w:t>内容</w:t>
            </w:r>
          </w:p>
        </w:tc>
        <w:tc>
          <w:tcPr>
            <w:tcW w:w="2337" w:type="dxa"/>
            <w:tcBorders>
              <w:tl2br w:val="nil"/>
              <w:tr2bl w:val="nil"/>
            </w:tcBorders>
            <w:noWrap w:val="0"/>
            <w:tcMar>
              <w:top w:w="28" w:type="dxa"/>
              <w:left w:w="28" w:type="dxa"/>
              <w:bottom w:w="28" w:type="dxa"/>
              <w:right w:w="28" w:type="dxa"/>
            </w:tcMar>
            <w:vAlign w:val="center"/>
          </w:tcPr>
          <w:p w14:paraId="1D85B698">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变化情况</w:t>
            </w:r>
          </w:p>
        </w:tc>
      </w:tr>
      <w:tr w14:paraId="5012C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75" w:type="dxa"/>
            <w:gridSpan w:val="6"/>
            <w:tcBorders>
              <w:tl2br w:val="nil"/>
              <w:tr2bl w:val="nil"/>
            </w:tcBorders>
            <w:noWrap w:val="0"/>
            <w:tcMar>
              <w:top w:w="28" w:type="dxa"/>
              <w:left w:w="28" w:type="dxa"/>
              <w:bottom w:w="28" w:type="dxa"/>
              <w:right w:w="28" w:type="dxa"/>
            </w:tcMar>
            <w:vAlign w:val="center"/>
          </w:tcPr>
          <w:p w14:paraId="65B09BCB">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一、项目的基本情况</w:t>
            </w:r>
          </w:p>
        </w:tc>
      </w:tr>
      <w:tr w14:paraId="142A1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dxa"/>
            <w:tcBorders>
              <w:tl2br w:val="nil"/>
              <w:tr2bl w:val="nil"/>
            </w:tcBorders>
            <w:noWrap w:val="0"/>
            <w:tcMar>
              <w:top w:w="28" w:type="dxa"/>
              <w:left w:w="28" w:type="dxa"/>
              <w:bottom w:w="28" w:type="dxa"/>
              <w:right w:w="28" w:type="dxa"/>
            </w:tcMar>
            <w:vAlign w:val="center"/>
          </w:tcPr>
          <w:p w14:paraId="0B5675AD">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2088" w:type="dxa"/>
            <w:gridSpan w:val="2"/>
            <w:tcBorders>
              <w:tl2br w:val="nil"/>
              <w:tr2bl w:val="nil"/>
            </w:tcBorders>
            <w:noWrap w:val="0"/>
            <w:tcMar>
              <w:top w:w="28" w:type="dxa"/>
              <w:left w:w="28" w:type="dxa"/>
              <w:bottom w:w="28" w:type="dxa"/>
              <w:right w:w="28" w:type="dxa"/>
            </w:tcMar>
            <w:vAlign w:val="center"/>
          </w:tcPr>
          <w:p w14:paraId="28E8E5BD">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建设地点</w:t>
            </w:r>
          </w:p>
        </w:tc>
        <w:tc>
          <w:tcPr>
            <w:tcW w:w="2187" w:type="dxa"/>
            <w:tcBorders>
              <w:tl2br w:val="nil"/>
              <w:tr2bl w:val="nil"/>
            </w:tcBorders>
            <w:noWrap w:val="0"/>
            <w:tcMar>
              <w:top w:w="28" w:type="dxa"/>
              <w:left w:w="28" w:type="dxa"/>
              <w:bottom w:w="28" w:type="dxa"/>
              <w:right w:w="28" w:type="dxa"/>
            </w:tcMar>
            <w:vAlign w:val="center"/>
          </w:tcPr>
          <w:p w14:paraId="64387FD5">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合川区</w:t>
            </w:r>
          </w:p>
        </w:tc>
        <w:tc>
          <w:tcPr>
            <w:tcW w:w="1616" w:type="dxa"/>
            <w:tcBorders>
              <w:tl2br w:val="nil"/>
              <w:tr2bl w:val="nil"/>
            </w:tcBorders>
            <w:noWrap w:val="0"/>
            <w:tcMar>
              <w:top w:w="28" w:type="dxa"/>
              <w:left w:w="28" w:type="dxa"/>
              <w:bottom w:w="28" w:type="dxa"/>
              <w:right w:w="28" w:type="dxa"/>
            </w:tcMar>
            <w:vAlign w:val="center"/>
          </w:tcPr>
          <w:p w14:paraId="6CB914F1">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合川区</w:t>
            </w:r>
          </w:p>
        </w:tc>
        <w:tc>
          <w:tcPr>
            <w:tcW w:w="2337" w:type="dxa"/>
            <w:tcBorders>
              <w:tl2br w:val="nil"/>
              <w:tr2bl w:val="nil"/>
            </w:tcBorders>
            <w:noWrap w:val="0"/>
            <w:tcMar>
              <w:top w:w="28" w:type="dxa"/>
              <w:left w:w="28" w:type="dxa"/>
              <w:bottom w:w="28" w:type="dxa"/>
              <w:right w:w="28" w:type="dxa"/>
            </w:tcMar>
            <w:vAlign w:val="center"/>
          </w:tcPr>
          <w:p w14:paraId="080D4BFD">
            <w:pPr>
              <w:pStyle w:val="37"/>
              <w:bidi w:val="0"/>
              <w:rPr>
                <w:rFonts w:hint="default" w:ascii="Times New Roman" w:hAnsi="Times New Roman" w:eastAsia="宋体" w:cs="Times New Roman"/>
                <w:color w:val="auto"/>
              </w:rPr>
            </w:pPr>
          </w:p>
        </w:tc>
      </w:tr>
      <w:tr w14:paraId="24E1B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l2br w:val="nil"/>
              <w:tr2bl w:val="nil"/>
            </w:tcBorders>
            <w:noWrap w:val="0"/>
            <w:tcMar>
              <w:top w:w="28" w:type="dxa"/>
              <w:left w:w="28" w:type="dxa"/>
              <w:bottom w:w="28" w:type="dxa"/>
              <w:right w:w="28" w:type="dxa"/>
            </w:tcMar>
            <w:vAlign w:val="center"/>
          </w:tcPr>
          <w:p w14:paraId="07A74ED3">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2088" w:type="dxa"/>
            <w:gridSpan w:val="2"/>
            <w:tcBorders>
              <w:tl2br w:val="nil"/>
              <w:tr2bl w:val="nil"/>
            </w:tcBorders>
            <w:noWrap w:val="0"/>
            <w:tcMar>
              <w:top w:w="28" w:type="dxa"/>
              <w:left w:w="28" w:type="dxa"/>
              <w:bottom w:w="28" w:type="dxa"/>
              <w:right w:w="28" w:type="dxa"/>
            </w:tcMar>
            <w:vAlign w:val="center"/>
          </w:tcPr>
          <w:p w14:paraId="3BFDC1D7">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建设规模</w:t>
            </w:r>
          </w:p>
        </w:tc>
        <w:tc>
          <w:tcPr>
            <w:tcW w:w="2187" w:type="dxa"/>
            <w:tcBorders>
              <w:tl2br w:val="nil"/>
              <w:tr2bl w:val="nil"/>
            </w:tcBorders>
            <w:noWrap w:val="0"/>
            <w:tcMar>
              <w:top w:w="28" w:type="dxa"/>
              <w:left w:w="28" w:type="dxa"/>
              <w:bottom w:w="28" w:type="dxa"/>
              <w:right w:w="28" w:type="dxa"/>
            </w:tcMar>
            <w:vAlign w:val="center"/>
          </w:tcPr>
          <w:p w14:paraId="3E8B6AAF">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双向四车道高速公路，路线总</w:t>
            </w:r>
            <w:r>
              <w:rPr>
                <w:rFonts w:hint="default" w:ascii="Times New Roman" w:hAnsi="Times New Roman" w:eastAsia="宋体" w:cs="Times New Roman"/>
                <w:color w:val="auto"/>
              </w:rPr>
              <w:t>长</w:t>
            </w:r>
            <w:r>
              <w:rPr>
                <w:rFonts w:hint="default" w:ascii="Times New Roman" w:hAnsi="Times New Roman" w:eastAsia="宋体" w:cs="Times New Roman"/>
                <w:color w:val="auto"/>
                <w:lang w:val="en-US" w:eastAsia="zh-CN"/>
              </w:rPr>
              <w:t>10.979</w:t>
            </w:r>
            <w:r>
              <w:rPr>
                <w:rFonts w:hint="default" w:ascii="Times New Roman" w:hAnsi="Times New Roman" w:eastAsia="宋体" w:cs="Times New Roman"/>
                <w:color w:val="auto"/>
              </w:rPr>
              <w:t>km</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设计速度</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0km/h</w:t>
            </w:r>
            <w:r>
              <w:rPr>
                <w:rFonts w:hint="default" w:ascii="Times New Roman" w:hAnsi="Times New Roman" w:eastAsia="宋体" w:cs="Times New Roman"/>
                <w:color w:val="auto"/>
                <w:lang w:eastAsia="zh-CN"/>
              </w:rPr>
              <w:t>，路基</w:t>
            </w:r>
            <w:r>
              <w:rPr>
                <w:rFonts w:hint="default" w:ascii="Times New Roman" w:hAnsi="Times New Roman" w:eastAsia="宋体" w:cs="Times New Roman"/>
                <w:color w:val="auto"/>
              </w:rPr>
              <w:t>宽</w:t>
            </w:r>
            <w:r>
              <w:rPr>
                <w:rFonts w:hint="default" w:ascii="Times New Roman" w:hAnsi="Times New Roman" w:eastAsia="宋体" w:cs="Times New Roman"/>
                <w:color w:val="auto"/>
                <w:lang w:val="en-US" w:eastAsia="zh-CN"/>
              </w:rPr>
              <w:t>25.5</w:t>
            </w:r>
            <w:r>
              <w:rPr>
                <w:rFonts w:hint="default" w:ascii="Times New Roman" w:hAnsi="Times New Roman" w:eastAsia="宋体" w:cs="Times New Roman"/>
                <w:color w:val="auto"/>
              </w:rPr>
              <w:t>m</w:t>
            </w:r>
            <w:r>
              <w:rPr>
                <w:rFonts w:hint="default" w:ascii="Times New Roman" w:hAnsi="Times New Roman" w:eastAsia="宋体" w:cs="Times New Roman"/>
                <w:color w:val="auto"/>
                <w:lang w:eastAsia="zh-CN"/>
              </w:rPr>
              <w:t>。</w:t>
            </w:r>
          </w:p>
        </w:tc>
        <w:tc>
          <w:tcPr>
            <w:tcW w:w="1616" w:type="dxa"/>
            <w:tcBorders>
              <w:tl2br w:val="nil"/>
              <w:tr2bl w:val="nil"/>
            </w:tcBorders>
            <w:noWrap w:val="0"/>
            <w:tcMar>
              <w:top w:w="28" w:type="dxa"/>
              <w:left w:w="28" w:type="dxa"/>
              <w:bottom w:w="28" w:type="dxa"/>
              <w:right w:w="28" w:type="dxa"/>
            </w:tcMar>
            <w:vAlign w:val="center"/>
          </w:tcPr>
          <w:p w14:paraId="72E3B8A3">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双向四车道高速公路，路线总</w:t>
            </w:r>
            <w:r>
              <w:rPr>
                <w:rFonts w:hint="default" w:ascii="Times New Roman" w:hAnsi="Times New Roman" w:eastAsia="宋体" w:cs="Times New Roman"/>
                <w:color w:val="auto"/>
              </w:rPr>
              <w:t>长</w:t>
            </w:r>
            <w:r>
              <w:rPr>
                <w:rFonts w:hint="default" w:ascii="Times New Roman" w:hAnsi="Times New Roman" w:eastAsia="宋体" w:cs="Times New Roman"/>
                <w:color w:val="auto"/>
                <w:lang w:val="en-US" w:eastAsia="zh-CN"/>
              </w:rPr>
              <w:t>10.979</w:t>
            </w:r>
            <w:r>
              <w:rPr>
                <w:rFonts w:hint="default" w:ascii="Times New Roman" w:hAnsi="Times New Roman" w:eastAsia="宋体" w:cs="Times New Roman"/>
                <w:color w:val="auto"/>
              </w:rPr>
              <w:t>km</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设计速度</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0km/h</w:t>
            </w:r>
            <w:r>
              <w:rPr>
                <w:rFonts w:hint="default" w:ascii="Times New Roman" w:hAnsi="Times New Roman" w:eastAsia="宋体" w:cs="Times New Roman"/>
                <w:color w:val="auto"/>
                <w:lang w:eastAsia="zh-CN"/>
              </w:rPr>
              <w:t>，路基</w:t>
            </w:r>
            <w:r>
              <w:rPr>
                <w:rFonts w:hint="default" w:ascii="Times New Roman" w:hAnsi="Times New Roman" w:eastAsia="宋体" w:cs="Times New Roman"/>
                <w:color w:val="auto"/>
              </w:rPr>
              <w:t>宽</w:t>
            </w:r>
            <w:r>
              <w:rPr>
                <w:rFonts w:hint="default" w:ascii="Times New Roman" w:hAnsi="Times New Roman" w:eastAsia="宋体" w:cs="Times New Roman"/>
                <w:color w:val="auto"/>
                <w:lang w:val="en-US" w:eastAsia="zh-CN"/>
              </w:rPr>
              <w:t>25.5</w:t>
            </w:r>
            <w:r>
              <w:rPr>
                <w:rFonts w:hint="default" w:ascii="Times New Roman" w:hAnsi="Times New Roman" w:eastAsia="宋体" w:cs="Times New Roman"/>
                <w:color w:val="auto"/>
              </w:rPr>
              <w:t>m</w:t>
            </w:r>
            <w:r>
              <w:rPr>
                <w:rFonts w:hint="default" w:ascii="Times New Roman" w:hAnsi="Times New Roman" w:eastAsia="宋体" w:cs="Times New Roman"/>
                <w:color w:val="auto"/>
                <w:lang w:eastAsia="zh-CN"/>
              </w:rPr>
              <w:t>。</w:t>
            </w:r>
          </w:p>
        </w:tc>
        <w:tc>
          <w:tcPr>
            <w:tcW w:w="2337" w:type="dxa"/>
            <w:tcBorders>
              <w:tl2br w:val="nil"/>
              <w:tr2bl w:val="nil"/>
            </w:tcBorders>
            <w:noWrap w:val="0"/>
            <w:tcMar>
              <w:top w:w="28" w:type="dxa"/>
              <w:left w:w="28" w:type="dxa"/>
              <w:bottom w:w="28" w:type="dxa"/>
              <w:right w:w="28" w:type="dxa"/>
            </w:tcMar>
            <w:vAlign w:val="center"/>
          </w:tcPr>
          <w:p w14:paraId="0FE83ECE">
            <w:pPr>
              <w:pStyle w:val="37"/>
              <w:bidi w:val="0"/>
              <w:rPr>
                <w:rFonts w:hint="default" w:ascii="Times New Roman" w:hAnsi="Times New Roman" w:eastAsia="宋体" w:cs="Times New Roman"/>
                <w:color w:val="auto"/>
                <w:lang w:val="en-US" w:eastAsia="zh-CN"/>
              </w:rPr>
            </w:pPr>
            <w:r>
              <w:rPr>
                <w:rFonts w:hint="eastAsia" w:cs="Times New Roman"/>
                <w:color w:val="auto"/>
                <w:lang w:val="en-US" w:eastAsia="zh-CN"/>
              </w:rPr>
              <w:t>一致</w:t>
            </w:r>
          </w:p>
        </w:tc>
      </w:tr>
      <w:tr w14:paraId="3DC35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75" w:type="dxa"/>
            <w:gridSpan w:val="6"/>
            <w:tcBorders>
              <w:tl2br w:val="nil"/>
              <w:tr2bl w:val="nil"/>
            </w:tcBorders>
            <w:noWrap w:val="0"/>
            <w:tcMar>
              <w:top w:w="28" w:type="dxa"/>
              <w:left w:w="28" w:type="dxa"/>
              <w:bottom w:w="28" w:type="dxa"/>
              <w:right w:w="28" w:type="dxa"/>
            </w:tcMar>
            <w:vAlign w:val="center"/>
          </w:tcPr>
          <w:p w14:paraId="5B782DD5">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二、主要技术经济指标及工程数量</w:t>
            </w:r>
          </w:p>
        </w:tc>
      </w:tr>
      <w:tr w14:paraId="7E608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l2br w:val="nil"/>
              <w:tr2bl w:val="nil"/>
            </w:tcBorders>
            <w:noWrap w:val="0"/>
            <w:tcMar>
              <w:top w:w="28" w:type="dxa"/>
              <w:left w:w="28" w:type="dxa"/>
              <w:bottom w:w="28" w:type="dxa"/>
              <w:right w:w="28" w:type="dxa"/>
            </w:tcMar>
            <w:vAlign w:val="center"/>
          </w:tcPr>
          <w:p w14:paraId="03EC4478">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类别</w:t>
            </w:r>
          </w:p>
        </w:tc>
        <w:tc>
          <w:tcPr>
            <w:tcW w:w="1104" w:type="dxa"/>
            <w:tcBorders>
              <w:tl2br w:val="nil"/>
              <w:tr2bl w:val="nil"/>
            </w:tcBorders>
            <w:noWrap w:val="0"/>
            <w:tcMar>
              <w:top w:w="28" w:type="dxa"/>
              <w:left w:w="28" w:type="dxa"/>
              <w:bottom w:w="28" w:type="dxa"/>
              <w:right w:w="28" w:type="dxa"/>
            </w:tcMar>
            <w:vAlign w:val="center"/>
          </w:tcPr>
          <w:p w14:paraId="02FED225">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指标名称</w:t>
            </w:r>
          </w:p>
        </w:tc>
        <w:tc>
          <w:tcPr>
            <w:tcW w:w="984" w:type="dxa"/>
            <w:tcBorders>
              <w:tl2br w:val="nil"/>
              <w:tr2bl w:val="nil"/>
            </w:tcBorders>
            <w:noWrap w:val="0"/>
            <w:tcMar>
              <w:top w:w="28" w:type="dxa"/>
              <w:left w:w="28" w:type="dxa"/>
              <w:bottom w:w="28" w:type="dxa"/>
              <w:right w:w="28" w:type="dxa"/>
            </w:tcMar>
            <w:vAlign w:val="center"/>
          </w:tcPr>
          <w:p w14:paraId="48DEB66C">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2187" w:type="dxa"/>
            <w:tcBorders>
              <w:tl2br w:val="nil"/>
              <w:tr2bl w:val="nil"/>
            </w:tcBorders>
            <w:noWrap w:val="0"/>
            <w:tcMar>
              <w:top w:w="28" w:type="dxa"/>
              <w:left w:w="28" w:type="dxa"/>
              <w:bottom w:w="28" w:type="dxa"/>
              <w:right w:w="28" w:type="dxa"/>
            </w:tcMar>
            <w:vAlign w:val="center"/>
          </w:tcPr>
          <w:p w14:paraId="39AE55B9">
            <w:pPr>
              <w:pStyle w:val="37"/>
              <w:bidi w:val="0"/>
              <w:ind w:left="0" w:leftChars="0" w:firstLine="0" w:firstLineChars="0"/>
              <w:rPr>
                <w:rFonts w:hint="default" w:ascii="Times New Roman" w:hAnsi="Times New Roman" w:eastAsia="宋体" w:cs="Times New Roman"/>
                <w:color w:val="auto"/>
              </w:rPr>
            </w:pPr>
            <w:r>
              <w:rPr>
                <w:rFonts w:hint="eastAsia" w:cs="Times New Roman"/>
                <w:color w:val="auto"/>
                <w:lang w:val="en-US" w:eastAsia="zh-CN"/>
              </w:rPr>
              <w:t>重新报批</w:t>
            </w:r>
            <w:r>
              <w:rPr>
                <w:rFonts w:hint="default" w:ascii="Times New Roman" w:hAnsi="Times New Roman" w:eastAsia="宋体" w:cs="Times New Roman"/>
                <w:color w:val="auto"/>
              </w:rPr>
              <w:t>内容</w:t>
            </w:r>
          </w:p>
        </w:tc>
        <w:tc>
          <w:tcPr>
            <w:tcW w:w="1616" w:type="dxa"/>
            <w:tcBorders>
              <w:tl2br w:val="nil"/>
              <w:tr2bl w:val="nil"/>
            </w:tcBorders>
            <w:noWrap w:val="0"/>
            <w:tcMar>
              <w:top w:w="28" w:type="dxa"/>
              <w:left w:w="28" w:type="dxa"/>
              <w:bottom w:w="28" w:type="dxa"/>
              <w:right w:w="28" w:type="dxa"/>
            </w:tcMar>
            <w:vAlign w:val="center"/>
          </w:tcPr>
          <w:p w14:paraId="6DACE77F">
            <w:pPr>
              <w:pStyle w:val="37"/>
              <w:bidi w:val="0"/>
              <w:ind w:left="0" w:leftChars="0" w:firstLine="0" w:firstLineChars="0"/>
              <w:rPr>
                <w:rFonts w:hint="default" w:ascii="Times New Roman" w:hAnsi="Times New Roman" w:eastAsia="宋体" w:cs="Times New Roman"/>
                <w:color w:val="auto"/>
              </w:rPr>
            </w:pPr>
            <w:r>
              <w:rPr>
                <w:rFonts w:hint="eastAsia" w:cs="Times New Roman"/>
                <w:color w:val="auto"/>
                <w:lang w:val="en-US" w:eastAsia="zh-CN"/>
              </w:rPr>
              <w:t>验收</w:t>
            </w:r>
            <w:r>
              <w:rPr>
                <w:rFonts w:hint="default" w:ascii="Times New Roman" w:hAnsi="Times New Roman" w:eastAsia="宋体" w:cs="Times New Roman"/>
                <w:color w:val="auto"/>
              </w:rPr>
              <w:t>内容</w:t>
            </w:r>
          </w:p>
        </w:tc>
        <w:tc>
          <w:tcPr>
            <w:tcW w:w="2337" w:type="dxa"/>
            <w:tcBorders>
              <w:tl2br w:val="nil"/>
              <w:tr2bl w:val="nil"/>
            </w:tcBorders>
            <w:noWrap w:val="0"/>
            <w:tcMar>
              <w:top w:w="28" w:type="dxa"/>
              <w:left w:w="28" w:type="dxa"/>
              <w:bottom w:w="28" w:type="dxa"/>
              <w:right w:w="28" w:type="dxa"/>
            </w:tcMar>
            <w:vAlign w:val="center"/>
          </w:tcPr>
          <w:p w14:paraId="15EE7A8B">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变化情况</w:t>
            </w:r>
          </w:p>
        </w:tc>
      </w:tr>
      <w:tr w14:paraId="0CECC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restart"/>
            <w:tcBorders>
              <w:tl2br w:val="nil"/>
              <w:tr2bl w:val="nil"/>
            </w:tcBorders>
            <w:noWrap w:val="0"/>
            <w:tcMar>
              <w:top w:w="28" w:type="dxa"/>
              <w:left w:w="28" w:type="dxa"/>
              <w:bottom w:w="28" w:type="dxa"/>
              <w:right w:w="28" w:type="dxa"/>
            </w:tcMar>
            <w:vAlign w:val="center"/>
          </w:tcPr>
          <w:p w14:paraId="35E12081">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主体</w:t>
            </w:r>
          </w:p>
          <w:p w14:paraId="3D481CE8">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工程</w:t>
            </w:r>
          </w:p>
        </w:tc>
        <w:tc>
          <w:tcPr>
            <w:tcW w:w="1104" w:type="dxa"/>
            <w:tcBorders>
              <w:tl2br w:val="nil"/>
              <w:tr2bl w:val="nil"/>
            </w:tcBorders>
            <w:noWrap w:val="0"/>
            <w:tcMar>
              <w:top w:w="28" w:type="dxa"/>
              <w:left w:w="28" w:type="dxa"/>
              <w:bottom w:w="28" w:type="dxa"/>
              <w:right w:w="28" w:type="dxa"/>
            </w:tcMar>
            <w:vAlign w:val="center"/>
          </w:tcPr>
          <w:p w14:paraId="5D05DC5F">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路线长度</w:t>
            </w:r>
          </w:p>
        </w:tc>
        <w:tc>
          <w:tcPr>
            <w:tcW w:w="984" w:type="dxa"/>
            <w:tcBorders>
              <w:tl2br w:val="nil"/>
              <w:tr2bl w:val="nil"/>
            </w:tcBorders>
            <w:noWrap w:val="0"/>
            <w:tcMar>
              <w:top w:w="28" w:type="dxa"/>
              <w:left w:w="28" w:type="dxa"/>
              <w:bottom w:w="28" w:type="dxa"/>
              <w:right w:w="28" w:type="dxa"/>
            </w:tcMar>
            <w:vAlign w:val="center"/>
          </w:tcPr>
          <w:p w14:paraId="27A23BA2">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km</w:t>
            </w:r>
          </w:p>
        </w:tc>
        <w:tc>
          <w:tcPr>
            <w:tcW w:w="2187" w:type="dxa"/>
            <w:tcBorders>
              <w:tl2br w:val="nil"/>
              <w:tr2bl w:val="nil"/>
            </w:tcBorders>
            <w:noWrap w:val="0"/>
            <w:tcMar>
              <w:top w:w="28" w:type="dxa"/>
              <w:left w:w="28" w:type="dxa"/>
              <w:bottom w:w="28" w:type="dxa"/>
              <w:right w:w="28" w:type="dxa"/>
            </w:tcMar>
            <w:vAlign w:val="center"/>
          </w:tcPr>
          <w:p w14:paraId="76AF189A">
            <w:pPr>
              <w:pStyle w:val="37"/>
              <w:bidi w:val="0"/>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10.979</w:t>
            </w:r>
          </w:p>
        </w:tc>
        <w:tc>
          <w:tcPr>
            <w:tcW w:w="1616" w:type="dxa"/>
            <w:tcBorders>
              <w:tl2br w:val="nil"/>
              <w:tr2bl w:val="nil"/>
            </w:tcBorders>
            <w:noWrap w:val="0"/>
            <w:tcMar>
              <w:top w:w="28" w:type="dxa"/>
              <w:left w:w="28" w:type="dxa"/>
              <w:bottom w:w="28" w:type="dxa"/>
              <w:right w:w="28" w:type="dxa"/>
            </w:tcMar>
            <w:vAlign w:val="center"/>
          </w:tcPr>
          <w:p w14:paraId="71E7C02A">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10.979</w:t>
            </w:r>
          </w:p>
        </w:tc>
        <w:tc>
          <w:tcPr>
            <w:tcW w:w="2337" w:type="dxa"/>
            <w:tcBorders>
              <w:tl2br w:val="nil"/>
              <w:tr2bl w:val="nil"/>
            </w:tcBorders>
            <w:noWrap w:val="0"/>
            <w:tcMar>
              <w:top w:w="28" w:type="dxa"/>
              <w:left w:w="28" w:type="dxa"/>
              <w:bottom w:w="28" w:type="dxa"/>
              <w:right w:w="28" w:type="dxa"/>
            </w:tcMar>
            <w:vAlign w:val="center"/>
          </w:tcPr>
          <w:p w14:paraId="57B51F5D">
            <w:pPr>
              <w:pStyle w:val="37"/>
              <w:bidi w:val="0"/>
              <w:rPr>
                <w:rFonts w:hint="default" w:cs="Times New Roman"/>
                <w:color w:val="auto"/>
                <w:lang w:val="en-US" w:eastAsia="zh-CN"/>
              </w:rPr>
            </w:pPr>
            <w:r>
              <w:rPr>
                <w:rFonts w:hint="eastAsia" w:cs="Times New Roman"/>
                <w:color w:val="auto"/>
                <w:lang w:val="en-US" w:eastAsia="zh-CN"/>
              </w:rPr>
              <w:t>一致</w:t>
            </w:r>
          </w:p>
        </w:tc>
      </w:tr>
      <w:tr w14:paraId="024FD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71F38DEC">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693D7C17">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路基宽度</w:t>
            </w:r>
          </w:p>
        </w:tc>
        <w:tc>
          <w:tcPr>
            <w:tcW w:w="984" w:type="dxa"/>
            <w:tcBorders>
              <w:tl2br w:val="nil"/>
              <w:tr2bl w:val="nil"/>
            </w:tcBorders>
            <w:noWrap w:val="0"/>
            <w:tcMar>
              <w:top w:w="28" w:type="dxa"/>
              <w:left w:w="28" w:type="dxa"/>
              <w:bottom w:w="28" w:type="dxa"/>
              <w:right w:w="28" w:type="dxa"/>
            </w:tcMar>
            <w:vAlign w:val="center"/>
          </w:tcPr>
          <w:p w14:paraId="51DFD2B9">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m</w:t>
            </w:r>
          </w:p>
        </w:tc>
        <w:tc>
          <w:tcPr>
            <w:tcW w:w="2187" w:type="dxa"/>
            <w:tcBorders>
              <w:tl2br w:val="nil"/>
              <w:tr2bl w:val="nil"/>
            </w:tcBorders>
            <w:noWrap w:val="0"/>
            <w:tcMar>
              <w:top w:w="28" w:type="dxa"/>
              <w:left w:w="28" w:type="dxa"/>
              <w:bottom w:w="28" w:type="dxa"/>
              <w:right w:w="28" w:type="dxa"/>
            </w:tcMar>
            <w:vAlign w:val="center"/>
          </w:tcPr>
          <w:p w14:paraId="64A7523D">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25.5</w:t>
            </w:r>
          </w:p>
        </w:tc>
        <w:tc>
          <w:tcPr>
            <w:tcW w:w="1616" w:type="dxa"/>
            <w:tcBorders>
              <w:tl2br w:val="nil"/>
              <w:tr2bl w:val="nil"/>
            </w:tcBorders>
            <w:noWrap w:val="0"/>
            <w:tcMar>
              <w:top w:w="28" w:type="dxa"/>
              <w:left w:w="28" w:type="dxa"/>
              <w:bottom w:w="28" w:type="dxa"/>
              <w:right w:w="28" w:type="dxa"/>
            </w:tcMar>
            <w:vAlign w:val="center"/>
          </w:tcPr>
          <w:p w14:paraId="5D7765BE">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25.5</w:t>
            </w:r>
          </w:p>
        </w:tc>
        <w:tc>
          <w:tcPr>
            <w:tcW w:w="2337" w:type="dxa"/>
            <w:tcBorders>
              <w:tl2br w:val="nil"/>
              <w:tr2bl w:val="nil"/>
            </w:tcBorders>
            <w:noWrap w:val="0"/>
            <w:tcMar>
              <w:top w:w="28" w:type="dxa"/>
              <w:left w:w="28" w:type="dxa"/>
              <w:bottom w:w="28" w:type="dxa"/>
              <w:right w:w="28" w:type="dxa"/>
            </w:tcMar>
            <w:vAlign w:val="center"/>
          </w:tcPr>
          <w:p w14:paraId="00084D9B">
            <w:pPr>
              <w:pStyle w:val="37"/>
              <w:bidi w:val="0"/>
              <w:rPr>
                <w:rFonts w:hint="default" w:cs="Times New Roman"/>
                <w:color w:val="auto"/>
                <w:lang w:val="en-US" w:eastAsia="zh-CN"/>
              </w:rPr>
            </w:pPr>
            <w:r>
              <w:rPr>
                <w:rFonts w:hint="eastAsia" w:cs="Times New Roman"/>
                <w:color w:val="auto"/>
                <w:lang w:val="en-US" w:eastAsia="zh-CN"/>
              </w:rPr>
              <w:t>一致</w:t>
            </w:r>
          </w:p>
        </w:tc>
      </w:tr>
      <w:tr w14:paraId="5948A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1530EAE7">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0CDD06FB">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桥梁</w:t>
            </w:r>
            <w:r>
              <w:rPr>
                <w:rFonts w:hint="default" w:ascii="Times New Roman" w:hAnsi="Times New Roman" w:eastAsia="宋体" w:cs="Times New Roman"/>
                <w:color w:val="auto"/>
                <w:lang w:eastAsia="zh-CN"/>
              </w:rPr>
              <w:t>工程</w:t>
            </w:r>
          </w:p>
        </w:tc>
        <w:tc>
          <w:tcPr>
            <w:tcW w:w="984" w:type="dxa"/>
            <w:tcBorders>
              <w:tl2br w:val="nil"/>
              <w:tr2bl w:val="nil"/>
            </w:tcBorders>
            <w:noWrap w:val="0"/>
            <w:tcMar>
              <w:top w:w="28" w:type="dxa"/>
              <w:left w:w="28" w:type="dxa"/>
              <w:bottom w:w="28" w:type="dxa"/>
              <w:right w:w="28" w:type="dxa"/>
            </w:tcMar>
            <w:vAlign w:val="center"/>
          </w:tcPr>
          <w:p w14:paraId="19DA73F3">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m/座</w:t>
            </w:r>
          </w:p>
        </w:tc>
        <w:tc>
          <w:tcPr>
            <w:tcW w:w="2187" w:type="dxa"/>
            <w:tcBorders>
              <w:tl2br w:val="nil"/>
              <w:tr2bl w:val="nil"/>
            </w:tcBorders>
            <w:noWrap w:val="0"/>
            <w:tcMar>
              <w:top w:w="28" w:type="dxa"/>
              <w:left w:w="28" w:type="dxa"/>
              <w:bottom w:w="28" w:type="dxa"/>
              <w:right w:w="28" w:type="dxa"/>
            </w:tcMar>
            <w:vAlign w:val="center"/>
          </w:tcPr>
          <w:p w14:paraId="574CC003">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481/3</w:t>
            </w:r>
          </w:p>
        </w:tc>
        <w:tc>
          <w:tcPr>
            <w:tcW w:w="1616" w:type="dxa"/>
            <w:tcBorders>
              <w:tl2br w:val="nil"/>
              <w:tr2bl w:val="nil"/>
            </w:tcBorders>
            <w:noWrap w:val="0"/>
            <w:tcMar>
              <w:top w:w="28" w:type="dxa"/>
              <w:left w:w="28" w:type="dxa"/>
              <w:bottom w:w="28" w:type="dxa"/>
              <w:right w:w="28" w:type="dxa"/>
            </w:tcMar>
            <w:vAlign w:val="center"/>
          </w:tcPr>
          <w:p w14:paraId="179A4F04">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481/3</w:t>
            </w:r>
          </w:p>
        </w:tc>
        <w:tc>
          <w:tcPr>
            <w:tcW w:w="2337" w:type="dxa"/>
            <w:tcBorders>
              <w:tl2br w:val="nil"/>
              <w:tr2bl w:val="nil"/>
            </w:tcBorders>
            <w:noWrap w:val="0"/>
            <w:tcMar>
              <w:top w:w="28" w:type="dxa"/>
              <w:left w:w="28" w:type="dxa"/>
              <w:bottom w:w="28" w:type="dxa"/>
              <w:right w:w="28" w:type="dxa"/>
            </w:tcMar>
            <w:vAlign w:val="center"/>
          </w:tcPr>
          <w:p w14:paraId="56E43CEF">
            <w:pPr>
              <w:pStyle w:val="37"/>
              <w:bidi w:val="0"/>
              <w:rPr>
                <w:rFonts w:hint="default" w:cs="Times New Roman"/>
                <w:color w:val="auto"/>
                <w:lang w:val="en-US" w:eastAsia="zh-CN"/>
              </w:rPr>
            </w:pPr>
            <w:r>
              <w:rPr>
                <w:rFonts w:hint="eastAsia" w:cs="Times New Roman"/>
                <w:color w:val="auto"/>
                <w:lang w:val="en-US" w:eastAsia="zh-CN"/>
              </w:rPr>
              <w:t>一致</w:t>
            </w:r>
          </w:p>
        </w:tc>
      </w:tr>
      <w:tr w14:paraId="3A6D3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44BD56A6">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6B1F233E">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涵洞</w:t>
            </w:r>
            <w:r>
              <w:rPr>
                <w:rFonts w:hint="default" w:ascii="Times New Roman" w:hAnsi="Times New Roman" w:eastAsia="宋体" w:cs="Times New Roman"/>
                <w:color w:val="auto"/>
                <w:lang w:eastAsia="zh-CN"/>
              </w:rPr>
              <w:t>及通道</w:t>
            </w:r>
          </w:p>
        </w:tc>
        <w:tc>
          <w:tcPr>
            <w:tcW w:w="984" w:type="dxa"/>
            <w:tcBorders>
              <w:tl2br w:val="nil"/>
              <w:tr2bl w:val="nil"/>
            </w:tcBorders>
            <w:noWrap w:val="0"/>
            <w:tcMar>
              <w:top w:w="28" w:type="dxa"/>
              <w:left w:w="28" w:type="dxa"/>
              <w:bottom w:w="28" w:type="dxa"/>
              <w:right w:w="28" w:type="dxa"/>
            </w:tcMar>
            <w:vAlign w:val="center"/>
          </w:tcPr>
          <w:p w14:paraId="4D6B5BE4">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道</w:t>
            </w:r>
          </w:p>
        </w:tc>
        <w:tc>
          <w:tcPr>
            <w:tcW w:w="2187" w:type="dxa"/>
            <w:tcBorders>
              <w:tl2br w:val="nil"/>
              <w:tr2bl w:val="nil"/>
            </w:tcBorders>
            <w:noWrap w:val="0"/>
            <w:tcMar>
              <w:top w:w="28" w:type="dxa"/>
              <w:left w:w="28" w:type="dxa"/>
              <w:bottom w:w="28" w:type="dxa"/>
              <w:right w:w="28" w:type="dxa"/>
            </w:tcMar>
            <w:vAlign w:val="center"/>
          </w:tcPr>
          <w:p w14:paraId="3D2677FD">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57</w:t>
            </w:r>
          </w:p>
        </w:tc>
        <w:tc>
          <w:tcPr>
            <w:tcW w:w="1616" w:type="dxa"/>
            <w:tcBorders>
              <w:tl2br w:val="nil"/>
              <w:tr2bl w:val="nil"/>
            </w:tcBorders>
            <w:noWrap w:val="0"/>
            <w:tcMar>
              <w:top w:w="28" w:type="dxa"/>
              <w:left w:w="28" w:type="dxa"/>
              <w:bottom w:w="28" w:type="dxa"/>
              <w:right w:w="28" w:type="dxa"/>
            </w:tcMar>
            <w:vAlign w:val="center"/>
          </w:tcPr>
          <w:p w14:paraId="725B6897">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57</w:t>
            </w:r>
          </w:p>
        </w:tc>
        <w:tc>
          <w:tcPr>
            <w:tcW w:w="2337" w:type="dxa"/>
            <w:tcBorders>
              <w:tl2br w:val="nil"/>
              <w:tr2bl w:val="nil"/>
            </w:tcBorders>
            <w:noWrap w:val="0"/>
            <w:tcMar>
              <w:top w:w="28" w:type="dxa"/>
              <w:left w:w="28" w:type="dxa"/>
              <w:bottom w:w="28" w:type="dxa"/>
              <w:right w:w="28" w:type="dxa"/>
            </w:tcMar>
            <w:vAlign w:val="center"/>
          </w:tcPr>
          <w:p w14:paraId="0890BE1B">
            <w:pPr>
              <w:pStyle w:val="37"/>
              <w:bidi w:val="0"/>
              <w:rPr>
                <w:rFonts w:hint="default" w:cs="Times New Roman"/>
                <w:color w:val="auto"/>
                <w:lang w:val="en-US" w:eastAsia="zh-CN"/>
              </w:rPr>
            </w:pPr>
            <w:r>
              <w:rPr>
                <w:rFonts w:hint="eastAsia" w:cs="Times New Roman"/>
                <w:color w:val="auto"/>
                <w:lang w:val="en-US" w:eastAsia="zh-CN"/>
              </w:rPr>
              <w:t>一致</w:t>
            </w:r>
          </w:p>
        </w:tc>
      </w:tr>
      <w:tr w14:paraId="6C07A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729D1CAD">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798A7284">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隧道工程</w:t>
            </w:r>
          </w:p>
        </w:tc>
        <w:tc>
          <w:tcPr>
            <w:tcW w:w="984" w:type="dxa"/>
            <w:tcBorders>
              <w:tl2br w:val="nil"/>
              <w:tr2bl w:val="nil"/>
            </w:tcBorders>
            <w:noWrap w:val="0"/>
            <w:tcMar>
              <w:top w:w="28" w:type="dxa"/>
              <w:left w:w="28" w:type="dxa"/>
              <w:bottom w:w="28" w:type="dxa"/>
              <w:right w:w="28" w:type="dxa"/>
            </w:tcMar>
            <w:vAlign w:val="center"/>
          </w:tcPr>
          <w:p w14:paraId="403BDBD0">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m/座</w:t>
            </w:r>
          </w:p>
        </w:tc>
        <w:tc>
          <w:tcPr>
            <w:tcW w:w="2187" w:type="dxa"/>
            <w:tcBorders>
              <w:tl2br w:val="nil"/>
              <w:tr2bl w:val="nil"/>
            </w:tcBorders>
            <w:noWrap w:val="0"/>
            <w:tcMar>
              <w:top w:w="28" w:type="dxa"/>
              <w:left w:w="28" w:type="dxa"/>
              <w:bottom w:w="28" w:type="dxa"/>
              <w:right w:w="28" w:type="dxa"/>
            </w:tcMar>
            <w:vAlign w:val="center"/>
          </w:tcPr>
          <w:p w14:paraId="35DC31F4">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p>
        </w:tc>
        <w:tc>
          <w:tcPr>
            <w:tcW w:w="1616" w:type="dxa"/>
            <w:tcBorders>
              <w:tl2br w:val="nil"/>
              <w:tr2bl w:val="nil"/>
            </w:tcBorders>
            <w:noWrap w:val="0"/>
            <w:tcMar>
              <w:top w:w="28" w:type="dxa"/>
              <w:left w:w="28" w:type="dxa"/>
              <w:bottom w:w="28" w:type="dxa"/>
              <w:right w:w="28" w:type="dxa"/>
            </w:tcMar>
            <w:vAlign w:val="center"/>
          </w:tcPr>
          <w:p w14:paraId="6415C367">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p>
        </w:tc>
        <w:tc>
          <w:tcPr>
            <w:tcW w:w="2337" w:type="dxa"/>
            <w:tcBorders>
              <w:tl2br w:val="nil"/>
              <w:tr2bl w:val="nil"/>
            </w:tcBorders>
            <w:noWrap w:val="0"/>
            <w:tcMar>
              <w:top w:w="28" w:type="dxa"/>
              <w:left w:w="28" w:type="dxa"/>
              <w:bottom w:w="28" w:type="dxa"/>
              <w:right w:w="28" w:type="dxa"/>
            </w:tcMar>
            <w:vAlign w:val="center"/>
          </w:tcPr>
          <w:p w14:paraId="5948F0EA">
            <w:pPr>
              <w:pStyle w:val="37"/>
              <w:bidi w:val="0"/>
              <w:rPr>
                <w:rFonts w:hint="default" w:cs="Times New Roman"/>
                <w:color w:val="auto"/>
                <w:lang w:val="en-US" w:eastAsia="zh-CN"/>
              </w:rPr>
            </w:pPr>
            <w:r>
              <w:rPr>
                <w:rFonts w:hint="eastAsia" w:cs="Times New Roman"/>
                <w:color w:val="auto"/>
                <w:lang w:val="en-US" w:eastAsia="zh-CN"/>
              </w:rPr>
              <w:t>一致</w:t>
            </w:r>
          </w:p>
        </w:tc>
      </w:tr>
      <w:tr w14:paraId="1B65F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47" w:type="dxa"/>
            <w:vMerge w:val="restart"/>
            <w:tcBorders>
              <w:tl2br w:val="nil"/>
              <w:tr2bl w:val="nil"/>
            </w:tcBorders>
            <w:noWrap w:val="0"/>
            <w:tcMar>
              <w:top w:w="28" w:type="dxa"/>
              <w:left w:w="28" w:type="dxa"/>
              <w:bottom w:w="28" w:type="dxa"/>
              <w:right w:w="28" w:type="dxa"/>
            </w:tcMar>
            <w:vAlign w:val="center"/>
          </w:tcPr>
          <w:p w14:paraId="2962A95C">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配套</w:t>
            </w:r>
          </w:p>
          <w:p w14:paraId="2A893681">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工程</w:t>
            </w:r>
          </w:p>
        </w:tc>
        <w:tc>
          <w:tcPr>
            <w:tcW w:w="1104" w:type="dxa"/>
            <w:tcBorders>
              <w:tl2br w:val="nil"/>
              <w:tr2bl w:val="nil"/>
            </w:tcBorders>
            <w:noWrap w:val="0"/>
            <w:tcMar>
              <w:top w:w="28" w:type="dxa"/>
              <w:left w:w="28" w:type="dxa"/>
              <w:bottom w:w="28" w:type="dxa"/>
              <w:right w:w="28" w:type="dxa"/>
            </w:tcMar>
            <w:vAlign w:val="center"/>
          </w:tcPr>
          <w:p w14:paraId="40B24726">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互通式</w:t>
            </w:r>
          </w:p>
          <w:p w14:paraId="655A1F15">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立交</w:t>
            </w:r>
          </w:p>
        </w:tc>
        <w:tc>
          <w:tcPr>
            <w:tcW w:w="984" w:type="dxa"/>
            <w:tcBorders>
              <w:tl2br w:val="nil"/>
              <w:tr2bl w:val="nil"/>
            </w:tcBorders>
            <w:noWrap w:val="0"/>
            <w:tcMar>
              <w:top w:w="28" w:type="dxa"/>
              <w:left w:w="28" w:type="dxa"/>
              <w:bottom w:w="28" w:type="dxa"/>
              <w:right w:w="28" w:type="dxa"/>
            </w:tcMar>
            <w:vAlign w:val="center"/>
          </w:tcPr>
          <w:p w14:paraId="526229E9">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处</w:t>
            </w:r>
          </w:p>
        </w:tc>
        <w:tc>
          <w:tcPr>
            <w:tcW w:w="2187" w:type="dxa"/>
            <w:tcBorders>
              <w:tl2br w:val="nil"/>
              <w:tr2bl w:val="nil"/>
            </w:tcBorders>
            <w:noWrap w:val="0"/>
            <w:tcMar>
              <w:top w:w="28" w:type="dxa"/>
              <w:left w:w="28" w:type="dxa"/>
              <w:bottom w:w="28" w:type="dxa"/>
              <w:right w:w="28" w:type="dxa"/>
            </w:tcMar>
            <w:vAlign w:val="center"/>
          </w:tcPr>
          <w:p w14:paraId="24F41C39">
            <w:pPr>
              <w:pStyle w:val="37"/>
              <w:bidi w:val="0"/>
              <w:ind w:left="0" w:leftChars="0" w:firstLine="0" w:firstLineChars="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1</w:t>
            </w:r>
          </w:p>
        </w:tc>
        <w:tc>
          <w:tcPr>
            <w:tcW w:w="1616" w:type="dxa"/>
            <w:tcBorders>
              <w:tl2br w:val="nil"/>
              <w:tr2bl w:val="nil"/>
            </w:tcBorders>
            <w:noWrap w:val="0"/>
            <w:tcMar>
              <w:top w:w="28" w:type="dxa"/>
              <w:left w:w="28" w:type="dxa"/>
              <w:bottom w:w="28" w:type="dxa"/>
              <w:right w:w="28" w:type="dxa"/>
            </w:tcMar>
            <w:vAlign w:val="center"/>
          </w:tcPr>
          <w:p w14:paraId="63F5581B">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1</w:t>
            </w:r>
          </w:p>
        </w:tc>
        <w:tc>
          <w:tcPr>
            <w:tcW w:w="2337" w:type="dxa"/>
            <w:tcBorders>
              <w:tl2br w:val="nil"/>
              <w:tr2bl w:val="nil"/>
            </w:tcBorders>
            <w:noWrap w:val="0"/>
            <w:tcMar>
              <w:top w:w="28" w:type="dxa"/>
              <w:left w:w="28" w:type="dxa"/>
              <w:bottom w:w="28" w:type="dxa"/>
              <w:right w:w="28" w:type="dxa"/>
            </w:tcMar>
            <w:vAlign w:val="center"/>
          </w:tcPr>
          <w:p w14:paraId="01277995">
            <w:pPr>
              <w:pStyle w:val="37"/>
              <w:bidi w:val="0"/>
              <w:rPr>
                <w:rFonts w:hint="default" w:cs="Times New Roman"/>
                <w:color w:val="auto"/>
                <w:lang w:val="en-US" w:eastAsia="zh-CN"/>
              </w:rPr>
            </w:pPr>
            <w:r>
              <w:rPr>
                <w:rFonts w:hint="eastAsia" w:cs="Times New Roman"/>
                <w:color w:val="auto"/>
                <w:lang w:val="en-US" w:eastAsia="zh-CN"/>
              </w:rPr>
              <w:t>一致</w:t>
            </w:r>
          </w:p>
        </w:tc>
      </w:tr>
      <w:tr w14:paraId="4F97C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332C5323">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71DEFF0A">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分离式立交</w:t>
            </w:r>
          </w:p>
        </w:tc>
        <w:tc>
          <w:tcPr>
            <w:tcW w:w="984" w:type="dxa"/>
            <w:tcBorders>
              <w:tl2br w:val="nil"/>
              <w:tr2bl w:val="nil"/>
            </w:tcBorders>
            <w:noWrap w:val="0"/>
            <w:tcMar>
              <w:top w:w="28" w:type="dxa"/>
              <w:left w:w="28" w:type="dxa"/>
              <w:bottom w:w="28" w:type="dxa"/>
              <w:right w:w="28" w:type="dxa"/>
            </w:tcMar>
            <w:vAlign w:val="center"/>
          </w:tcPr>
          <w:p w14:paraId="69EEF17E">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处</w:t>
            </w:r>
          </w:p>
        </w:tc>
        <w:tc>
          <w:tcPr>
            <w:tcW w:w="2187" w:type="dxa"/>
            <w:tcBorders>
              <w:tl2br w:val="nil"/>
              <w:tr2bl w:val="nil"/>
            </w:tcBorders>
            <w:noWrap w:val="0"/>
            <w:tcMar>
              <w:top w:w="28" w:type="dxa"/>
              <w:left w:w="28" w:type="dxa"/>
              <w:bottom w:w="28" w:type="dxa"/>
              <w:right w:w="28" w:type="dxa"/>
            </w:tcMar>
            <w:vAlign w:val="center"/>
          </w:tcPr>
          <w:p w14:paraId="30D4315B">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p>
        </w:tc>
        <w:tc>
          <w:tcPr>
            <w:tcW w:w="1616" w:type="dxa"/>
            <w:tcBorders>
              <w:tl2br w:val="nil"/>
              <w:tr2bl w:val="nil"/>
            </w:tcBorders>
            <w:noWrap w:val="0"/>
            <w:tcMar>
              <w:top w:w="28" w:type="dxa"/>
              <w:left w:w="28" w:type="dxa"/>
              <w:bottom w:w="28" w:type="dxa"/>
              <w:right w:w="28" w:type="dxa"/>
            </w:tcMar>
            <w:vAlign w:val="center"/>
          </w:tcPr>
          <w:p w14:paraId="7824A720">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p>
        </w:tc>
        <w:tc>
          <w:tcPr>
            <w:tcW w:w="2337" w:type="dxa"/>
            <w:tcBorders>
              <w:tl2br w:val="nil"/>
              <w:tr2bl w:val="nil"/>
            </w:tcBorders>
            <w:noWrap w:val="0"/>
            <w:tcMar>
              <w:top w:w="28" w:type="dxa"/>
              <w:left w:w="28" w:type="dxa"/>
              <w:bottom w:w="28" w:type="dxa"/>
              <w:right w:w="28" w:type="dxa"/>
            </w:tcMar>
            <w:vAlign w:val="center"/>
          </w:tcPr>
          <w:p w14:paraId="1598363A">
            <w:pPr>
              <w:pStyle w:val="37"/>
              <w:bidi w:val="0"/>
              <w:rPr>
                <w:rFonts w:hint="default" w:cs="Times New Roman"/>
                <w:color w:val="auto"/>
                <w:lang w:val="en-US" w:eastAsia="zh-CN"/>
              </w:rPr>
            </w:pPr>
            <w:r>
              <w:rPr>
                <w:rFonts w:hint="eastAsia" w:cs="Times New Roman"/>
                <w:color w:val="auto"/>
                <w:lang w:val="en-US" w:eastAsia="zh-CN"/>
              </w:rPr>
              <w:t>一致</w:t>
            </w:r>
          </w:p>
        </w:tc>
      </w:tr>
      <w:tr w14:paraId="62266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57FF9DAE">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0DA21E5A">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收费站</w:t>
            </w:r>
          </w:p>
        </w:tc>
        <w:tc>
          <w:tcPr>
            <w:tcW w:w="984" w:type="dxa"/>
            <w:tcBorders>
              <w:tl2br w:val="nil"/>
              <w:tr2bl w:val="nil"/>
            </w:tcBorders>
            <w:noWrap w:val="0"/>
            <w:tcMar>
              <w:top w:w="28" w:type="dxa"/>
              <w:left w:w="28" w:type="dxa"/>
              <w:bottom w:w="28" w:type="dxa"/>
              <w:right w:w="28" w:type="dxa"/>
            </w:tcMar>
            <w:vAlign w:val="center"/>
          </w:tcPr>
          <w:p w14:paraId="19F0416C">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处</w:t>
            </w:r>
          </w:p>
        </w:tc>
        <w:tc>
          <w:tcPr>
            <w:tcW w:w="2187" w:type="dxa"/>
            <w:tcBorders>
              <w:tl2br w:val="nil"/>
              <w:tr2bl w:val="nil"/>
            </w:tcBorders>
            <w:noWrap w:val="0"/>
            <w:tcMar>
              <w:top w:w="28" w:type="dxa"/>
              <w:left w:w="28" w:type="dxa"/>
              <w:bottom w:w="28" w:type="dxa"/>
              <w:right w:w="28" w:type="dxa"/>
            </w:tcMar>
            <w:vAlign w:val="center"/>
          </w:tcPr>
          <w:p w14:paraId="3A7E901F">
            <w:pPr>
              <w:pStyle w:val="37"/>
              <w:bidi w:val="0"/>
              <w:ind w:left="0" w:leftChars="0" w:firstLine="0" w:firstLineChars="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1</w:t>
            </w:r>
          </w:p>
        </w:tc>
        <w:tc>
          <w:tcPr>
            <w:tcW w:w="1616" w:type="dxa"/>
            <w:tcBorders>
              <w:tl2br w:val="nil"/>
              <w:tr2bl w:val="nil"/>
            </w:tcBorders>
            <w:noWrap w:val="0"/>
            <w:tcMar>
              <w:top w:w="28" w:type="dxa"/>
              <w:left w:w="28" w:type="dxa"/>
              <w:bottom w:w="28" w:type="dxa"/>
              <w:right w:w="28" w:type="dxa"/>
            </w:tcMar>
            <w:vAlign w:val="center"/>
          </w:tcPr>
          <w:p w14:paraId="2F4D59E2">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1</w:t>
            </w:r>
          </w:p>
        </w:tc>
        <w:tc>
          <w:tcPr>
            <w:tcW w:w="2337" w:type="dxa"/>
            <w:tcBorders>
              <w:tl2br w:val="nil"/>
              <w:tr2bl w:val="nil"/>
            </w:tcBorders>
            <w:noWrap w:val="0"/>
            <w:tcMar>
              <w:top w:w="28" w:type="dxa"/>
              <w:left w:w="28" w:type="dxa"/>
              <w:bottom w:w="28" w:type="dxa"/>
              <w:right w:w="28" w:type="dxa"/>
            </w:tcMar>
            <w:vAlign w:val="center"/>
          </w:tcPr>
          <w:p w14:paraId="21D7DE84">
            <w:pPr>
              <w:pStyle w:val="37"/>
              <w:bidi w:val="0"/>
              <w:rPr>
                <w:rFonts w:hint="default" w:cs="Times New Roman"/>
                <w:color w:val="auto"/>
                <w:lang w:val="en-US" w:eastAsia="zh-CN"/>
              </w:rPr>
            </w:pPr>
            <w:r>
              <w:rPr>
                <w:rFonts w:hint="eastAsia" w:cs="Times New Roman"/>
                <w:color w:val="auto"/>
                <w:lang w:val="en-US" w:eastAsia="zh-CN"/>
              </w:rPr>
              <w:t>一致</w:t>
            </w:r>
          </w:p>
        </w:tc>
      </w:tr>
      <w:tr w14:paraId="34597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25C366D0">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3585F68E">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养护工区</w:t>
            </w:r>
          </w:p>
        </w:tc>
        <w:tc>
          <w:tcPr>
            <w:tcW w:w="984" w:type="dxa"/>
            <w:tcBorders>
              <w:tl2br w:val="nil"/>
              <w:tr2bl w:val="nil"/>
            </w:tcBorders>
            <w:noWrap w:val="0"/>
            <w:tcMar>
              <w:top w:w="28" w:type="dxa"/>
              <w:left w:w="28" w:type="dxa"/>
              <w:bottom w:w="28" w:type="dxa"/>
              <w:right w:w="28" w:type="dxa"/>
            </w:tcMar>
            <w:vAlign w:val="center"/>
          </w:tcPr>
          <w:p w14:paraId="5FB35668">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处</w:t>
            </w:r>
          </w:p>
        </w:tc>
        <w:tc>
          <w:tcPr>
            <w:tcW w:w="2187" w:type="dxa"/>
            <w:tcBorders>
              <w:tl2br w:val="nil"/>
              <w:tr2bl w:val="nil"/>
            </w:tcBorders>
            <w:noWrap w:val="0"/>
            <w:tcMar>
              <w:top w:w="28" w:type="dxa"/>
              <w:left w:w="28" w:type="dxa"/>
              <w:bottom w:w="28" w:type="dxa"/>
              <w:right w:w="28" w:type="dxa"/>
            </w:tcMar>
            <w:vAlign w:val="center"/>
          </w:tcPr>
          <w:p w14:paraId="34E3B509">
            <w:pPr>
              <w:pStyle w:val="37"/>
              <w:bidi w:val="0"/>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0</w:t>
            </w:r>
          </w:p>
        </w:tc>
        <w:tc>
          <w:tcPr>
            <w:tcW w:w="1616" w:type="dxa"/>
            <w:tcBorders>
              <w:tl2br w:val="nil"/>
              <w:tr2bl w:val="nil"/>
            </w:tcBorders>
            <w:noWrap w:val="0"/>
            <w:tcMar>
              <w:top w:w="28" w:type="dxa"/>
              <w:left w:w="28" w:type="dxa"/>
              <w:bottom w:w="28" w:type="dxa"/>
              <w:right w:w="28" w:type="dxa"/>
            </w:tcMar>
            <w:vAlign w:val="center"/>
          </w:tcPr>
          <w:p w14:paraId="5E99D141">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0</w:t>
            </w:r>
          </w:p>
        </w:tc>
        <w:tc>
          <w:tcPr>
            <w:tcW w:w="2337" w:type="dxa"/>
            <w:tcBorders>
              <w:tl2br w:val="nil"/>
              <w:tr2bl w:val="nil"/>
            </w:tcBorders>
            <w:noWrap w:val="0"/>
            <w:tcMar>
              <w:top w:w="28" w:type="dxa"/>
              <w:left w:w="28" w:type="dxa"/>
              <w:bottom w:w="28" w:type="dxa"/>
              <w:right w:w="28" w:type="dxa"/>
            </w:tcMar>
            <w:vAlign w:val="center"/>
          </w:tcPr>
          <w:p w14:paraId="3456DA7A">
            <w:pPr>
              <w:pStyle w:val="37"/>
              <w:bidi w:val="0"/>
              <w:rPr>
                <w:rFonts w:hint="default" w:cs="Times New Roman"/>
                <w:color w:val="auto"/>
                <w:lang w:val="en-US" w:eastAsia="zh-CN"/>
              </w:rPr>
            </w:pPr>
            <w:r>
              <w:rPr>
                <w:rFonts w:hint="eastAsia" w:cs="Times New Roman"/>
                <w:color w:val="auto"/>
                <w:lang w:val="en-US" w:eastAsia="zh-CN"/>
              </w:rPr>
              <w:t>一致</w:t>
            </w:r>
          </w:p>
        </w:tc>
      </w:tr>
      <w:tr w14:paraId="1C66D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7E826710">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42044F01">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管理中心</w:t>
            </w:r>
          </w:p>
        </w:tc>
        <w:tc>
          <w:tcPr>
            <w:tcW w:w="984" w:type="dxa"/>
            <w:tcBorders>
              <w:tl2br w:val="nil"/>
              <w:tr2bl w:val="nil"/>
            </w:tcBorders>
            <w:noWrap w:val="0"/>
            <w:tcMar>
              <w:top w:w="28" w:type="dxa"/>
              <w:left w:w="28" w:type="dxa"/>
              <w:bottom w:w="28" w:type="dxa"/>
              <w:right w:w="28" w:type="dxa"/>
            </w:tcMar>
            <w:vAlign w:val="center"/>
          </w:tcPr>
          <w:p w14:paraId="6B67EA9F">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处</w:t>
            </w:r>
          </w:p>
        </w:tc>
        <w:tc>
          <w:tcPr>
            <w:tcW w:w="2187" w:type="dxa"/>
            <w:tcBorders>
              <w:tl2br w:val="nil"/>
              <w:tr2bl w:val="nil"/>
            </w:tcBorders>
            <w:noWrap w:val="0"/>
            <w:tcMar>
              <w:top w:w="28" w:type="dxa"/>
              <w:left w:w="28" w:type="dxa"/>
              <w:bottom w:w="28" w:type="dxa"/>
              <w:right w:w="28" w:type="dxa"/>
            </w:tcMar>
            <w:vAlign w:val="center"/>
          </w:tcPr>
          <w:p w14:paraId="59AE1409">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p>
        </w:tc>
        <w:tc>
          <w:tcPr>
            <w:tcW w:w="1616" w:type="dxa"/>
            <w:tcBorders>
              <w:tl2br w:val="nil"/>
              <w:tr2bl w:val="nil"/>
            </w:tcBorders>
            <w:noWrap w:val="0"/>
            <w:tcMar>
              <w:top w:w="28" w:type="dxa"/>
              <w:left w:w="28" w:type="dxa"/>
              <w:bottom w:w="28" w:type="dxa"/>
              <w:right w:w="28" w:type="dxa"/>
            </w:tcMar>
            <w:vAlign w:val="center"/>
          </w:tcPr>
          <w:p w14:paraId="2B458F4C">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p>
        </w:tc>
        <w:tc>
          <w:tcPr>
            <w:tcW w:w="2337" w:type="dxa"/>
            <w:tcBorders>
              <w:tl2br w:val="nil"/>
              <w:tr2bl w:val="nil"/>
            </w:tcBorders>
            <w:noWrap w:val="0"/>
            <w:tcMar>
              <w:top w:w="28" w:type="dxa"/>
              <w:left w:w="28" w:type="dxa"/>
              <w:bottom w:w="28" w:type="dxa"/>
              <w:right w:w="28" w:type="dxa"/>
            </w:tcMar>
            <w:vAlign w:val="center"/>
          </w:tcPr>
          <w:p w14:paraId="20DA79F9">
            <w:pPr>
              <w:pStyle w:val="37"/>
              <w:bidi w:val="0"/>
              <w:rPr>
                <w:rFonts w:hint="default" w:cs="Times New Roman"/>
                <w:color w:val="auto"/>
                <w:lang w:val="en-US" w:eastAsia="zh-CN"/>
              </w:rPr>
            </w:pPr>
            <w:r>
              <w:rPr>
                <w:rFonts w:hint="eastAsia" w:cs="Times New Roman"/>
                <w:color w:val="auto"/>
                <w:lang w:val="en-US" w:eastAsia="zh-CN"/>
              </w:rPr>
              <w:t>一致</w:t>
            </w:r>
          </w:p>
        </w:tc>
      </w:tr>
      <w:tr w14:paraId="23C15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restart"/>
            <w:tcBorders>
              <w:tl2br w:val="nil"/>
              <w:tr2bl w:val="nil"/>
            </w:tcBorders>
            <w:noWrap w:val="0"/>
            <w:tcMar>
              <w:top w:w="28" w:type="dxa"/>
              <w:left w:w="28" w:type="dxa"/>
              <w:bottom w:w="28" w:type="dxa"/>
              <w:right w:w="28" w:type="dxa"/>
            </w:tcMar>
            <w:vAlign w:val="center"/>
          </w:tcPr>
          <w:p w14:paraId="1898E662">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临时</w:t>
            </w:r>
          </w:p>
          <w:p w14:paraId="25FEB16F">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工程</w:t>
            </w:r>
          </w:p>
        </w:tc>
        <w:tc>
          <w:tcPr>
            <w:tcW w:w="1104" w:type="dxa"/>
            <w:tcBorders>
              <w:tl2br w:val="nil"/>
              <w:tr2bl w:val="nil"/>
            </w:tcBorders>
            <w:noWrap w:val="0"/>
            <w:tcMar>
              <w:top w:w="28" w:type="dxa"/>
              <w:left w:w="28" w:type="dxa"/>
              <w:bottom w:w="28" w:type="dxa"/>
              <w:right w:w="28" w:type="dxa"/>
            </w:tcMar>
            <w:vAlign w:val="center"/>
          </w:tcPr>
          <w:p w14:paraId="68C4F4B2">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弃土场</w:t>
            </w:r>
          </w:p>
        </w:tc>
        <w:tc>
          <w:tcPr>
            <w:tcW w:w="984" w:type="dxa"/>
            <w:tcBorders>
              <w:tl2br w:val="nil"/>
              <w:tr2bl w:val="nil"/>
            </w:tcBorders>
            <w:noWrap w:val="0"/>
            <w:tcMar>
              <w:top w:w="28" w:type="dxa"/>
              <w:left w:w="28" w:type="dxa"/>
              <w:bottom w:w="28" w:type="dxa"/>
              <w:right w:w="28" w:type="dxa"/>
            </w:tcMar>
            <w:vAlign w:val="center"/>
          </w:tcPr>
          <w:p w14:paraId="5244BB79">
            <w:pPr>
              <w:pStyle w:val="37"/>
              <w:bidi w:val="0"/>
              <w:rPr>
                <w:rFonts w:hint="default" w:ascii="Times New Roman" w:hAnsi="Times New Roman" w:eastAsia="宋体" w:cs="Times New Roman"/>
                <w:color w:val="auto"/>
              </w:rPr>
            </w:pPr>
            <w:r>
              <w:rPr>
                <w:rFonts w:hint="default" w:ascii="Times New Roman" w:hAnsi="Times New Roman" w:cs="Times New Roman"/>
                <w:color w:val="auto"/>
                <w:lang w:val="en-US" w:eastAsia="zh-CN"/>
              </w:rPr>
              <w:t>h</w:t>
            </w:r>
            <w:r>
              <w:rPr>
                <w:rFonts w:hint="default" w:ascii="Times New Roman" w:hAnsi="Times New Roman" w:eastAsia="宋体" w:cs="Times New Roman"/>
                <w:color w:val="auto"/>
              </w:rPr>
              <w:t>m</w:t>
            </w:r>
            <w:r>
              <w:rPr>
                <w:rFonts w:hint="default" w:ascii="Times New Roman" w:hAnsi="Times New Roman" w:cs="Times New Roman"/>
                <w:color w:val="auto"/>
                <w:vertAlign w:val="superscript"/>
                <w:lang w:val="en-US" w:eastAsia="zh-CN"/>
              </w:rPr>
              <w:t>2</w:t>
            </w:r>
            <w:r>
              <w:rPr>
                <w:rFonts w:hint="default" w:ascii="Times New Roman" w:hAnsi="Times New Roman" w:eastAsia="宋体" w:cs="Times New Roman"/>
                <w:color w:val="auto"/>
              </w:rPr>
              <w:t>/处</w:t>
            </w:r>
          </w:p>
        </w:tc>
        <w:tc>
          <w:tcPr>
            <w:tcW w:w="2187" w:type="dxa"/>
            <w:tcBorders>
              <w:tl2br w:val="nil"/>
              <w:tr2bl w:val="nil"/>
            </w:tcBorders>
            <w:noWrap w:val="0"/>
            <w:tcMar>
              <w:top w:w="28" w:type="dxa"/>
              <w:left w:w="28" w:type="dxa"/>
              <w:bottom w:w="28" w:type="dxa"/>
              <w:right w:w="28" w:type="dxa"/>
            </w:tcMar>
            <w:vAlign w:val="center"/>
          </w:tcPr>
          <w:p w14:paraId="0C4AA6DD">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5.50</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5</w:t>
            </w:r>
          </w:p>
        </w:tc>
        <w:tc>
          <w:tcPr>
            <w:tcW w:w="1616" w:type="dxa"/>
            <w:tcBorders>
              <w:tl2br w:val="nil"/>
              <w:tr2bl w:val="nil"/>
            </w:tcBorders>
            <w:noWrap w:val="0"/>
            <w:tcMar>
              <w:top w:w="28" w:type="dxa"/>
              <w:left w:w="28" w:type="dxa"/>
              <w:bottom w:w="28" w:type="dxa"/>
              <w:right w:w="28" w:type="dxa"/>
            </w:tcMar>
            <w:vAlign w:val="center"/>
          </w:tcPr>
          <w:p w14:paraId="779EA886">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5.50</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5</w:t>
            </w:r>
          </w:p>
        </w:tc>
        <w:tc>
          <w:tcPr>
            <w:tcW w:w="2337" w:type="dxa"/>
            <w:tcBorders>
              <w:tl2br w:val="nil"/>
              <w:tr2bl w:val="nil"/>
            </w:tcBorders>
            <w:noWrap w:val="0"/>
            <w:tcMar>
              <w:top w:w="28" w:type="dxa"/>
              <w:left w:w="28" w:type="dxa"/>
              <w:bottom w:w="28" w:type="dxa"/>
              <w:right w:w="28" w:type="dxa"/>
            </w:tcMar>
            <w:vAlign w:val="center"/>
          </w:tcPr>
          <w:p w14:paraId="4F74FDD9">
            <w:pPr>
              <w:pStyle w:val="37"/>
              <w:bidi w:val="0"/>
              <w:rPr>
                <w:rFonts w:hint="default" w:cs="Times New Roman"/>
                <w:color w:val="auto"/>
                <w:lang w:val="en-US" w:eastAsia="zh-CN"/>
              </w:rPr>
            </w:pPr>
            <w:r>
              <w:rPr>
                <w:rFonts w:hint="eastAsia" w:cs="Times New Roman"/>
                <w:color w:val="auto"/>
                <w:lang w:val="en-US" w:eastAsia="zh-CN"/>
              </w:rPr>
              <w:t>一致</w:t>
            </w:r>
          </w:p>
        </w:tc>
      </w:tr>
      <w:tr w14:paraId="0181F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686154F7">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0E3EF67B">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施工营地</w:t>
            </w:r>
          </w:p>
        </w:tc>
        <w:tc>
          <w:tcPr>
            <w:tcW w:w="984" w:type="dxa"/>
            <w:tcBorders>
              <w:tl2br w:val="nil"/>
              <w:tr2bl w:val="nil"/>
            </w:tcBorders>
            <w:noWrap w:val="0"/>
            <w:tcMar>
              <w:top w:w="28" w:type="dxa"/>
              <w:left w:w="28" w:type="dxa"/>
              <w:bottom w:w="28" w:type="dxa"/>
              <w:right w:w="28" w:type="dxa"/>
            </w:tcMar>
            <w:vAlign w:val="center"/>
          </w:tcPr>
          <w:p w14:paraId="106D8658">
            <w:pPr>
              <w:pStyle w:val="37"/>
              <w:bidi w:val="0"/>
              <w:rPr>
                <w:rFonts w:hint="default" w:ascii="Times New Roman" w:hAnsi="Times New Roman" w:eastAsia="宋体" w:cs="Times New Roman"/>
                <w:color w:val="auto"/>
              </w:rPr>
            </w:pPr>
            <w:r>
              <w:rPr>
                <w:rFonts w:hint="default" w:ascii="Times New Roman" w:hAnsi="Times New Roman" w:cs="Times New Roman"/>
                <w:color w:val="auto"/>
                <w:lang w:val="en-US" w:eastAsia="zh-CN"/>
              </w:rPr>
              <w:t>h</w:t>
            </w:r>
            <w:r>
              <w:rPr>
                <w:rFonts w:hint="default" w:ascii="Times New Roman" w:hAnsi="Times New Roman" w:eastAsia="宋体" w:cs="Times New Roman"/>
                <w:color w:val="auto"/>
              </w:rPr>
              <w:t>m</w:t>
            </w:r>
            <w:r>
              <w:rPr>
                <w:rFonts w:hint="default" w:ascii="Times New Roman" w:hAnsi="Times New Roman" w:cs="Times New Roman"/>
                <w:color w:val="auto"/>
                <w:vertAlign w:val="superscript"/>
                <w:lang w:val="en-US" w:eastAsia="zh-CN"/>
              </w:rPr>
              <w:t>2</w:t>
            </w:r>
            <w:r>
              <w:rPr>
                <w:rFonts w:hint="default" w:ascii="Times New Roman" w:hAnsi="Times New Roman" w:eastAsia="宋体" w:cs="Times New Roman"/>
                <w:color w:val="auto"/>
              </w:rPr>
              <w:t>/处</w:t>
            </w:r>
          </w:p>
        </w:tc>
        <w:tc>
          <w:tcPr>
            <w:tcW w:w="2187" w:type="dxa"/>
            <w:tcBorders>
              <w:tl2br w:val="nil"/>
              <w:tr2bl w:val="nil"/>
            </w:tcBorders>
            <w:noWrap w:val="0"/>
            <w:tcMar>
              <w:top w:w="28" w:type="dxa"/>
              <w:left w:w="28" w:type="dxa"/>
              <w:bottom w:w="28" w:type="dxa"/>
              <w:right w:w="28" w:type="dxa"/>
            </w:tcMar>
            <w:vAlign w:val="center"/>
          </w:tcPr>
          <w:p w14:paraId="7E7FB3A0">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0/3</w:t>
            </w:r>
          </w:p>
        </w:tc>
        <w:tc>
          <w:tcPr>
            <w:tcW w:w="1616" w:type="dxa"/>
            <w:tcBorders>
              <w:tl2br w:val="nil"/>
              <w:tr2bl w:val="nil"/>
            </w:tcBorders>
            <w:noWrap w:val="0"/>
            <w:tcMar>
              <w:top w:w="28" w:type="dxa"/>
              <w:left w:w="28" w:type="dxa"/>
              <w:bottom w:w="28" w:type="dxa"/>
              <w:right w:w="28" w:type="dxa"/>
            </w:tcMar>
            <w:vAlign w:val="center"/>
          </w:tcPr>
          <w:p w14:paraId="7D6ED0F3">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0/3</w:t>
            </w:r>
          </w:p>
        </w:tc>
        <w:tc>
          <w:tcPr>
            <w:tcW w:w="2337" w:type="dxa"/>
            <w:tcBorders>
              <w:tl2br w:val="nil"/>
              <w:tr2bl w:val="nil"/>
            </w:tcBorders>
            <w:noWrap w:val="0"/>
            <w:tcMar>
              <w:top w:w="28" w:type="dxa"/>
              <w:left w:w="28" w:type="dxa"/>
              <w:bottom w:w="28" w:type="dxa"/>
              <w:right w:w="28" w:type="dxa"/>
            </w:tcMar>
            <w:vAlign w:val="center"/>
          </w:tcPr>
          <w:p w14:paraId="5593F94A">
            <w:pPr>
              <w:pStyle w:val="37"/>
              <w:bidi w:val="0"/>
              <w:rPr>
                <w:rFonts w:hint="default" w:cs="Times New Roman"/>
                <w:color w:val="auto"/>
                <w:lang w:val="en-US" w:eastAsia="zh-CN"/>
              </w:rPr>
            </w:pPr>
            <w:r>
              <w:rPr>
                <w:rFonts w:hint="eastAsia" w:cs="Times New Roman"/>
                <w:color w:val="auto"/>
                <w:lang w:val="en-US" w:eastAsia="zh-CN"/>
              </w:rPr>
              <w:t>一致</w:t>
            </w:r>
          </w:p>
        </w:tc>
      </w:tr>
      <w:tr w14:paraId="0AF78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49423C7B">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6974B005">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施工便道</w:t>
            </w:r>
          </w:p>
        </w:tc>
        <w:tc>
          <w:tcPr>
            <w:tcW w:w="984" w:type="dxa"/>
            <w:tcBorders>
              <w:tl2br w:val="nil"/>
              <w:tr2bl w:val="nil"/>
            </w:tcBorders>
            <w:noWrap w:val="0"/>
            <w:tcMar>
              <w:top w:w="28" w:type="dxa"/>
              <w:left w:w="28" w:type="dxa"/>
              <w:bottom w:w="28" w:type="dxa"/>
              <w:right w:w="28" w:type="dxa"/>
            </w:tcMar>
            <w:vAlign w:val="center"/>
          </w:tcPr>
          <w:p w14:paraId="0DCAD20A">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hm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/km</w:t>
            </w:r>
          </w:p>
        </w:tc>
        <w:tc>
          <w:tcPr>
            <w:tcW w:w="2187" w:type="dxa"/>
            <w:tcBorders>
              <w:tl2br w:val="nil"/>
              <w:tr2bl w:val="nil"/>
            </w:tcBorders>
            <w:noWrap w:val="0"/>
            <w:tcMar>
              <w:top w:w="28" w:type="dxa"/>
              <w:left w:w="28" w:type="dxa"/>
              <w:bottom w:w="28" w:type="dxa"/>
              <w:right w:w="28" w:type="dxa"/>
            </w:tcMar>
            <w:vAlign w:val="center"/>
          </w:tcPr>
          <w:p w14:paraId="35B518EF">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0.14</w:t>
            </w:r>
            <w:r>
              <w:rPr>
                <w:rFonts w:hint="default" w:ascii="Times New Roman" w:hAnsi="Times New Roman" w:eastAsia="宋体" w:cs="Times New Roman"/>
                <w:color w:val="auto"/>
                <w:lang w:val="en-US" w:eastAsia="zh-CN"/>
              </w:rPr>
              <w:t>/0.12</w:t>
            </w:r>
          </w:p>
        </w:tc>
        <w:tc>
          <w:tcPr>
            <w:tcW w:w="1616" w:type="dxa"/>
            <w:tcBorders>
              <w:tl2br w:val="nil"/>
              <w:tr2bl w:val="nil"/>
            </w:tcBorders>
            <w:noWrap w:val="0"/>
            <w:tcMar>
              <w:top w:w="28" w:type="dxa"/>
              <w:left w:w="28" w:type="dxa"/>
              <w:bottom w:w="28" w:type="dxa"/>
              <w:right w:w="28" w:type="dxa"/>
            </w:tcMar>
            <w:vAlign w:val="center"/>
          </w:tcPr>
          <w:p w14:paraId="3BAE7D24">
            <w:pPr>
              <w:pStyle w:val="37"/>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0.14</w:t>
            </w:r>
            <w:r>
              <w:rPr>
                <w:rFonts w:hint="default" w:ascii="Times New Roman" w:hAnsi="Times New Roman" w:eastAsia="宋体" w:cs="Times New Roman"/>
                <w:color w:val="auto"/>
                <w:lang w:val="en-US" w:eastAsia="zh-CN"/>
              </w:rPr>
              <w:t>/0.12</w:t>
            </w:r>
          </w:p>
        </w:tc>
        <w:tc>
          <w:tcPr>
            <w:tcW w:w="2337" w:type="dxa"/>
            <w:tcBorders>
              <w:tl2br w:val="nil"/>
              <w:tr2bl w:val="nil"/>
            </w:tcBorders>
            <w:noWrap w:val="0"/>
            <w:tcMar>
              <w:top w:w="28" w:type="dxa"/>
              <w:left w:w="28" w:type="dxa"/>
              <w:bottom w:w="28" w:type="dxa"/>
              <w:right w:w="28" w:type="dxa"/>
            </w:tcMar>
            <w:vAlign w:val="center"/>
          </w:tcPr>
          <w:p w14:paraId="4CDB137B">
            <w:pPr>
              <w:pStyle w:val="37"/>
              <w:bidi w:val="0"/>
              <w:rPr>
                <w:rFonts w:hint="default" w:cs="Times New Roman"/>
                <w:color w:val="auto"/>
                <w:lang w:val="en-US" w:eastAsia="zh-CN"/>
              </w:rPr>
            </w:pPr>
            <w:r>
              <w:rPr>
                <w:rFonts w:hint="eastAsia" w:cs="Times New Roman"/>
                <w:color w:val="auto"/>
                <w:lang w:val="en-US" w:eastAsia="zh-CN"/>
              </w:rPr>
              <w:t>一致</w:t>
            </w:r>
          </w:p>
        </w:tc>
      </w:tr>
      <w:tr w14:paraId="518A0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tcBorders>
              <w:tl2br w:val="nil"/>
              <w:tr2bl w:val="nil"/>
            </w:tcBorders>
            <w:noWrap w:val="0"/>
            <w:tcMar>
              <w:top w:w="28" w:type="dxa"/>
              <w:left w:w="28" w:type="dxa"/>
              <w:bottom w:w="28" w:type="dxa"/>
              <w:right w:w="28" w:type="dxa"/>
            </w:tcMar>
            <w:vAlign w:val="center"/>
          </w:tcPr>
          <w:p w14:paraId="3956DA7E">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环保</w:t>
            </w:r>
          </w:p>
          <w:p w14:paraId="085A798E">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工程</w:t>
            </w:r>
          </w:p>
        </w:tc>
        <w:tc>
          <w:tcPr>
            <w:tcW w:w="1104" w:type="dxa"/>
            <w:tcBorders>
              <w:tl2br w:val="nil"/>
              <w:tr2bl w:val="nil"/>
            </w:tcBorders>
            <w:noWrap w:val="0"/>
            <w:tcMar>
              <w:top w:w="28" w:type="dxa"/>
              <w:left w:w="28" w:type="dxa"/>
              <w:bottom w:w="28" w:type="dxa"/>
              <w:right w:w="28" w:type="dxa"/>
            </w:tcMar>
            <w:vAlign w:val="center"/>
          </w:tcPr>
          <w:p w14:paraId="4109F19A">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声屏障</w:t>
            </w:r>
          </w:p>
        </w:tc>
        <w:tc>
          <w:tcPr>
            <w:tcW w:w="984" w:type="dxa"/>
            <w:tcBorders>
              <w:tl2br w:val="nil"/>
              <w:tr2bl w:val="nil"/>
            </w:tcBorders>
            <w:noWrap w:val="0"/>
            <w:tcMar>
              <w:top w:w="28" w:type="dxa"/>
              <w:left w:w="28" w:type="dxa"/>
              <w:bottom w:w="28" w:type="dxa"/>
              <w:right w:w="28" w:type="dxa"/>
            </w:tcMar>
            <w:vAlign w:val="center"/>
          </w:tcPr>
          <w:p w14:paraId="0267473D">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m/段</w:t>
            </w:r>
          </w:p>
        </w:tc>
        <w:tc>
          <w:tcPr>
            <w:tcW w:w="2187" w:type="dxa"/>
            <w:tcBorders>
              <w:tl2br w:val="nil"/>
              <w:tr2bl w:val="nil"/>
            </w:tcBorders>
            <w:noWrap w:val="0"/>
            <w:tcMar>
              <w:top w:w="28" w:type="dxa"/>
              <w:left w:w="28" w:type="dxa"/>
              <w:bottom w:w="28" w:type="dxa"/>
              <w:right w:w="28" w:type="dxa"/>
            </w:tcMar>
            <w:vAlign w:val="center"/>
          </w:tcPr>
          <w:p w14:paraId="6412D701">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highlight w:val="none"/>
                <w:lang w:val="en-US" w:eastAsia="zh-CN"/>
              </w:rPr>
              <w:t>1058/8</w:t>
            </w:r>
          </w:p>
        </w:tc>
        <w:tc>
          <w:tcPr>
            <w:tcW w:w="1616" w:type="dxa"/>
            <w:tcBorders>
              <w:tl2br w:val="nil"/>
              <w:tr2bl w:val="nil"/>
            </w:tcBorders>
            <w:noWrap w:val="0"/>
            <w:tcMar>
              <w:top w:w="28" w:type="dxa"/>
              <w:left w:w="28" w:type="dxa"/>
              <w:bottom w:w="28" w:type="dxa"/>
              <w:right w:w="28" w:type="dxa"/>
            </w:tcMar>
            <w:vAlign w:val="center"/>
          </w:tcPr>
          <w:p w14:paraId="32BFBF22">
            <w:pPr>
              <w:pStyle w:val="37"/>
              <w:bidi w:val="0"/>
              <w:rPr>
                <w:rFonts w:hint="default" w:ascii="Times New Roman" w:hAnsi="Times New Roman" w:eastAsia="宋体" w:cs="Times New Roman"/>
                <w:color w:val="auto"/>
                <w:highlight w:val="yellow"/>
                <w:lang w:val="en-US" w:eastAsia="zh-CN"/>
              </w:rPr>
            </w:pPr>
            <w:r>
              <w:rPr>
                <w:rFonts w:hint="default" w:ascii="Times New Roman" w:hAnsi="Times New Roman" w:eastAsia="宋体" w:cs="Times New Roman"/>
                <w:color w:val="auto"/>
                <w:highlight w:val="none"/>
                <w:lang w:val="en-US" w:eastAsia="zh-CN"/>
              </w:rPr>
              <w:t>1058/8</w:t>
            </w:r>
          </w:p>
        </w:tc>
        <w:tc>
          <w:tcPr>
            <w:tcW w:w="2337" w:type="dxa"/>
            <w:tcBorders>
              <w:tl2br w:val="nil"/>
              <w:tr2bl w:val="nil"/>
            </w:tcBorders>
            <w:noWrap w:val="0"/>
            <w:tcMar>
              <w:top w:w="28" w:type="dxa"/>
              <w:left w:w="28" w:type="dxa"/>
              <w:bottom w:w="28" w:type="dxa"/>
              <w:right w:w="28" w:type="dxa"/>
            </w:tcMar>
            <w:vAlign w:val="center"/>
          </w:tcPr>
          <w:p w14:paraId="0C4F557A">
            <w:pPr>
              <w:pStyle w:val="37"/>
              <w:bidi w:val="0"/>
              <w:rPr>
                <w:rFonts w:hint="default" w:cs="Times New Roman"/>
                <w:color w:val="auto"/>
                <w:lang w:val="en-US" w:eastAsia="zh-CN"/>
              </w:rPr>
            </w:pPr>
            <w:r>
              <w:rPr>
                <w:rFonts w:hint="eastAsia" w:cs="Times New Roman"/>
                <w:color w:val="auto"/>
                <w:lang w:val="en-US" w:eastAsia="zh-CN"/>
              </w:rPr>
              <w:t>一致</w:t>
            </w:r>
          </w:p>
        </w:tc>
      </w:tr>
      <w:tr w14:paraId="1CB30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restart"/>
            <w:tcBorders>
              <w:tl2br w:val="nil"/>
              <w:tr2bl w:val="nil"/>
            </w:tcBorders>
            <w:noWrap w:val="0"/>
            <w:tcMar>
              <w:top w:w="28" w:type="dxa"/>
              <w:left w:w="28" w:type="dxa"/>
              <w:bottom w:w="28" w:type="dxa"/>
              <w:right w:w="28" w:type="dxa"/>
            </w:tcMar>
            <w:vAlign w:val="center"/>
          </w:tcPr>
          <w:p w14:paraId="30E49395">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其他</w:t>
            </w:r>
          </w:p>
        </w:tc>
        <w:tc>
          <w:tcPr>
            <w:tcW w:w="1104" w:type="dxa"/>
            <w:tcBorders>
              <w:tl2br w:val="nil"/>
              <w:tr2bl w:val="nil"/>
            </w:tcBorders>
            <w:noWrap w:val="0"/>
            <w:tcMar>
              <w:top w:w="28" w:type="dxa"/>
              <w:left w:w="28" w:type="dxa"/>
              <w:bottom w:w="28" w:type="dxa"/>
              <w:right w:w="28" w:type="dxa"/>
            </w:tcMar>
            <w:vAlign w:val="center"/>
          </w:tcPr>
          <w:p w14:paraId="1E01F5CE">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永久占地</w:t>
            </w:r>
          </w:p>
        </w:tc>
        <w:tc>
          <w:tcPr>
            <w:tcW w:w="984" w:type="dxa"/>
            <w:tcBorders>
              <w:tl2br w:val="nil"/>
              <w:tr2bl w:val="nil"/>
            </w:tcBorders>
            <w:noWrap w:val="0"/>
            <w:tcMar>
              <w:top w:w="28" w:type="dxa"/>
              <w:left w:w="28" w:type="dxa"/>
              <w:bottom w:w="28" w:type="dxa"/>
              <w:right w:w="28" w:type="dxa"/>
            </w:tcMar>
            <w:vAlign w:val="center"/>
          </w:tcPr>
          <w:p w14:paraId="5668199F">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hm²</w:t>
            </w:r>
          </w:p>
        </w:tc>
        <w:tc>
          <w:tcPr>
            <w:tcW w:w="2187" w:type="dxa"/>
            <w:tcBorders>
              <w:tl2br w:val="nil"/>
              <w:tr2bl w:val="nil"/>
            </w:tcBorders>
            <w:noWrap w:val="0"/>
            <w:tcMar>
              <w:top w:w="28" w:type="dxa"/>
              <w:left w:w="28" w:type="dxa"/>
              <w:bottom w:w="28" w:type="dxa"/>
              <w:right w:w="28" w:type="dxa"/>
            </w:tcMar>
            <w:vAlign w:val="center"/>
          </w:tcPr>
          <w:p w14:paraId="6617D6DA">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66.98</w:t>
            </w:r>
          </w:p>
        </w:tc>
        <w:tc>
          <w:tcPr>
            <w:tcW w:w="1616" w:type="dxa"/>
            <w:tcBorders>
              <w:tl2br w:val="nil"/>
              <w:tr2bl w:val="nil"/>
            </w:tcBorders>
            <w:noWrap w:val="0"/>
            <w:tcMar>
              <w:top w:w="28" w:type="dxa"/>
              <w:left w:w="28" w:type="dxa"/>
              <w:bottom w:w="28" w:type="dxa"/>
              <w:right w:w="28" w:type="dxa"/>
            </w:tcMar>
            <w:vAlign w:val="center"/>
          </w:tcPr>
          <w:p w14:paraId="7BEC8CCB">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66.98</w:t>
            </w:r>
          </w:p>
        </w:tc>
        <w:tc>
          <w:tcPr>
            <w:tcW w:w="2337" w:type="dxa"/>
            <w:tcBorders>
              <w:tl2br w:val="nil"/>
              <w:tr2bl w:val="nil"/>
            </w:tcBorders>
            <w:noWrap w:val="0"/>
            <w:tcMar>
              <w:top w:w="28" w:type="dxa"/>
              <w:left w:w="28" w:type="dxa"/>
              <w:bottom w:w="28" w:type="dxa"/>
              <w:right w:w="28" w:type="dxa"/>
            </w:tcMar>
            <w:vAlign w:val="center"/>
          </w:tcPr>
          <w:p w14:paraId="2F3DFD1F">
            <w:pPr>
              <w:pStyle w:val="37"/>
              <w:bidi w:val="0"/>
              <w:rPr>
                <w:rFonts w:hint="default" w:cs="Times New Roman"/>
                <w:color w:val="auto"/>
                <w:lang w:val="en-US" w:eastAsia="zh-CN"/>
              </w:rPr>
            </w:pPr>
            <w:r>
              <w:rPr>
                <w:rFonts w:hint="eastAsia" w:cs="Times New Roman"/>
                <w:color w:val="auto"/>
                <w:lang w:val="en-US" w:eastAsia="zh-CN"/>
              </w:rPr>
              <w:t>一致</w:t>
            </w:r>
          </w:p>
        </w:tc>
      </w:tr>
      <w:tr w14:paraId="3CD49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tcBorders>
              <w:tl2br w:val="nil"/>
              <w:tr2bl w:val="nil"/>
            </w:tcBorders>
            <w:noWrap w:val="0"/>
            <w:tcMar>
              <w:top w:w="28" w:type="dxa"/>
              <w:left w:w="28" w:type="dxa"/>
              <w:bottom w:w="28" w:type="dxa"/>
              <w:right w:w="28" w:type="dxa"/>
            </w:tcMar>
            <w:vAlign w:val="center"/>
          </w:tcPr>
          <w:p w14:paraId="2807CF3C">
            <w:pPr>
              <w:pStyle w:val="37"/>
              <w:bidi w:val="0"/>
              <w:rPr>
                <w:rFonts w:hint="default" w:ascii="Times New Roman" w:hAnsi="Times New Roman" w:eastAsia="宋体" w:cs="Times New Roman"/>
                <w:color w:val="auto"/>
              </w:rPr>
            </w:pPr>
          </w:p>
        </w:tc>
        <w:tc>
          <w:tcPr>
            <w:tcW w:w="1104" w:type="dxa"/>
            <w:tcBorders>
              <w:tl2br w:val="nil"/>
              <w:tr2bl w:val="nil"/>
            </w:tcBorders>
            <w:noWrap w:val="0"/>
            <w:tcMar>
              <w:top w:w="28" w:type="dxa"/>
              <w:left w:w="28" w:type="dxa"/>
              <w:bottom w:w="28" w:type="dxa"/>
              <w:right w:w="28" w:type="dxa"/>
            </w:tcMar>
            <w:vAlign w:val="center"/>
          </w:tcPr>
          <w:p w14:paraId="1788884A">
            <w:pPr>
              <w:pStyle w:val="37"/>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临时占地</w:t>
            </w:r>
          </w:p>
        </w:tc>
        <w:tc>
          <w:tcPr>
            <w:tcW w:w="984" w:type="dxa"/>
            <w:tcBorders>
              <w:tl2br w:val="nil"/>
              <w:tr2bl w:val="nil"/>
            </w:tcBorders>
            <w:noWrap w:val="0"/>
            <w:tcMar>
              <w:top w:w="28" w:type="dxa"/>
              <w:left w:w="28" w:type="dxa"/>
              <w:bottom w:w="28" w:type="dxa"/>
              <w:right w:w="28" w:type="dxa"/>
            </w:tcMar>
            <w:vAlign w:val="center"/>
          </w:tcPr>
          <w:p w14:paraId="2117914F">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hm²</w:t>
            </w:r>
          </w:p>
        </w:tc>
        <w:tc>
          <w:tcPr>
            <w:tcW w:w="2187" w:type="dxa"/>
            <w:tcBorders>
              <w:tl2br w:val="nil"/>
              <w:tr2bl w:val="nil"/>
            </w:tcBorders>
            <w:noWrap w:val="0"/>
            <w:tcMar>
              <w:top w:w="28" w:type="dxa"/>
              <w:left w:w="28" w:type="dxa"/>
              <w:bottom w:w="28" w:type="dxa"/>
              <w:right w:w="28" w:type="dxa"/>
            </w:tcMar>
            <w:vAlign w:val="center"/>
          </w:tcPr>
          <w:p w14:paraId="05F5650E">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5.64</w:t>
            </w:r>
          </w:p>
        </w:tc>
        <w:tc>
          <w:tcPr>
            <w:tcW w:w="1616" w:type="dxa"/>
            <w:tcBorders>
              <w:tl2br w:val="nil"/>
              <w:tr2bl w:val="nil"/>
            </w:tcBorders>
            <w:noWrap w:val="0"/>
            <w:tcMar>
              <w:top w:w="28" w:type="dxa"/>
              <w:left w:w="28" w:type="dxa"/>
              <w:bottom w:w="28" w:type="dxa"/>
              <w:right w:w="28" w:type="dxa"/>
            </w:tcMar>
            <w:vAlign w:val="center"/>
          </w:tcPr>
          <w:p w14:paraId="227ECA09">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5.64</w:t>
            </w:r>
          </w:p>
        </w:tc>
        <w:tc>
          <w:tcPr>
            <w:tcW w:w="2337" w:type="dxa"/>
            <w:tcBorders>
              <w:tl2br w:val="nil"/>
              <w:tr2bl w:val="nil"/>
            </w:tcBorders>
            <w:noWrap w:val="0"/>
            <w:tcMar>
              <w:top w:w="28" w:type="dxa"/>
              <w:left w:w="28" w:type="dxa"/>
              <w:bottom w:w="28" w:type="dxa"/>
              <w:right w:w="28" w:type="dxa"/>
            </w:tcMar>
            <w:vAlign w:val="center"/>
          </w:tcPr>
          <w:p w14:paraId="0638CA7F">
            <w:pPr>
              <w:pStyle w:val="37"/>
              <w:bidi w:val="0"/>
              <w:rPr>
                <w:rFonts w:hint="default" w:cs="Times New Roman"/>
                <w:color w:val="auto"/>
                <w:lang w:val="en-US" w:eastAsia="zh-CN"/>
              </w:rPr>
            </w:pPr>
            <w:r>
              <w:rPr>
                <w:rFonts w:hint="eastAsia" w:cs="Times New Roman"/>
                <w:color w:val="auto"/>
                <w:lang w:val="en-US" w:eastAsia="zh-CN"/>
              </w:rPr>
              <w:t>一致</w:t>
            </w:r>
          </w:p>
        </w:tc>
      </w:tr>
    </w:tbl>
    <w:p w14:paraId="13ACFE0A">
      <w:pPr>
        <w:pStyle w:val="24"/>
        <w:ind w:firstLine="480"/>
        <w:rPr>
          <w:rFonts w:hint="eastAsia" w:eastAsia="宋体" w:cs="Times New Roman"/>
          <w:b/>
          <w:bCs/>
          <w:color w:val="auto"/>
          <w:sz w:val="21"/>
          <w:szCs w:val="21"/>
          <w:lang w:val="en-US" w:eastAsia="zh-CN"/>
        </w:rPr>
      </w:pPr>
      <w:r>
        <w:rPr>
          <w:rFonts w:hint="default" w:ascii="Times New Roman" w:hAnsi="Times New Roman" w:cs="Times New Roman"/>
          <w:color w:val="auto"/>
        </w:rPr>
        <w:t>根据《</w:t>
      </w:r>
      <w:r>
        <w:rPr>
          <w:rFonts w:hint="eastAsia" w:cs="Times New Roman"/>
          <w:color w:val="auto"/>
          <w:lang w:eastAsia="zh-CN"/>
        </w:rPr>
        <w:t>中华人民共和国环境影响评价法</w:t>
      </w:r>
      <w:r>
        <w:rPr>
          <w:rFonts w:hint="default" w:ascii="Times New Roman" w:hAnsi="Times New Roman" w:cs="Times New Roman"/>
          <w:color w:val="auto"/>
        </w:rPr>
        <w:t>》、《建设项目环境保护管理条例》等法律、法规相关要求，</w:t>
      </w:r>
      <w:r>
        <w:rPr>
          <w:rFonts w:hint="default" w:ascii="Times New Roman" w:hAnsi="Times New Roman" w:eastAsia="宋体" w:cs="Times New Roman"/>
          <w:color w:val="auto"/>
          <w:lang w:val="en-US" w:eastAsia="zh-CN"/>
        </w:rPr>
        <w:t>对照《高速公路建设项目重大变动清单（试行）》</w:t>
      </w:r>
      <w:r>
        <w:rPr>
          <w:rFonts w:hint="default" w:ascii="Times New Roman" w:hAnsi="Times New Roman" w:cs="Times New Roman"/>
          <w:color w:val="auto"/>
        </w:rPr>
        <w:t>，本项目重大变动情况分析如下表所示</w:t>
      </w:r>
      <w:r>
        <w:rPr>
          <w:rFonts w:hint="eastAsia" w:ascii="Times New Roman" w:hAnsi="Times New Roman" w:cs="Times New Roman"/>
          <w:color w:val="auto"/>
          <w:lang w:eastAsia="zh-CN"/>
        </w:rPr>
        <w:t>，</w:t>
      </w:r>
    </w:p>
    <w:p w14:paraId="3E6D8782">
      <w:pPr>
        <w:pStyle w:val="24"/>
        <w:ind w:left="0" w:leftChars="0" w:firstLine="0" w:firstLineChars="0"/>
        <w:jc w:val="center"/>
        <w:rPr>
          <w:rFonts w:hint="eastAsia" w:cs="Times New Roman"/>
          <w:b/>
          <w:bCs/>
          <w:color w:val="auto"/>
          <w:sz w:val="21"/>
          <w:szCs w:val="21"/>
          <w:lang w:val="en-US" w:eastAsia="zh-CN"/>
        </w:rPr>
      </w:pPr>
      <w:r>
        <w:rPr>
          <w:rFonts w:hint="eastAsia" w:cs="Times New Roman"/>
          <w:b/>
          <w:bCs/>
          <w:color w:val="auto"/>
          <w:sz w:val="21"/>
          <w:szCs w:val="21"/>
          <w:lang w:val="en-US" w:eastAsia="zh-CN"/>
        </w:rPr>
        <w:t xml:space="preserve">表2.4-2 </w:t>
      </w:r>
      <w:r>
        <w:rPr>
          <w:rFonts w:hint="default" w:ascii="Times New Roman" w:hAnsi="Times New Roman" w:cs="Times New Roman"/>
          <w:b/>
          <w:bCs/>
          <w:color w:val="auto"/>
          <w:sz w:val="21"/>
          <w:szCs w:val="21"/>
        </w:rPr>
        <w:t>重大变动核查情况表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7"/>
        <w:gridCol w:w="1349"/>
        <w:gridCol w:w="3049"/>
        <w:gridCol w:w="3027"/>
        <w:gridCol w:w="320"/>
        <w:gridCol w:w="320"/>
      </w:tblGrid>
      <w:tr w14:paraId="48955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984" w:type="pct"/>
            <w:gridSpan w:val="2"/>
            <w:tcBorders>
              <w:tl2br w:val="nil"/>
              <w:tr2bl w:val="nil"/>
            </w:tcBorders>
            <w:noWrap w:val="0"/>
            <w:tcMar>
              <w:top w:w="28" w:type="dxa"/>
              <w:left w:w="28" w:type="dxa"/>
              <w:bottom w:w="28" w:type="dxa"/>
              <w:right w:w="28" w:type="dxa"/>
            </w:tcMar>
            <w:vAlign w:val="center"/>
          </w:tcPr>
          <w:p w14:paraId="436622E1">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重大变动梳理项</w:t>
            </w:r>
          </w:p>
        </w:tc>
        <w:tc>
          <w:tcPr>
            <w:tcW w:w="1822" w:type="pct"/>
            <w:tcBorders>
              <w:tl2br w:val="nil"/>
              <w:tr2bl w:val="nil"/>
            </w:tcBorders>
            <w:noWrap w:val="0"/>
            <w:tcMar>
              <w:top w:w="28" w:type="dxa"/>
              <w:left w:w="28" w:type="dxa"/>
              <w:bottom w:w="28" w:type="dxa"/>
              <w:right w:w="28" w:type="dxa"/>
            </w:tcMar>
            <w:vAlign w:val="center"/>
          </w:tcPr>
          <w:p w14:paraId="38606288">
            <w:pPr>
              <w:pStyle w:val="37"/>
              <w:bidi w:val="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重新报批</w:t>
            </w:r>
            <w:r>
              <w:rPr>
                <w:rFonts w:hint="default" w:ascii="Times New Roman" w:hAnsi="Times New Roman" w:eastAsia="宋体" w:cs="Times New Roman"/>
                <w:color w:val="auto"/>
                <w:sz w:val="21"/>
                <w:szCs w:val="21"/>
              </w:rPr>
              <w:t>阶段情况</w:t>
            </w:r>
          </w:p>
        </w:tc>
        <w:tc>
          <w:tcPr>
            <w:tcW w:w="1809" w:type="pct"/>
            <w:tcBorders>
              <w:tl2br w:val="nil"/>
              <w:tr2bl w:val="nil"/>
            </w:tcBorders>
            <w:noWrap w:val="0"/>
            <w:tcMar>
              <w:top w:w="28" w:type="dxa"/>
              <w:left w:w="28" w:type="dxa"/>
              <w:bottom w:w="28" w:type="dxa"/>
              <w:right w:w="28" w:type="dxa"/>
            </w:tcMar>
            <w:vAlign w:val="center"/>
          </w:tcPr>
          <w:p w14:paraId="0F5FD9E2">
            <w:pPr>
              <w:pStyle w:val="37"/>
              <w:bidi w:val="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验收</w:t>
            </w:r>
            <w:r>
              <w:rPr>
                <w:rFonts w:hint="default" w:ascii="Times New Roman" w:hAnsi="Times New Roman" w:eastAsia="宋体" w:cs="Times New Roman"/>
                <w:color w:val="auto"/>
                <w:sz w:val="21"/>
                <w:szCs w:val="21"/>
              </w:rPr>
              <w:t>阶段情况</w:t>
            </w:r>
          </w:p>
        </w:tc>
        <w:tc>
          <w:tcPr>
            <w:tcW w:w="191" w:type="pct"/>
            <w:tcBorders>
              <w:tl2br w:val="nil"/>
              <w:tr2bl w:val="nil"/>
            </w:tcBorders>
            <w:noWrap w:val="0"/>
            <w:tcMar>
              <w:top w:w="28" w:type="dxa"/>
              <w:left w:w="28" w:type="dxa"/>
              <w:bottom w:w="28" w:type="dxa"/>
              <w:right w:w="28" w:type="dxa"/>
            </w:tcMar>
            <w:vAlign w:val="center"/>
          </w:tcPr>
          <w:p w14:paraId="6EC56B7E">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变动情况说明</w:t>
            </w:r>
          </w:p>
        </w:tc>
        <w:tc>
          <w:tcPr>
            <w:tcW w:w="191" w:type="pct"/>
            <w:tcBorders>
              <w:tl2br w:val="nil"/>
              <w:tr2bl w:val="nil"/>
            </w:tcBorders>
            <w:noWrap w:val="0"/>
            <w:tcMar>
              <w:top w:w="28" w:type="dxa"/>
              <w:left w:w="28" w:type="dxa"/>
              <w:bottom w:w="28" w:type="dxa"/>
              <w:right w:w="28" w:type="dxa"/>
            </w:tcMar>
            <w:vAlign w:val="center"/>
          </w:tcPr>
          <w:p w14:paraId="6B120620">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是否重大变动</w:t>
            </w:r>
          </w:p>
        </w:tc>
      </w:tr>
      <w:tr w14:paraId="5CE70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8" w:type="pct"/>
            <w:vMerge w:val="restart"/>
            <w:tcBorders>
              <w:tl2br w:val="nil"/>
              <w:tr2bl w:val="nil"/>
            </w:tcBorders>
            <w:noWrap w:val="0"/>
            <w:tcMar>
              <w:top w:w="28" w:type="dxa"/>
              <w:left w:w="28" w:type="dxa"/>
              <w:bottom w:w="28" w:type="dxa"/>
              <w:right w:w="28" w:type="dxa"/>
            </w:tcMar>
            <w:vAlign w:val="center"/>
          </w:tcPr>
          <w:p w14:paraId="1E01BA04">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规模</w:t>
            </w:r>
          </w:p>
        </w:tc>
        <w:tc>
          <w:tcPr>
            <w:tcW w:w="806" w:type="pct"/>
            <w:tcBorders>
              <w:tl2br w:val="nil"/>
              <w:tr2bl w:val="nil"/>
            </w:tcBorders>
            <w:noWrap w:val="0"/>
            <w:tcMar>
              <w:top w:w="28" w:type="dxa"/>
              <w:left w:w="28" w:type="dxa"/>
              <w:bottom w:w="28" w:type="dxa"/>
              <w:right w:w="28" w:type="dxa"/>
            </w:tcMar>
            <w:vAlign w:val="center"/>
          </w:tcPr>
          <w:p w14:paraId="0BB78436">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车道数或设计车速增加</w:t>
            </w:r>
          </w:p>
        </w:tc>
        <w:tc>
          <w:tcPr>
            <w:tcW w:w="1822" w:type="pct"/>
            <w:tcBorders>
              <w:tl2br w:val="nil"/>
              <w:tr2bl w:val="nil"/>
            </w:tcBorders>
            <w:noWrap w:val="0"/>
            <w:tcMar>
              <w:top w:w="28" w:type="dxa"/>
              <w:left w:w="28" w:type="dxa"/>
              <w:bottom w:w="28" w:type="dxa"/>
              <w:right w:w="28" w:type="dxa"/>
            </w:tcMar>
            <w:vAlign w:val="center"/>
          </w:tcPr>
          <w:p w14:paraId="45559DDA">
            <w:pPr>
              <w:pStyle w:val="37"/>
              <w:bidi w:val="0"/>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双向四车道，设计车速80km/h</w:t>
            </w:r>
          </w:p>
        </w:tc>
        <w:tc>
          <w:tcPr>
            <w:tcW w:w="1809" w:type="pct"/>
            <w:tcBorders>
              <w:tl2br w:val="nil"/>
              <w:tr2bl w:val="nil"/>
            </w:tcBorders>
            <w:noWrap w:val="0"/>
            <w:tcMar>
              <w:top w:w="28" w:type="dxa"/>
              <w:left w:w="28" w:type="dxa"/>
              <w:bottom w:w="28" w:type="dxa"/>
              <w:right w:w="28" w:type="dxa"/>
            </w:tcMar>
            <w:vAlign w:val="center"/>
          </w:tcPr>
          <w:p w14:paraId="273F8301">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双向四车道，设计车速80km/h</w:t>
            </w:r>
          </w:p>
        </w:tc>
        <w:tc>
          <w:tcPr>
            <w:tcW w:w="191" w:type="pct"/>
            <w:tcBorders>
              <w:tl2br w:val="nil"/>
              <w:tr2bl w:val="nil"/>
            </w:tcBorders>
            <w:noWrap w:val="0"/>
            <w:tcMar>
              <w:top w:w="28" w:type="dxa"/>
              <w:left w:w="28" w:type="dxa"/>
              <w:bottom w:w="28" w:type="dxa"/>
              <w:right w:w="28" w:type="dxa"/>
            </w:tcMar>
            <w:vAlign w:val="center"/>
          </w:tcPr>
          <w:p w14:paraId="342B9327">
            <w:pPr>
              <w:pStyle w:val="37"/>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1" w:type="pct"/>
            <w:tcBorders>
              <w:tl2br w:val="nil"/>
              <w:tr2bl w:val="nil"/>
            </w:tcBorders>
            <w:noWrap w:val="0"/>
            <w:tcMar>
              <w:top w:w="28" w:type="dxa"/>
              <w:left w:w="28" w:type="dxa"/>
              <w:bottom w:w="28" w:type="dxa"/>
              <w:right w:w="28" w:type="dxa"/>
            </w:tcMar>
            <w:vAlign w:val="center"/>
          </w:tcPr>
          <w:p w14:paraId="58E6C943">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645A6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8" w:type="pct"/>
            <w:vMerge w:val="continue"/>
            <w:tcBorders>
              <w:tl2br w:val="nil"/>
              <w:tr2bl w:val="nil"/>
            </w:tcBorders>
            <w:noWrap w:val="0"/>
            <w:tcMar>
              <w:top w:w="28" w:type="dxa"/>
              <w:left w:w="28" w:type="dxa"/>
              <w:bottom w:w="28" w:type="dxa"/>
              <w:right w:w="28" w:type="dxa"/>
            </w:tcMar>
            <w:vAlign w:val="center"/>
          </w:tcPr>
          <w:p w14:paraId="28910C99">
            <w:pPr>
              <w:pStyle w:val="37"/>
              <w:bidi w:val="0"/>
              <w:jc w:val="center"/>
              <w:rPr>
                <w:rFonts w:hint="default" w:ascii="Times New Roman" w:hAnsi="Times New Roman" w:eastAsia="宋体" w:cs="Times New Roman"/>
                <w:color w:val="auto"/>
                <w:sz w:val="21"/>
                <w:szCs w:val="21"/>
              </w:rPr>
            </w:pPr>
          </w:p>
        </w:tc>
        <w:tc>
          <w:tcPr>
            <w:tcW w:w="806" w:type="pct"/>
            <w:tcBorders>
              <w:tl2br w:val="nil"/>
              <w:tr2bl w:val="nil"/>
            </w:tcBorders>
            <w:noWrap w:val="0"/>
            <w:tcMar>
              <w:top w:w="28" w:type="dxa"/>
              <w:left w:w="28" w:type="dxa"/>
              <w:bottom w:w="28" w:type="dxa"/>
              <w:right w:w="28" w:type="dxa"/>
            </w:tcMar>
            <w:vAlign w:val="center"/>
          </w:tcPr>
          <w:p w14:paraId="63E2588B">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线路长度增加30%及以上</w:t>
            </w:r>
          </w:p>
        </w:tc>
        <w:tc>
          <w:tcPr>
            <w:tcW w:w="1822" w:type="pct"/>
            <w:tcBorders>
              <w:tl2br w:val="nil"/>
              <w:tr2bl w:val="nil"/>
            </w:tcBorders>
            <w:noWrap w:val="0"/>
            <w:tcMar>
              <w:top w:w="28" w:type="dxa"/>
              <w:left w:w="28" w:type="dxa"/>
              <w:bottom w:w="28" w:type="dxa"/>
              <w:right w:w="28" w:type="dxa"/>
            </w:tcMar>
            <w:vAlign w:val="center"/>
          </w:tcPr>
          <w:p w14:paraId="48E4661C">
            <w:pPr>
              <w:pStyle w:val="37"/>
              <w:bidi w:val="0"/>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线路主线全长</w:t>
            </w:r>
            <w:r>
              <w:rPr>
                <w:rFonts w:hint="default" w:ascii="Times New Roman" w:hAnsi="Times New Roman" w:eastAsia="宋体" w:cs="Times New Roman"/>
                <w:color w:val="auto"/>
                <w:sz w:val="21"/>
                <w:szCs w:val="21"/>
                <w:lang w:val="en-US" w:eastAsia="zh-CN"/>
              </w:rPr>
              <w:t>10.979</w:t>
            </w:r>
            <w:r>
              <w:rPr>
                <w:rFonts w:hint="default" w:ascii="Times New Roman" w:hAnsi="Times New Roman" w:eastAsia="宋体" w:cs="Times New Roman"/>
                <w:color w:val="auto"/>
                <w:sz w:val="21"/>
                <w:szCs w:val="21"/>
              </w:rPr>
              <w:t>km</w:t>
            </w:r>
          </w:p>
        </w:tc>
        <w:tc>
          <w:tcPr>
            <w:tcW w:w="1809" w:type="pct"/>
            <w:tcBorders>
              <w:tl2br w:val="nil"/>
              <w:tr2bl w:val="nil"/>
            </w:tcBorders>
            <w:noWrap w:val="0"/>
            <w:tcMar>
              <w:top w:w="28" w:type="dxa"/>
              <w:left w:w="28" w:type="dxa"/>
              <w:bottom w:w="28" w:type="dxa"/>
              <w:right w:w="28" w:type="dxa"/>
            </w:tcMar>
            <w:vAlign w:val="center"/>
          </w:tcPr>
          <w:p w14:paraId="38A0F133">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线路主线全长</w:t>
            </w:r>
            <w:r>
              <w:rPr>
                <w:rFonts w:hint="default" w:ascii="Times New Roman" w:hAnsi="Times New Roman" w:eastAsia="宋体" w:cs="Times New Roman"/>
                <w:color w:val="auto"/>
                <w:sz w:val="21"/>
                <w:szCs w:val="21"/>
                <w:lang w:val="en-US" w:eastAsia="zh-CN"/>
              </w:rPr>
              <w:t>10.979</w:t>
            </w:r>
            <w:r>
              <w:rPr>
                <w:rFonts w:hint="default" w:ascii="Times New Roman" w:hAnsi="Times New Roman" w:eastAsia="宋体" w:cs="Times New Roman"/>
                <w:color w:val="auto"/>
                <w:sz w:val="21"/>
                <w:szCs w:val="21"/>
              </w:rPr>
              <w:t>km</w:t>
            </w:r>
          </w:p>
        </w:tc>
        <w:tc>
          <w:tcPr>
            <w:tcW w:w="191" w:type="pct"/>
            <w:tcBorders>
              <w:tl2br w:val="nil"/>
              <w:tr2bl w:val="nil"/>
            </w:tcBorders>
            <w:noWrap w:val="0"/>
            <w:tcMar>
              <w:top w:w="28" w:type="dxa"/>
              <w:left w:w="28" w:type="dxa"/>
              <w:bottom w:w="28" w:type="dxa"/>
              <w:right w:w="28" w:type="dxa"/>
            </w:tcMar>
            <w:vAlign w:val="center"/>
          </w:tcPr>
          <w:p w14:paraId="77B5E5EB">
            <w:pPr>
              <w:pStyle w:val="37"/>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1" w:type="pct"/>
            <w:tcBorders>
              <w:tl2br w:val="nil"/>
              <w:tr2bl w:val="nil"/>
            </w:tcBorders>
            <w:noWrap w:val="0"/>
            <w:tcMar>
              <w:top w:w="28" w:type="dxa"/>
              <w:left w:w="28" w:type="dxa"/>
              <w:bottom w:w="28" w:type="dxa"/>
              <w:right w:w="28" w:type="dxa"/>
            </w:tcMar>
            <w:vAlign w:val="center"/>
          </w:tcPr>
          <w:p w14:paraId="564BBBBA">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18199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8" w:type="pct"/>
            <w:vMerge w:val="restart"/>
            <w:tcBorders>
              <w:tl2br w:val="nil"/>
              <w:tr2bl w:val="nil"/>
            </w:tcBorders>
            <w:noWrap w:val="0"/>
            <w:tcMar>
              <w:top w:w="28" w:type="dxa"/>
              <w:left w:w="28" w:type="dxa"/>
              <w:bottom w:w="28" w:type="dxa"/>
              <w:right w:w="28" w:type="dxa"/>
            </w:tcMar>
            <w:vAlign w:val="center"/>
          </w:tcPr>
          <w:p w14:paraId="0C441ACC">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地点</w:t>
            </w:r>
          </w:p>
        </w:tc>
        <w:tc>
          <w:tcPr>
            <w:tcW w:w="806" w:type="pct"/>
            <w:vMerge w:val="restart"/>
            <w:tcBorders>
              <w:tl2br w:val="nil"/>
              <w:tr2bl w:val="nil"/>
            </w:tcBorders>
            <w:noWrap w:val="0"/>
            <w:tcMar>
              <w:top w:w="28" w:type="dxa"/>
              <w:left w:w="28" w:type="dxa"/>
              <w:bottom w:w="28" w:type="dxa"/>
              <w:right w:w="28" w:type="dxa"/>
            </w:tcMar>
            <w:vAlign w:val="center"/>
          </w:tcPr>
          <w:p w14:paraId="2DCDC684">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线路横向位移超出200米的长度累计达到原线路长度的30%及以上</w:t>
            </w:r>
          </w:p>
        </w:tc>
        <w:tc>
          <w:tcPr>
            <w:tcW w:w="1822" w:type="pct"/>
            <w:tcBorders>
              <w:tl2br w:val="nil"/>
              <w:tr2bl w:val="nil"/>
            </w:tcBorders>
            <w:noWrap w:val="0"/>
            <w:tcMar>
              <w:top w:w="28" w:type="dxa"/>
              <w:left w:w="28" w:type="dxa"/>
              <w:bottom w:w="28" w:type="dxa"/>
              <w:right w:w="28" w:type="dxa"/>
            </w:tcMar>
            <w:vAlign w:val="center"/>
          </w:tcPr>
          <w:p w14:paraId="278BD14F">
            <w:pPr>
              <w:pStyle w:val="37"/>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K69+700~K70+600</w:t>
            </w:r>
          </w:p>
        </w:tc>
        <w:tc>
          <w:tcPr>
            <w:tcW w:w="1809" w:type="pct"/>
            <w:tcBorders>
              <w:tl2br w:val="nil"/>
              <w:tr2bl w:val="nil"/>
            </w:tcBorders>
            <w:noWrap w:val="0"/>
            <w:tcMar>
              <w:top w:w="28" w:type="dxa"/>
              <w:left w:w="28" w:type="dxa"/>
              <w:bottom w:w="28" w:type="dxa"/>
              <w:right w:w="28" w:type="dxa"/>
            </w:tcMar>
            <w:vAlign w:val="center"/>
          </w:tcPr>
          <w:p w14:paraId="59B3BB6A">
            <w:pPr>
              <w:pStyle w:val="37"/>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K69+700~K70+600</w:t>
            </w:r>
          </w:p>
        </w:tc>
        <w:tc>
          <w:tcPr>
            <w:tcW w:w="191" w:type="pct"/>
            <w:tcBorders>
              <w:tl2br w:val="nil"/>
              <w:tr2bl w:val="nil"/>
            </w:tcBorders>
            <w:noWrap w:val="0"/>
            <w:tcMar>
              <w:top w:w="28" w:type="dxa"/>
              <w:left w:w="28" w:type="dxa"/>
              <w:bottom w:w="28" w:type="dxa"/>
              <w:right w:w="28" w:type="dxa"/>
            </w:tcMar>
            <w:vAlign w:val="center"/>
          </w:tcPr>
          <w:p w14:paraId="4B96C321">
            <w:pPr>
              <w:pStyle w:val="37"/>
              <w:bidi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1" w:type="pct"/>
            <w:vMerge w:val="restart"/>
            <w:tcBorders>
              <w:tl2br w:val="nil"/>
              <w:tr2bl w:val="nil"/>
            </w:tcBorders>
            <w:noWrap w:val="0"/>
            <w:tcMar>
              <w:top w:w="28" w:type="dxa"/>
              <w:left w:w="28" w:type="dxa"/>
              <w:bottom w:w="28" w:type="dxa"/>
              <w:right w:w="28" w:type="dxa"/>
            </w:tcMar>
            <w:vAlign w:val="center"/>
          </w:tcPr>
          <w:p w14:paraId="75B0CCB1">
            <w:pPr>
              <w:pStyle w:val="37"/>
              <w:bidi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否</w:t>
            </w:r>
          </w:p>
        </w:tc>
      </w:tr>
      <w:tr w14:paraId="5CD3C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8" w:type="pct"/>
            <w:vMerge w:val="continue"/>
            <w:tcBorders>
              <w:tl2br w:val="nil"/>
              <w:tr2bl w:val="nil"/>
            </w:tcBorders>
            <w:noWrap w:val="0"/>
            <w:tcMar>
              <w:top w:w="28" w:type="dxa"/>
              <w:left w:w="28" w:type="dxa"/>
              <w:bottom w:w="28" w:type="dxa"/>
              <w:right w:w="28" w:type="dxa"/>
            </w:tcMar>
            <w:vAlign w:val="center"/>
          </w:tcPr>
          <w:p w14:paraId="4E7B7714">
            <w:pPr>
              <w:pStyle w:val="37"/>
              <w:bidi w:val="0"/>
              <w:jc w:val="center"/>
              <w:rPr>
                <w:rFonts w:hint="default" w:ascii="Times New Roman" w:hAnsi="Times New Roman" w:eastAsia="宋体" w:cs="Times New Roman"/>
                <w:color w:val="auto"/>
                <w:sz w:val="21"/>
                <w:szCs w:val="21"/>
              </w:rPr>
            </w:pPr>
          </w:p>
        </w:tc>
        <w:tc>
          <w:tcPr>
            <w:tcW w:w="806" w:type="pct"/>
            <w:vMerge w:val="continue"/>
            <w:tcBorders>
              <w:tl2br w:val="nil"/>
              <w:tr2bl w:val="nil"/>
            </w:tcBorders>
            <w:noWrap w:val="0"/>
            <w:tcMar>
              <w:top w:w="28" w:type="dxa"/>
              <w:left w:w="28" w:type="dxa"/>
              <w:bottom w:w="28" w:type="dxa"/>
              <w:right w:w="28" w:type="dxa"/>
            </w:tcMar>
            <w:vAlign w:val="center"/>
          </w:tcPr>
          <w:p w14:paraId="5915A2A0">
            <w:pPr>
              <w:pStyle w:val="37"/>
              <w:bidi w:val="0"/>
              <w:jc w:val="center"/>
              <w:rPr>
                <w:rFonts w:hint="default" w:ascii="Times New Roman" w:hAnsi="Times New Roman" w:eastAsia="宋体" w:cs="Times New Roman"/>
                <w:color w:val="auto"/>
                <w:sz w:val="21"/>
                <w:szCs w:val="21"/>
              </w:rPr>
            </w:pPr>
          </w:p>
        </w:tc>
        <w:tc>
          <w:tcPr>
            <w:tcW w:w="1822" w:type="pct"/>
            <w:tcBorders>
              <w:tl2br w:val="nil"/>
              <w:tr2bl w:val="nil"/>
            </w:tcBorders>
            <w:noWrap w:val="0"/>
            <w:tcMar>
              <w:top w:w="28" w:type="dxa"/>
              <w:left w:w="28" w:type="dxa"/>
              <w:bottom w:w="28" w:type="dxa"/>
              <w:right w:w="28" w:type="dxa"/>
            </w:tcMar>
            <w:vAlign w:val="center"/>
          </w:tcPr>
          <w:p w14:paraId="411E7EC2">
            <w:pPr>
              <w:pStyle w:val="37"/>
              <w:bidi w:val="0"/>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K73+300~K79+900</w:t>
            </w:r>
          </w:p>
        </w:tc>
        <w:tc>
          <w:tcPr>
            <w:tcW w:w="1809" w:type="pct"/>
            <w:tcBorders>
              <w:tl2br w:val="nil"/>
              <w:tr2bl w:val="nil"/>
            </w:tcBorders>
            <w:noWrap w:val="0"/>
            <w:tcMar>
              <w:top w:w="28" w:type="dxa"/>
              <w:left w:w="28" w:type="dxa"/>
              <w:bottom w:w="28" w:type="dxa"/>
              <w:right w:w="28" w:type="dxa"/>
            </w:tcMar>
            <w:vAlign w:val="center"/>
          </w:tcPr>
          <w:p w14:paraId="3383F87A">
            <w:pPr>
              <w:pStyle w:val="37"/>
              <w:bidi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K73+300~K79+900</w:t>
            </w:r>
          </w:p>
        </w:tc>
        <w:tc>
          <w:tcPr>
            <w:tcW w:w="191" w:type="pct"/>
            <w:tcBorders>
              <w:tl2br w:val="nil"/>
              <w:tr2bl w:val="nil"/>
            </w:tcBorders>
            <w:noWrap w:val="0"/>
            <w:tcMar>
              <w:top w:w="28" w:type="dxa"/>
              <w:left w:w="28" w:type="dxa"/>
              <w:bottom w:w="28" w:type="dxa"/>
              <w:right w:w="28" w:type="dxa"/>
            </w:tcMar>
            <w:vAlign w:val="center"/>
          </w:tcPr>
          <w:p w14:paraId="07A09EBD">
            <w:pPr>
              <w:pStyle w:val="37"/>
              <w:bidi w:val="0"/>
              <w:jc w:val="center"/>
              <w:rPr>
                <w:rFonts w:hint="default" w:ascii="Times New Roman" w:hAnsi="Times New Roman" w:eastAsia="宋体" w:cs="Times New Roman"/>
                <w:color w:val="auto"/>
                <w:sz w:val="21"/>
                <w:szCs w:val="21"/>
              </w:rPr>
            </w:pPr>
          </w:p>
        </w:tc>
        <w:tc>
          <w:tcPr>
            <w:tcW w:w="191" w:type="pct"/>
            <w:vMerge w:val="continue"/>
            <w:tcBorders>
              <w:tl2br w:val="nil"/>
              <w:tr2bl w:val="nil"/>
            </w:tcBorders>
            <w:noWrap w:val="0"/>
            <w:tcMar>
              <w:top w:w="28" w:type="dxa"/>
              <w:left w:w="28" w:type="dxa"/>
              <w:bottom w:w="28" w:type="dxa"/>
              <w:right w:w="28" w:type="dxa"/>
            </w:tcMar>
            <w:vAlign w:val="center"/>
          </w:tcPr>
          <w:p w14:paraId="5D6F94A9">
            <w:pPr>
              <w:pStyle w:val="37"/>
              <w:bidi w:val="0"/>
              <w:jc w:val="center"/>
              <w:rPr>
                <w:rFonts w:hint="default" w:ascii="Times New Roman" w:hAnsi="Times New Roman" w:eastAsia="宋体" w:cs="Times New Roman"/>
                <w:color w:val="auto"/>
                <w:sz w:val="21"/>
                <w:szCs w:val="21"/>
              </w:rPr>
            </w:pPr>
          </w:p>
        </w:tc>
      </w:tr>
      <w:tr w14:paraId="0DCD8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8" w:type="pct"/>
            <w:vMerge w:val="continue"/>
            <w:tcBorders>
              <w:tl2br w:val="nil"/>
              <w:tr2bl w:val="nil"/>
            </w:tcBorders>
            <w:noWrap w:val="0"/>
            <w:tcMar>
              <w:top w:w="28" w:type="dxa"/>
              <w:left w:w="28" w:type="dxa"/>
              <w:bottom w:w="28" w:type="dxa"/>
              <w:right w:w="28" w:type="dxa"/>
            </w:tcMar>
            <w:vAlign w:val="center"/>
          </w:tcPr>
          <w:p w14:paraId="11E2C0DA">
            <w:pPr>
              <w:pStyle w:val="37"/>
              <w:bidi w:val="0"/>
              <w:jc w:val="center"/>
              <w:rPr>
                <w:rFonts w:hint="default" w:ascii="Times New Roman" w:hAnsi="Times New Roman" w:eastAsia="宋体" w:cs="Times New Roman"/>
                <w:color w:val="auto"/>
                <w:sz w:val="21"/>
                <w:szCs w:val="21"/>
              </w:rPr>
            </w:pPr>
          </w:p>
        </w:tc>
        <w:tc>
          <w:tcPr>
            <w:tcW w:w="806" w:type="pct"/>
            <w:tcBorders>
              <w:tl2br w:val="nil"/>
              <w:tr2bl w:val="nil"/>
            </w:tcBorders>
            <w:noWrap w:val="0"/>
            <w:tcMar>
              <w:top w:w="28" w:type="dxa"/>
              <w:left w:w="28" w:type="dxa"/>
              <w:bottom w:w="28" w:type="dxa"/>
              <w:right w:w="28" w:type="dxa"/>
            </w:tcMar>
            <w:vAlign w:val="center"/>
          </w:tcPr>
          <w:p w14:paraId="28E7559C">
            <w:pPr>
              <w:pStyle w:val="37"/>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工程线路、服务区等附属设施或特大桥、特长隧道等发生变化，导致评价范围内出现新的自然保护区、风景名胜区、饮用水水源保护区等生态敏感区，或导致出现新的城市规划区和建成区</w:t>
            </w:r>
            <w:r>
              <w:rPr>
                <w:rFonts w:hint="default" w:ascii="Times New Roman" w:hAnsi="Times New Roman" w:eastAsia="宋体" w:cs="Times New Roman"/>
                <w:color w:val="auto"/>
                <w:sz w:val="21"/>
                <w:szCs w:val="21"/>
                <w:lang w:eastAsia="zh-CN"/>
              </w:rPr>
              <w:t>。</w:t>
            </w:r>
          </w:p>
        </w:tc>
        <w:tc>
          <w:tcPr>
            <w:tcW w:w="1822" w:type="pct"/>
            <w:tcBorders>
              <w:tl2br w:val="nil"/>
              <w:tr2bl w:val="nil"/>
            </w:tcBorders>
            <w:noWrap w:val="0"/>
            <w:tcMar>
              <w:top w:w="28" w:type="dxa"/>
              <w:left w:w="28" w:type="dxa"/>
              <w:bottom w:w="28" w:type="dxa"/>
              <w:right w:w="28" w:type="dxa"/>
            </w:tcMar>
            <w:vAlign w:val="center"/>
          </w:tcPr>
          <w:p w14:paraId="35232FF6">
            <w:pPr>
              <w:pStyle w:val="37"/>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重新报批</w:t>
            </w:r>
            <w:r>
              <w:rPr>
                <w:rFonts w:hint="default" w:ascii="Times New Roman" w:hAnsi="Times New Roman" w:eastAsia="宋体" w:cs="Times New Roman"/>
                <w:color w:val="auto"/>
                <w:sz w:val="21"/>
                <w:szCs w:val="21"/>
                <w:lang w:eastAsia="zh-CN"/>
              </w:rPr>
              <w:t>阶段</w:t>
            </w:r>
            <w:r>
              <w:rPr>
                <w:rFonts w:hint="default" w:ascii="Times New Roman" w:hAnsi="Times New Roman" w:eastAsia="宋体" w:cs="Times New Roman"/>
                <w:color w:val="auto"/>
                <w:sz w:val="21"/>
                <w:szCs w:val="21"/>
              </w:rPr>
              <w:t>沿线</w:t>
            </w:r>
            <w:r>
              <w:rPr>
                <w:rFonts w:hint="default"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rPr>
              <w:t>自然保护区、风景名胜区、饮用水水源保护区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项目小沔枢纽互通南侧临近石庙子水库，根据</w:t>
            </w:r>
            <w:r>
              <w:rPr>
                <w:rFonts w:hint="default" w:ascii="Times New Roman" w:hAnsi="Times New Roman" w:eastAsia="宋体" w:cs="Times New Roman"/>
                <w:color w:val="auto"/>
                <w:spacing w:val="-1"/>
                <w:sz w:val="21"/>
                <w:szCs w:val="21"/>
              </w:rPr>
              <w:t>《重庆市合川区</w:t>
            </w:r>
            <w:r>
              <w:rPr>
                <w:rFonts w:hint="default" w:ascii="Times New Roman" w:hAnsi="Times New Roman" w:eastAsia="宋体" w:cs="Times New Roman"/>
                <w:color w:val="auto"/>
                <w:sz w:val="21"/>
                <w:szCs w:val="21"/>
              </w:rPr>
              <w:t>人民政府关于调整石庙子水库规划使用功能的函》</w:t>
            </w:r>
            <w:r>
              <w:rPr>
                <w:rFonts w:hint="default" w:ascii="Times New Roman" w:hAnsi="Times New Roman" w:eastAsia="宋体" w:cs="Times New Roman"/>
                <w:color w:val="auto"/>
                <w:spacing w:val="-1"/>
                <w:sz w:val="21"/>
                <w:szCs w:val="21"/>
              </w:rPr>
              <w:t>，</w:t>
            </w:r>
            <w:r>
              <w:rPr>
                <w:rFonts w:hint="default" w:ascii="Times New Roman" w:hAnsi="Times New Roman" w:cs="Times New Roman"/>
                <w:color w:val="auto"/>
                <w:spacing w:val="-1"/>
                <w:sz w:val="21"/>
                <w:szCs w:val="21"/>
                <w:lang w:val="en-US" w:eastAsia="zh-CN"/>
              </w:rPr>
              <w:t>已</w:t>
            </w:r>
            <w:r>
              <w:rPr>
                <w:rFonts w:hint="default" w:ascii="Times New Roman" w:hAnsi="Times New Roman" w:eastAsia="宋体" w:cs="Times New Roman"/>
                <w:color w:val="auto"/>
                <w:spacing w:val="-1"/>
                <w:sz w:val="21"/>
                <w:szCs w:val="21"/>
              </w:rPr>
              <w:t>取消石庙子水库原规划的饮用水源使</w:t>
            </w:r>
            <w:r>
              <w:rPr>
                <w:rFonts w:hint="default" w:ascii="Times New Roman" w:hAnsi="Times New Roman" w:eastAsia="宋体" w:cs="Times New Roman"/>
                <w:color w:val="auto"/>
                <w:spacing w:val="-4"/>
                <w:sz w:val="21"/>
                <w:szCs w:val="21"/>
              </w:rPr>
              <w:t>用功能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等生态敏感区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建成后未</w:t>
            </w:r>
            <w:r>
              <w:rPr>
                <w:rFonts w:hint="default" w:ascii="Times New Roman" w:hAnsi="Times New Roman" w:eastAsia="宋体" w:cs="Times New Roman"/>
                <w:color w:val="auto"/>
                <w:sz w:val="21"/>
                <w:szCs w:val="21"/>
              </w:rPr>
              <w:t>出现新的城市规划区和建成区</w:t>
            </w:r>
            <w:r>
              <w:rPr>
                <w:rFonts w:hint="default" w:ascii="Times New Roman" w:hAnsi="Times New Roman" w:eastAsia="宋体" w:cs="Times New Roman"/>
                <w:color w:val="auto"/>
                <w:sz w:val="21"/>
                <w:szCs w:val="21"/>
                <w:lang w:eastAsia="zh-CN"/>
              </w:rPr>
              <w:t>。</w:t>
            </w:r>
          </w:p>
        </w:tc>
        <w:tc>
          <w:tcPr>
            <w:tcW w:w="1809" w:type="pct"/>
            <w:tcBorders>
              <w:tl2br w:val="nil"/>
              <w:tr2bl w:val="nil"/>
            </w:tcBorders>
            <w:noWrap w:val="0"/>
            <w:tcMar>
              <w:top w:w="28" w:type="dxa"/>
              <w:left w:w="28" w:type="dxa"/>
              <w:bottom w:w="28" w:type="dxa"/>
              <w:right w:w="28" w:type="dxa"/>
            </w:tcMar>
            <w:vAlign w:val="center"/>
          </w:tcPr>
          <w:p w14:paraId="7DEE7B49">
            <w:pPr>
              <w:pStyle w:val="37"/>
              <w:bidi w:val="0"/>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highlight w:val="none"/>
                <w:lang w:val="en-US" w:eastAsia="zh-CN"/>
              </w:rPr>
              <w:t>验收</w:t>
            </w:r>
            <w:r>
              <w:rPr>
                <w:rFonts w:hint="default" w:ascii="Times New Roman" w:hAnsi="Times New Roman" w:eastAsia="宋体" w:cs="Times New Roman"/>
                <w:color w:val="auto"/>
                <w:sz w:val="21"/>
                <w:szCs w:val="21"/>
                <w:lang w:eastAsia="zh-CN"/>
              </w:rPr>
              <w:t>阶段</w:t>
            </w:r>
            <w:r>
              <w:rPr>
                <w:rFonts w:hint="default" w:ascii="Times New Roman" w:hAnsi="Times New Roman" w:eastAsia="宋体" w:cs="Times New Roman"/>
                <w:color w:val="auto"/>
                <w:sz w:val="21"/>
                <w:szCs w:val="21"/>
              </w:rPr>
              <w:t>沿线</w:t>
            </w:r>
            <w:r>
              <w:rPr>
                <w:rFonts w:hint="default"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rPr>
              <w:t>自然保护区、风景名胜区、饮用水水源保护区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项目小沔枢纽互通南侧临近石庙子水库，根据</w:t>
            </w:r>
            <w:r>
              <w:rPr>
                <w:rFonts w:hint="default" w:ascii="Times New Roman" w:hAnsi="Times New Roman" w:eastAsia="宋体" w:cs="Times New Roman"/>
                <w:color w:val="auto"/>
                <w:spacing w:val="-1"/>
                <w:sz w:val="21"/>
                <w:szCs w:val="21"/>
              </w:rPr>
              <w:t>《重庆市合川区</w:t>
            </w:r>
            <w:r>
              <w:rPr>
                <w:rFonts w:hint="default" w:ascii="Times New Roman" w:hAnsi="Times New Roman" w:eastAsia="宋体" w:cs="Times New Roman"/>
                <w:color w:val="auto"/>
                <w:sz w:val="21"/>
                <w:szCs w:val="21"/>
              </w:rPr>
              <w:t>人民政府关于调整石庙子水库规划使用功能的函》</w:t>
            </w:r>
            <w:r>
              <w:rPr>
                <w:rFonts w:hint="default" w:ascii="Times New Roman" w:hAnsi="Times New Roman" w:eastAsia="宋体" w:cs="Times New Roman"/>
                <w:color w:val="auto"/>
                <w:spacing w:val="-1"/>
                <w:sz w:val="21"/>
                <w:szCs w:val="21"/>
              </w:rPr>
              <w:t>，</w:t>
            </w:r>
            <w:r>
              <w:rPr>
                <w:rFonts w:hint="default" w:ascii="Times New Roman" w:hAnsi="Times New Roman" w:cs="Times New Roman"/>
                <w:color w:val="auto"/>
                <w:spacing w:val="-1"/>
                <w:sz w:val="21"/>
                <w:szCs w:val="21"/>
                <w:lang w:val="en-US" w:eastAsia="zh-CN"/>
              </w:rPr>
              <w:t>已</w:t>
            </w:r>
            <w:r>
              <w:rPr>
                <w:rFonts w:hint="default" w:ascii="Times New Roman" w:hAnsi="Times New Roman" w:eastAsia="宋体" w:cs="Times New Roman"/>
                <w:color w:val="auto"/>
                <w:spacing w:val="-1"/>
                <w:sz w:val="21"/>
                <w:szCs w:val="21"/>
              </w:rPr>
              <w:t>取消石庙子水库原规划的饮用水源使</w:t>
            </w:r>
            <w:r>
              <w:rPr>
                <w:rFonts w:hint="default" w:ascii="Times New Roman" w:hAnsi="Times New Roman" w:eastAsia="宋体" w:cs="Times New Roman"/>
                <w:color w:val="auto"/>
                <w:spacing w:val="-4"/>
                <w:sz w:val="21"/>
                <w:szCs w:val="21"/>
              </w:rPr>
              <w:t>用功能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等生态敏感区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建成后未</w:t>
            </w:r>
            <w:r>
              <w:rPr>
                <w:rFonts w:hint="default" w:ascii="Times New Roman" w:hAnsi="Times New Roman" w:eastAsia="宋体" w:cs="Times New Roman"/>
                <w:color w:val="auto"/>
                <w:sz w:val="21"/>
                <w:szCs w:val="21"/>
              </w:rPr>
              <w:t>出现新的城市规划区和建成区</w:t>
            </w:r>
            <w:r>
              <w:rPr>
                <w:rFonts w:hint="default" w:ascii="Times New Roman" w:hAnsi="Times New Roman" w:eastAsia="宋体" w:cs="Times New Roman"/>
                <w:color w:val="auto"/>
                <w:sz w:val="21"/>
                <w:szCs w:val="21"/>
                <w:lang w:eastAsia="zh-CN"/>
              </w:rPr>
              <w:t>。</w:t>
            </w:r>
          </w:p>
        </w:tc>
        <w:tc>
          <w:tcPr>
            <w:tcW w:w="191" w:type="pct"/>
            <w:tcBorders>
              <w:tl2br w:val="nil"/>
              <w:tr2bl w:val="nil"/>
            </w:tcBorders>
            <w:noWrap w:val="0"/>
            <w:tcMar>
              <w:top w:w="28" w:type="dxa"/>
              <w:left w:w="28" w:type="dxa"/>
              <w:bottom w:w="28" w:type="dxa"/>
              <w:right w:w="28" w:type="dxa"/>
            </w:tcMar>
            <w:vAlign w:val="center"/>
          </w:tcPr>
          <w:p w14:paraId="05DC83D9">
            <w:pPr>
              <w:pStyle w:val="37"/>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1" w:type="pct"/>
            <w:tcBorders>
              <w:tl2br w:val="nil"/>
              <w:tr2bl w:val="nil"/>
            </w:tcBorders>
            <w:noWrap w:val="0"/>
            <w:tcMar>
              <w:top w:w="28" w:type="dxa"/>
              <w:left w:w="28" w:type="dxa"/>
              <w:bottom w:w="28" w:type="dxa"/>
              <w:right w:w="28" w:type="dxa"/>
            </w:tcMar>
            <w:vAlign w:val="center"/>
          </w:tcPr>
          <w:p w14:paraId="660EAC29">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66944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8" w:type="pct"/>
            <w:vMerge w:val="continue"/>
            <w:tcBorders>
              <w:tl2br w:val="nil"/>
              <w:tr2bl w:val="nil"/>
            </w:tcBorders>
            <w:noWrap w:val="0"/>
            <w:tcMar>
              <w:top w:w="28" w:type="dxa"/>
              <w:left w:w="28" w:type="dxa"/>
              <w:bottom w:w="28" w:type="dxa"/>
              <w:right w:w="28" w:type="dxa"/>
            </w:tcMar>
            <w:vAlign w:val="center"/>
          </w:tcPr>
          <w:p w14:paraId="3F184DDC">
            <w:pPr>
              <w:pStyle w:val="37"/>
              <w:bidi w:val="0"/>
              <w:jc w:val="center"/>
              <w:rPr>
                <w:rFonts w:hint="default" w:ascii="Times New Roman" w:hAnsi="Times New Roman" w:eastAsia="宋体" w:cs="Times New Roman"/>
                <w:color w:val="auto"/>
                <w:sz w:val="21"/>
                <w:szCs w:val="21"/>
              </w:rPr>
            </w:pPr>
          </w:p>
        </w:tc>
        <w:tc>
          <w:tcPr>
            <w:tcW w:w="806" w:type="pct"/>
            <w:tcBorders>
              <w:tl2br w:val="nil"/>
              <w:tr2bl w:val="nil"/>
            </w:tcBorders>
            <w:noWrap w:val="0"/>
            <w:tcMar>
              <w:top w:w="28" w:type="dxa"/>
              <w:left w:w="28" w:type="dxa"/>
              <w:bottom w:w="28" w:type="dxa"/>
              <w:right w:w="28" w:type="dxa"/>
            </w:tcMar>
            <w:vAlign w:val="center"/>
          </w:tcPr>
          <w:p w14:paraId="55AA1223">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项目变动导致新增声环境保护目标数量累计达到原敏感目标数量的30%及以上。</w:t>
            </w:r>
          </w:p>
        </w:tc>
        <w:tc>
          <w:tcPr>
            <w:tcW w:w="1822" w:type="pct"/>
            <w:tcBorders>
              <w:tl2br w:val="nil"/>
              <w:tr2bl w:val="nil"/>
            </w:tcBorders>
            <w:noWrap w:val="0"/>
            <w:tcMar>
              <w:top w:w="28" w:type="dxa"/>
              <w:left w:w="28" w:type="dxa"/>
              <w:bottom w:w="28" w:type="dxa"/>
              <w:right w:w="28" w:type="dxa"/>
            </w:tcMar>
            <w:vAlign w:val="center"/>
          </w:tcPr>
          <w:p w14:paraId="00BF4037">
            <w:pPr>
              <w:pStyle w:val="37"/>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val="en-US" w:eastAsia="zh-CN"/>
              </w:rPr>
              <w:t>重新报批</w:t>
            </w:r>
            <w:r>
              <w:rPr>
                <w:rFonts w:hint="default" w:ascii="Times New Roman" w:hAnsi="Times New Roman" w:eastAsia="宋体" w:cs="Times New Roman"/>
                <w:color w:val="auto"/>
                <w:sz w:val="21"/>
                <w:szCs w:val="21"/>
                <w:highlight w:val="none"/>
                <w:lang w:eastAsia="zh-CN"/>
              </w:rPr>
              <w:t>阶段</w:t>
            </w:r>
            <w:r>
              <w:rPr>
                <w:rFonts w:hint="default" w:ascii="Times New Roman" w:hAnsi="Times New Roman" w:eastAsia="宋体" w:cs="Times New Roman"/>
                <w:color w:val="auto"/>
                <w:sz w:val="21"/>
                <w:szCs w:val="21"/>
                <w:highlight w:val="none"/>
              </w:rPr>
              <w:t>沿线声环境保护目标共</w:t>
            </w:r>
            <w:r>
              <w:rPr>
                <w:rFonts w:hint="default" w:ascii="Times New Roman" w:hAnsi="Times New Roman"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处，</w:t>
            </w:r>
            <w:r>
              <w:rPr>
                <w:rFonts w:hint="default" w:ascii="Times New Roman" w:hAnsi="Times New Roman" w:eastAsia="宋体" w:cs="Times New Roman"/>
                <w:color w:val="auto"/>
                <w:sz w:val="21"/>
                <w:szCs w:val="21"/>
                <w:highlight w:val="none"/>
                <w:lang w:val="en-US" w:eastAsia="zh-CN"/>
              </w:rPr>
              <w:t>均为</w:t>
            </w:r>
            <w:r>
              <w:rPr>
                <w:rFonts w:hint="default" w:ascii="Times New Roman" w:hAnsi="Times New Roman" w:eastAsia="宋体" w:cs="Times New Roman"/>
                <w:color w:val="auto"/>
                <w:sz w:val="21"/>
                <w:szCs w:val="21"/>
                <w:highlight w:val="none"/>
              </w:rPr>
              <w:t>居民点。</w:t>
            </w:r>
          </w:p>
        </w:tc>
        <w:tc>
          <w:tcPr>
            <w:tcW w:w="1809" w:type="pct"/>
            <w:tcBorders>
              <w:tl2br w:val="nil"/>
              <w:tr2bl w:val="nil"/>
            </w:tcBorders>
            <w:noWrap w:val="0"/>
            <w:tcMar>
              <w:top w:w="28" w:type="dxa"/>
              <w:left w:w="28" w:type="dxa"/>
              <w:bottom w:w="28" w:type="dxa"/>
              <w:right w:w="28" w:type="dxa"/>
            </w:tcMar>
            <w:vAlign w:val="center"/>
          </w:tcPr>
          <w:p w14:paraId="0B6B25A9">
            <w:pPr>
              <w:pStyle w:val="37"/>
              <w:bidi w:val="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验收</w:t>
            </w:r>
            <w:r>
              <w:rPr>
                <w:rFonts w:hint="default" w:ascii="Times New Roman" w:hAnsi="Times New Roman" w:eastAsia="宋体" w:cs="Times New Roman"/>
                <w:color w:val="auto"/>
                <w:sz w:val="21"/>
                <w:szCs w:val="21"/>
                <w:highlight w:val="none"/>
                <w:lang w:eastAsia="zh-CN"/>
              </w:rPr>
              <w:t>阶段</w:t>
            </w:r>
            <w:r>
              <w:rPr>
                <w:rFonts w:hint="default" w:ascii="Times New Roman" w:hAnsi="Times New Roman" w:eastAsia="宋体" w:cs="Times New Roman"/>
                <w:color w:val="auto"/>
                <w:sz w:val="21"/>
                <w:szCs w:val="21"/>
                <w:highlight w:val="none"/>
              </w:rPr>
              <w:t>沿线声环境保护目标共</w:t>
            </w:r>
            <w:r>
              <w:rPr>
                <w:rFonts w:hint="default" w:ascii="Times New Roman" w:hAnsi="Times New Roman"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处，</w:t>
            </w:r>
            <w:r>
              <w:rPr>
                <w:rFonts w:hint="default" w:ascii="Times New Roman" w:hAnsi="Times New Roman" w:eastAsia="宋体" w:cs="Times New Roman"/>
                <w:color w:val="auto"/>
                <w:sz w:val="21"/>
                <w:szCs w:val="21"/>
                <w:highlight w:val="none"/>
                <w:lang w:val="en-US" w:eastAsia="zh-CN"/>
              </w:rPr>
              <w:t>均为</w:t>
            </w:r>
            <w:r>
              <w:rPr>
                <w:rFonts w:hint="default" w:ascii="Times New Roman" w:hAnsi="Times New Roman" w:eastAsia="宋体" w:cs="Times New Roman"/>
                <w:color w:val="auto"/>
                <w:sz w:val="21"/>
                <w:szCs w:val="21"/>
                <w:highlight w:val="none"/>
              </w:rPr>
              <w:t>居民点。</w:t>
            </w:r>
          </w:p>
        </w:tc>
        <w:tc>
          <w:tcPr>
            <w:tcW w:w="191" w:type="pct"/>
            <w:tcBorders>
              <w:tl2br w:val="nil"/>
              <w:tr2bl w:val="nil"/>
            </w:tcBorders>
            <w:noWrap w:val="0"/>
            <w:tcMar>
              <w:top w:w="28" w:type="dxa"/>
              <w:left w:w="28" w:type="dxa"/>
              <w:bottom w:w="28" w:type="dxa"/>
              <w:right w:w="28" w:type="dxa"/>
            </w:tcMar>
            <w:vAlign w:val="center"/>
          </w:tcPr>
          <w:p w14:paraId="1AA00E49">
            <w:pPr>
              <w:pStyle w:val="37"/>
              <w:bidi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91" w:type="pct"/>
            <w:tcBorders>
              <w:tl2br w:val="nil"/>
              <w:tr2bl w:val="nil"/>
            </w:tcBorders>
            <w:noWrap w:val="0"/>
            <w:tcMar>
              <w:top w:w="28" w:type="dxa"/>
              <w:left w:w="28" w:type="dxa"/>
              <w:bottom w:w="28" w:type="dxa"/>
              <w:right w:w="28" w:type="dxa"/>
            </w:tcMar>
            <w:vAlign w:val="center"/>
          </w:tcPr>
          <w:p w14:paraId="0E5B404F">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6EF29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8" w:type="pct"/>
            <w:tcBorders>
              <w:tl2br w:val="nil"/>
              <w:tr2bl w:val="nil"/>
            </w:tcBorders>
            <w:noWrap w:val="0"/>
            <w:tcMar>
              <w:top w:w="28" w:type="dxa"/>
              <w:left w:w="28" w:type="dxa"/>
              <w:bottom w:w="28" w:type="dxa"/>
              <w:right w:w="28" w:type="dxa"/>
            </w:tcMar>
            <w:vAlign w:val="center"/>
          </w:tcPr>
          <w:p w14:paraId="47C9D334">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生产工艺</w:t>
            </w:r>
          </w:p>
        </w:tc>
        <w:tc>
          <w:tcPr>
            <w:tcW w:w="806" w:type="pct"/>
            <w:tcBorders>
              <w:tl2br w:val="nil"/>
              <w:tr2bl w:val="nil"/>
            </w:tcBorders>
            <w:noWrap w:val="0"/>
            <w:tcMar>
              <w:top w:w="28" w:type="dxa"/>
              <w:left w:w="28" w:type="dxa"/>
              <w:bottom w:w="28" w:type="dxa"/>
              <w:right w:w="28" w:type="dxa"/>
            </w:tcMar>
            <w:vAlign w:val="center"/>
          </w:tcPr>
          <w:p w14:paraId="3A19BDD4">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项目在自然保护区、风景名胜区、饮用水水源保护区等生态敏感区内的线位走向和长度、服务区等主要工程内容，以及施工方案等发生变化。</w:t>
            </w:r>
          </w:p>
        </w:tc>
        <w:tc>
          <w:tcPr>
            <w:tcW w:w="1822" w:type="pct"/>
            <w:tcBorders>
              <w:tl2br w:val="nil"/>
              <w:tr2bl w:val="nil"/>
            </w:tcBorders>
            <w:noWrap w:val="0"/>
            <w:tcMar>
              <w:top w:w="28" w:type="dxa"/>
              <w:left w:w="28" w:type="dxa"/>
              <w:bottom w:w="28" w:type="dxa"/>
              <w:right w:w="28" w:type="dxa"/>
            </w:tcMar>
            <w:vAlign w:val="center"/>
          </w:tcPr>
          <w:p w14:paraId="089D9E6C">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原环评阶段</w:t>
            </w:r>
            <w:r>
              <w:rPr>
                <w:rFonts w:hint="default" w:ascii="Times New Roman" w:hAnsi="Times New Roman" w:eastAsia="宋体" w:cs="Times New Roman"/>
                <w:color w:val="auto"/>
                <w:sz w:val="21"/>
                <w:szCs w:val="21"/>
              </w:rPr>
              <w:t>沿线</w:t>
            </w:r>
            <w:r>
              <w:rPr>
                <w:rFonts w:hint="default"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rPr>
              <w:t>自然保护区、风景名胜区、饮用水水源保护区等生态敏感区。</w:t>
            </w:r>
          </w:p>
        </w:tc>
        <w:tc>
          <w:tcPr>
            <w:tcW w:w="1809" w:type="pct"/>
            <w:tcBorders>
              <w:tl2br w:val="nil"/>
              <w:tr2bl w:val="nil"/>
            </w:tcBorders>
            <w:noWrap w:val="0"/>
            <w:tcMar>
              <w:top w:w="28" w:type="dxa"/>
              <w:left w:w="28" w:type="dxa"/>
              <w:bottom w:w="28" w:type="dxa"/>
              <w:right w:w="28" w:type="dxa"/>
            </w:tcMar>
            <w:vAlign w:val="center"/>
          </w:tcPr>
          <w:p w14:paraId="7C36B4FD">
            <w:pPr>
              <w:pStyle w:val="37"/>
              <w:bidi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现阶段</w:t>
            </w:r>
            <w:r>
              <w:rPr>
                <w:rFonts w:hint="default" w:ascii="Times New Roman" w:hAnsi="Times New Roman" w:eastAsia="宋体" w:cs="Times New Roman"/>
                <w:color w:val="auto"/>
                <w:sz w:val="21"/>
                <w:szCs w:val="21"/>
              </w:rPr>
              <w:t>沿线</w:t>
            </w:r>
            <w:r>
              <w:rPr>
                <w:rFonts w:hint="default"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rPr>
              <w:t>自然保护区、风景名胜区、饮用水水源保护区等生态敏感区</w:t>
            </w:r>
            <w:r>
              <w:rPr>
                <w:rFonts w:hint="default" w:ascii="Times New Roman" w:hAnsi="Times New Roman" w:eastAsia="宋体" w:cs="Times New Roman"/>
                <w:color w:val="auto"/>
                <w:sz w:val="21"/>
                <w:szCs w:val="21"/>
                <w:lang w:eastAsia="zh-CN"/>
              </w:rPr>
              <w:t>。</w:t>
            </w:r>
          </w:p>
        </w:tc>
        <w:tc>
          <w:tcPr>
            <w:tcW w:w="191" w:type="pct"/>
            <w:tcBorders>
              <w:tl2br w:val="nil"/>
              <w:tr2bl w:val="nil"/>
            </w:tcBorders>
            <w:noWrap w:val="0"/>
            <w:tcMar>
              <w:top w:w="28" w:type="dxa"/>
              <w:left w:w="28" w:type="dxa"/>
              <w:bottom w:w="28" w:type="dxa"/>
              <w:right w:w="28" w:type="dxa"/>
            </w:tcMar>
            <w:vAlign w:val="center"/>
          </w:tcPr>
          <w:p w14:paraId="00ED31DD">
            <w:pPr>
              <w:pStyle w:val="37"/>
              <w:bidi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1" w:type="pct"/>
            <w:tcBorders>
              <w:tl2br w:val="nil"/>
              <w:tr2bl w:val="nil"/>
            </w:tcBorders>
            <w:noWrap w:val="0"/>
            <w:tcMar>
              <w:top w:w="28" w:type="dxa"/>
              <w:left w:w="28" w:type="dxa"/>
              <w:bottom w:w="28" w:type="dxa"/>
              <w:right w:w="28" w:type="dxa"/>
            </w:tcMar>
            <w:vAlign w:val="center"/>
          </w:tcPr>
          <w:p w14:paraId="670BC235">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32F9D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8" w:type="pct"/>
            <w:tcBorders>
              <w:tl2br w:val="nil"/>
              <w:tr2bl w:val="nil"/>
            </w:tcBorders>
            <w:noWrap w:val="0"/>
            <w:tcMar>
              <w:top w:w="28" w:type="dxa"/>
              <w:left w:w="28" w:type="dxa"/>
              <w:bottom w:w="28" w:type="dxa"/>
              <w:right w:w="28" w:type="dxa"/>
            </w:tcMar>
            <w:vAlign w:val="center"/>
          </w:tcPr>
          <w:p w14:paraId="5EC64B70">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环保措施</w:t>
            </w:r>
          </w:p>
        </w:tc>
        <w:tc>
          <w:tcPr>
            <w:tcW w:w="806" w:type="pct"/>
            <w:tcBorders>
              <w:tl2br w:val="nil"/>
              <w:tr2bl w:val="nil"/>
            </w:tcBorders>
            <w:noWrap w:val="0"/>
            <w:tcMar>
              <w:top w:w="28" w:type="dxa"/>
              <w:left w:w="28" w:type="dxa"/>
              <w:bottom w:w="28" w:type="dxa"/>
              <w:right w:w="28" w:type="dxa"/>
            </w:tcMar>
            <w:vAlign w:val="center"/>
          </w:tcPr>
          <w:p w14:paraId="236794E1">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取消具有野生动物迁徙通道功能和水源涵养功能的桥梁，噪声污染防治措施等主要环境保护措施弱化或降低。</w:t>
            </w:r>
          </w:p>
        </w:tc>
        <w:tc>
          <w:tcPr>
            <w:tcW w:w="1822" w:type="pct"/>
            <w:tcBorders>
              <w:tl2br w:val="nil"/>
              <w:tr2bl w:val="nil"/>
            </w:tcBorders>
            <w:noWrap w:val="0"/>
            <w:tcMar>
              <w:top w:w="28" w:type="dxa"/>
              <w:left w:w="28" w:type="dxa"/>
              <w:bottom w:w="28" w:type="dxa"/>
              <w:right w:w="28" w:type="dxa"/>
            </w:tcMar>
            <w:vAlign w:val="center"/>
          </w:tcPr>
          <w:p w14:paraId="1B614C1C">
            <w:pPr>
              <w:pStyle w:val="37"/>
              <w:bidi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重新报批</w:t>
            </w:r>
            <w:r>
              <w:rPr>
                <w:rFonts w:hint="default" w:ascii="Times New Roman" w:hAnsi="Times New Roman" w:eastAsia="宋体" w:cs="Times New Roman"/>
                <w:color w:val="auto"/>
                <w:sz w:val="21"/>
                <w:szCs w:val="21"/>
                <w:lang w:val="en-US" w:eastAsia="zh-CN"/>
              </w:rPr>
              <w:t>阶段</w:t>
            </w:r>
            <w:r>
              <w:rPr>
                <w:rFonts w:hint="default" w:ascii="Times New Roman" w:hAnsi="Times New Roman" w:eastAsia="宋体" w:cs="Times New Roman"/>
                <w:color w:val="auto"/>
                <w:sz w:val="21"/>
                <w:szCs w:val="21"/>
              </w:rPr>
              <w:t>未设置野生动物迁徙通道；</w:t>
            </w:r>
            <w:r>
              <w:rPr>
                <w:rFonts w:hint="eastAsia" w:cs="Times New Roman"/>
                <w:color w:val="auto"/>
                <w:sz w:val="21"/>
                <w:szCs w:val="21"/>
                <w:lang w:val="en-US" w:eastAsia="zh-CN"/>
              </w:rPr>
              <w:t>已</w:t>
            </w:r>
            <w:r>
              <w:rPr>
                <w:rFonts w:hint="default" w:ascii="Times New Roman" w:hAnsi="Times New Roman" w:eastAsia="宋体" w:cs="Times New Roman"/>
                <w:color w:val="auto"/>
                <w:sz w:val="21"/>
                <w:szCs w:val="21"/>
              </w:rPr>
              <w:t>设置声屏障</w:t>
            </w:r>
            <w:r>
              <w:rPr>
                <w:rFonts w:hint="default" w:ascii="Times New Roman" w:hAnsi="Times New Roman" w:eastAsia="宋体" w:cs="Times New Roman"/>
                <w:color w:val="auto"/>
                <w:sz w:val="21"/>
                <w:szCs w:val="21"/>
                <w:lang w:val="en-US" w:eastAsia="zh-CN"/>
              </w:rPr>
              <w:t>1058m</w:t>
            </w:r>
            <w:r>
              <w:rPr>
                <w:rFonts w:hint="eastAsia" w:cs="Times New Roman"/>
                <w:color w:val="auto"/>
                <w:sz w:val="21"/>
                <w:szCs w:val="21"/>
                <w:lang w:val="en-US" w:eastAsia="zh-CN"/>
              </w:rPr>
              <w:t>，补充建设声屏障365m</w:t>
            </w:r>
            <w:r>
              <w:rPr>
                <w:rFonts w:hint="default" w:ascii="Times New Roman" w:hAnsi="Times New Roman" w:eastAsia="宋体" w:cs="Times New Roman"/>
                <w:color w:val="auto"/>
                <w:sz w:val="21"/>
                <w:szCs w:val="21"/>
              </w:rPr>
              <w:t>。</w:t>
            </w:r>
          </w:p>
        </w:tc>
        <w:tc>
          <w:tcPr>
            <w:tcW w:w="1809" w:type="pct"/>
            <w:tcBorders>
              <w:tl2br w:val="nil"/>
              <w:tr2bl w:val="nil"/>
            </w:tcBorders>
            <w:noWrap w:val="0"/>
            <w:tcMar>
              <w:top w:w="28" w:type="dxa"/>
              <w:left w:w="28" w:type="dxa"/>
              <w:bottom w:w="28" w:type="dxa"/>
              <w:right w:w="28" w:type="dxa"/>
            </w:tcMar>
            <w:vAlign w:val="center"/>
          </w:tcPr>
          <w:p w14:paraId="641E5B6B">
            <w:pPr>
              <w:pStyle w:val="37"/>
              <w:bidi w:val="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验收</w:t>
            </w:r>
            <w:r>
              <w:rPr>
                <w:rFonts w:hint="default" w:ascii="Times New Roman" w:hAnsi="Times New Roman" w:eastAsia="宋体" w:cs="Times New Roman"/>
                <w:color w:val="auto"/>
                <w:sz w:val="21"/>
                <w:szCs w:val="21"/>
                <w:lang w:val="en-US" w:eastAsia="zh-CN"/>
              </w:rPr>
              <w:t>阶段</w:t>
            </w:r>
            <w:r>
              <w:rPr>
                <w:rFonts w:hint="default" w:ascii="Times New Roman" w:hAnsi="Times New Roman" w:eastAsia="宋体" w:cs="Times New Roman"/>
                <w:color w:val="auto"/>
                <w:sz w:val="21"/>
                <w:szCs w:val="21"/>
              </w:rPr>
              <w:t>未设置野生动物迁徙通道；</w:t>
            </w:r>
            <w:r>
              <w:rPr>
                <w:rFonts w:hint="eastAsia" w:cs="Times New Roman"/>
                <w:color w:val="auto"/>
                <w:sz w:val="21"/>
                <w:szCs w:val="21"/>
                <w:lang w:val="en-US" w:eastAsia="zh-CN"/>
              </w:rPr>
              <w:t>声屏障已建设完成1058米，仍有365米暂未实施。本次验收监测结果符合标准，相关资金已预留，用于后续如例行监测出现超标时的补充工程建设</w:t>
            </w:r>
            <w:r>
              <w:rPr>
                <w:rFonts w:hint="default" w:ascii="Times New Roman" w:hAnsi="Times New Roman" w:eastAsia="宋体" w:cs="Times New Roman"/>
                <w:color w:val="auto"/>
                <w:sz w:val="21"/>
                <w:szCs w:val="21"/>
              </w:rPr>
              <w:t>。</w:t>
            </w:r>
          </w:p>
        </w:tc>
        <w:tc>
          <w:tcPr>
            <w:tcW w:w="191" w:type="pct"/>
            <w:tcBorders>
              <w:tl2br w:val="nil"/>
              <w:tr2bl w:val="nil"/>
            </w:tcBorders>
            <w:noWrap w:val="0"/>
            <w:tcMar>
              <w:top w:w="28" w:type="dxa"/>
              <w:left w:w="28" w:type="dxa"/>
              <w:bottom w:w="28" w:type="dxa"/>
              <w:right w:w="28" w:type="dxa"/>
            </w:tcMar>
            <w:vAlign w:val="center"/>
          </w:tcPr>
          <w:p w14:paraId="645159F9">
            <w:pPr>
              <w:pStyle w:val="37"/>
              <w:bidi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91" w:type="pct"/>
            <w:tcBorders>
              <w:tl2br w:val="nil"/>
              <w:tr2bl w:val="nil"/>
            </w:tcBorders>
            <w:noWrap w:val="0"/>
            <w:tcMar>
              <w:top w:w="28" w:type="dxa"/>
              <w:left w:w="28" w:type="dxa"/>
              <w:bottom w:w="28" w:type="dxa"/>
              <w:right w:w="28" w:type="dxa"/>
            </w:tcMar>
            <w:vAlign w:val="center"/>
          </w:tcPr>
          <w:p w14:paraId="158D33BB">
            <w:pPr>
              <w:pStyle w:val="37"/>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bl>
    <w:p w14:paraId="097AED3D">
      <w:pPr>
        <w:pStyle w:val="24"/>
        <w:ind w:firstLine="480"/>
        <w:rPr>
          <w:rFonts w:hint="eastAsia" w:cs="Times New Roman"/>
          <w:color w:val="auto"/>
          <w:szCs w:val="24"/>
          <w:lang w:val="en-US" w:eastAsia="zh-CN"/>
        </w:rPr>
      </w:pPr>
    </w:p>
    <w:p w14:paraId="5C5392E3">
      <w:pPr>
        <w:pStyle w:val="4"/>
        <w:keepNext/>
        <w:keepLines/>
        <w:pageBreakBefore w:val="0"/>
        <w:numPr>
          <w:ilvl w:val="0"/>
          <w:numId w:val="0"/>
        </w:numPr>
        <w:tabs>
          <w:tab w:val="left" w:pos="0"/>
        </w:tabs>
        <w:wordWrap/>
        <w:topLinePunct w:val="0"/>
        <w:autoSpaceDE w:val="0"/>
        <w:autoSpaceDN w:val="0"/>
        <w:bidi w:val="0"/>
        <w:adjustRightInd w:val="0"/>
        <w:snapToGrid w:val="0"/>
        <w:spacing w:beforeLines="0"/>
        <w:ind w:left="0" w:leftChars="0" w:firstLine="0" w:firstLineChars="0"/>
        <w:textAlignment w:val="baseline"/>
        <w:rPr>
          <w:rFonts w:hint="default" w:ascii="Times New Roman" w:hAnsi="Times New Roman" w:eastAsia="宋体" w:cs="Times New Roman"/>
          <w:b/>
          <w:snapToGrid w:val="0"/>
          <w:color w:val="auto"/>
          <w:kern w:val="0"/>
          <w:sz w:val="30"/>
          <w:szCs w:val="30"/>
          <w:lang w:val="en-US" w:eastAsia="zh-CN" w:bidi="ar-SA"/>
        </w:rPr>
      </w:pPr>
      <w:r>
        <w:rPr>
          <w:rFonts w:hint="default" w:ascii="Times New Roman" w:hAnsi="Times New Roman" w:eastAsia="宋体" w:cs="Times New Roman"/>
          <w:b/>
          <w:snapToGrid w:val="0"/>
          <w:color w:val="auto"/>
          <w:kern w:val="0"/>
          <w:sz w:val="30"/>
          <w:szCs w:val="30"/>
          <w:lang w:val="en-US" w:eastAsia="zh-CN" w:bidi="ar-SA"/>
        </w:rPr>
        <w:t>2.4.2 与《建设项目竣工环境保护验收暂行办法》符合性分析</w:t>
      </w:r>
    </w:p>
    <w:p w14:paraId="067AEB9E">
      <w:pPr>
        <w:ind w:left="0" w:leftChars="0" w:firstLine="0" w:firstLineChars="0"/>
        <w:jc w:val="center"/>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sz w:val="21"/>
          <w:szCs w:val="21"/>
          <w:lang w:val="en-US" w:eastAsia="zh-CN"/>
        </w:rPr>
        <w:t>表2.4-</w:t>
      </w:r>
      <w:r>
        <w:rPr>
          <w:rFonts w:hint="eastAsia" w:cs="Times New Roman"/>
          <w:b/>
          <w:bCs/>
          <w:color w:val="auto"/>
          <w:sz w:val="21"/>
          <w:szCs w:val="21"/>
          <w:lang w:val="en-US" w:eastAsia="zh-CN"/>
        </w:rPr>
        <w:t>3</w:t>
      </w:r>
      <w:r>
        <w:rPr>
          <w:rFonts w:hint="eastAsia" w:ascii="Times New Roman" w:hAnsi="Times New Roman" w:eastAsia="宋体" w:cs="Times New Roman"/>
          <w:b/>
          <w:bCs/>
          <w:color w:val="auto"/>
          <w:sz w:val="21"/>
          <w:szCs w:val="21"/>
          <w:lang w:val="en-US" w:eastAsia="zh-CN"/>
        </w:rPr>
        <w:t xml:space="preserve"> 《建设项目竣工环境保护验收暂行办法》符合性分析</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4158"/>
        <w:gridCol w:w="2573"/>
        <w:gridCol w:w="1302"/>
      </w:tblGrid>
      <w:tr w14:paraId="13DA0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3D8E42F9">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2440" w:type="pct"/>
            <w:noWrap w:val="0"/>
            <w:vAlign w:val="center"/>
          </w:tcPr>
          <w:p w14:paraId="61AD0F65">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不得提出验收合格意见的情形</w:t>
            </w:r>
          </w:p>
        </w:tc>
        <w:tc>
          <w:tcPr>
            <w:tcW w:w="1510" w:type="pct"/>
            <w:noWrap w:val="0"/>
            <w:vAlign w:val="center"/>
          </w:tcPr>
          <w:p w14:paraId="680FE830">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本工程实际情况</w:t>
            </w:r>
          </w:p>
        </w:tc>
        <w:tc>
          <w:tcPr>
            <w:tcW w:w="764" w:type="pct"/>
            <w:noWrap w:val="0"/>
            <w:vAlign w:val="center"/>
          </w:tcPr>
          <w:p w14:paraId="61F3D7B7">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是否属于不得提出验收合格意见的情形</w:t>
            </w:r>
          </w:p>
        </w:tc>
      </w:tr>
      <w:tr w14:paraId="0407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59860C1C">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4158" w:type="dxa"/>
            <w:noWrap w:val="0"/>
            <w:vAlign w:val="center"/>
          </w:tcPr>
          <w:p w14:paraId="4EB2E2B0">
            <w:pPr>
              <w:pStyle w:val="2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未按环评及批复要求建成环境保护设施，或设施不能与主体工程同时投产使用。</w:t>
            </w:r>
          </w:p>
        </w:tc>
        <w:tc>
          <w:tcPr>
            <w:tcW w:w="2573" w:type="dxa"/>
            <w:noWrap w:val="0"/>
            <w:vAlign w:val="center"/>
          </w:tcPr>
          <w:p w14:paraId="0BBF6539">
            <w:pPr>
              <w:pStyle w:val="2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已按重新报批的环评文件（渝(合)环准〔2026〕12号）及批复要求落实了环保设施，并与主体工程同步投入运行。</w:t>
            </w:r>
          </w:p>
        </w:tc>
        <w:tc>
          <w:tcPr>
            <w:tcW w:w="764" w:type="pct"/>
            <w:noWrap w:val="0"/>
            <w:vAlign w:val="center"/>
          </w:tcPr>
          <w:p w14:paraId="08221BC6">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2002F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166BC038">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440" w:type="pct"/>
            <w:noWrap w:val="0"/>
            <w:vAlign w:val="center"/>
          </w:tcPr>
          <w:p w14:paraId="56919CA1">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污染物排放不符合国家和地方相关标准、环境影响报告书（表）及其审批部门审批决定或者重点污染物排放总量控制指标要求的</w:t>
            </w:r>
          </w:p>
        </w:tc>
        <w:tc>
          <w:tcPr>
            <w:tcW w:w="1510" w:type="pct"/>
            <w:noWrap w:val="0"/>
            <w:vAlign w:val="center"/>
          </w:tcPr>
          <w:p w14:paraId="41403650">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根据验收监测，运营期污水、噪声等污染物排放符合标准。项目不涉及总量控制指标。</w:t>
            </w:r>
          </w:p>
        </w:tc>
        <w:tc>
          <w:tcPr>
            <w:tcW w:w="764" w:type="pct"/>
            <w:noWrap w:val="0"/>
            <w:vAlign w:val="center"/>
          </w:tcPr>
          <w:p w14:paraId="668ABC1C">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586E5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3FA6F7F7">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440" w:type="pct"/>
            <w:noWrap w:val="0"/>
            <w:vAlign w:val="center"/>
          </w:tcPr>
          <w:p w14:paraId="0E591AED">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1510" w:type="pct"/>
            <w:noWrap w:val="0"/>
            <w:vAlign w:val="center"/>
          </w:tcPr>
          <w:p w14:paraId="27A912EF">
            <w:pPr>
              <w:pStyle w:val="2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根据验收调查</w:t>
            </w:r>
            <w:r>
              <w:rPr>
                <w:rFonts w:hint="default" w:ascii="Times New Roman" w:hAnsi="Times New Roman" w:cs="Times New Roman"/>
                <w:color w:val="auto"/>
                <w:sz w:val="21"/>
                <w:szCs w:val="21"/>
              </w:rPr>
              <w:t>，</w:t>
            </w:r>
            <w:r>
              <w:rPr>
                <w:rFonts w:hint="eastAsia" w:cs="Times New Roman"/>
                <w:color w:val="auto"/>
                <w:sz w:val="21"/>
                <w:szCs w:val="21"/>
                <w:lang w:val="en-US" w:eastAsia="zh-CN"/>
              </w:rPr>
              <w:t>项目现</w:t>
            </w:r>
            <w:r>
              <w:rPr>
                <w:rFonts w:hint="default" w:ascii="Times New Roman" w:hAnsi="Times New Roman" w:cs="Times New Roman"/>
                <w:color w:val="auto"/>
                <w:sz w:val="21"/>
                <w:szCs w:val="21"/>
              </w:rPr>
              <w:t>已依法完成重新报批并取得批复（渝(合)环准〔2026〕12号）。</w:t>
            </w:r>
          </w:p>
        </w:tc>
        <w:tc>
          <w:tcPr>
            <w:tcW w:w="764" w:type="pct"/>
            <w:noWrap w:val="0"/>
            <w:vAlign w:val="center"/>
          </w:tcPr>
          <w:p w14:paraId="3E105BEE">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77854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414D586F">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2440" w:type="pct"/>
            <w:noWrap w:val="0"/>
            <w:vAlign w:val="center"/>
          </w:tcPr>
          <w:p w14:paraId="59097263">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建设过程中造成重大环境污染未治理完成，或者造成重大生态破坏未恢复的</w:t>
            </w:r>
          </w:p>
        </w:tc>
        <w:tc>
          <w:tcPr>
            <w:tcW w:w="1510" w:type="pct"/>
            <w:noWrap w:val="0"/>
            <w:vAlign w:val="center"/>
          </w:tcPr>
          <w:p w14:paraId="751C1107">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施工期未发生重大环境污染或生态破坏事件。临时用地已完成生态恢复或复垦</w:t>
            </w:r>
          </w:p>
        </w:tc>
        <w:tc>
          <w:tcPr>
            <w:tcW w:w="764" w:type="pct"/>
            <w:noWrap w:val="0"/>
            <w:vAlign w:val="center"/>
          </w:tcPr>
          <w:p w14:paraId="7577C63A">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706A9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79EB2E0B">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2440" w:type="pct"/>
            <w:noWrap w:val="0"/>
            <w:vAlign w:val="center"/>
          </w:tcPr>
          <w:p w14:paraId="0C6B0B0D">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纳入排污许可管理的建设项目，无证排污或者不按证排污的</w:t>
            </w:r>
          </w:p>
        </w:tc>
        <w:tc>
          <w:tcPr>
            <w:tcW w:w="1510" w:type="pct"/>
            <w:noWrap w:val="0"/>
            <w:vAlign w:val="center"/>
          </w:tcPr>
          <w:p w14:paraId="3355A95E">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本工程不属于纳入排污许可管理的建设项目</w:t>
            </w:r>
          </w:p>
        </w:tc>
        <w:tc>
          <w:tcPr>
            <w:tcW w:w="764" w:type="pct"/>
            <w:noWrap w:val="0"/>
            <w:vAlign w:val="center"/>
          </w:tcPr>
          <w:p w14:paraId="4199CBC2">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497C4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62CD28CC">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2440" w:type="pct"/>
            <w:noWrap w:val="0"/>
            <w:vAlign w:val="center"/>
          </w:tcPr>
          <w:p w14:paraId="7AF220FA">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分期建设、分期投入生产或者使用依法应当分期验收的建设项目，其分期建设、分期投入生产或者使用的环境保护设施防治环境污染和生态破坏的能力不能满足其相应主体工程需要的</w:t>
            </w:r>
          </w:p>
        </w:tc>
        <w:tc>
          <w:tcPr>
            <w:tcW w:w="1510" w:type="pct"/>
            <w:noWrap w:val="0"/>
            <w:vAlign w:val="center"/>
          </w:tcPr>
          <w:p w14:paraId="7A7B6D9D">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本工程未分期建设和分期验收，工程环保设施已按环保“三同时”制度落实</w:t>
            </w:r>
          </w:p>
        </w:tc>
        <w:tc>
          <w:tcPr>
            <w:tcW w:w="764" w:type="pct"/>
            <w:noWrap w:val="0"/>
            <w:vAlign w:val="center"/>
          </w:tcPr>
          <w:p w14:paraId="174D69DD">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3507E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61463338">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2440" w:type="pct"/>
            <w:noWrap w:val="0"/>
            <w:vAlign w:val="center"/>
          </w:tcPr>
          <w:p w14:paraId="6E01B53E">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建设单位因该建设项目违反国家和地方环境保护法律法规受到处罚，被责令改正，尚未改正完成的</w:t>
            </w:r>
          </w:p>
        </w:tc>
        <w:tc>
          <w:tcPr>
            <w:tcW w:w="1510" w:type="pct"/>
            <w:noWrap w:val="0"/>
            <w:vAlign w:val="center"/>
          </w:tcPr>
          <w:p w14:paraId="70CBA1D4">
            <w:pPr>
              <w:pStyle w:val="2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根据验收调查，</w:t>
            </w:r>
            <w:r>
              <w:rPr>
                <w:rFonts w:hint="default" w:ascii="Times New Roman" w:hAnsi="Times New Roman" w:cs="Times New Roman"/>
                <w:color w:val="auto"/>
                <w:sz w:val="21"/>
                <w:szCs w:val="21"/>
              </w:rPr>
              <w:t>建设过程中存在线路重大变动未重新报批环评、环保设施未验收即投入运营的违法行为，已接受行政处罚并完成</w:t>
            </w:r>
            <w:r>
              <w:rPr>
                <w:rFonts w:hint="eastAsia" w:cs="Times New Roman"/>
                <w:color w:val="auto"/>
                <w:sz w:val="21"/>
                <w:szCs w:val="21"/>
                <w:lang w:val="en-US" w:eastAsia="zh-CN"/>
              </w:rPr>
              <w:t>重新报批并取得批复。</w:t>
            </w:r>
          </w:p>
        </w:tc>
        <w:tc>
          <w:tcPr>
            <w:tcW w:w="764" w:type="pct"/>
            <w:noWrap w:val="0"/>
            <w:vAlign w:val="center"/>
          </w:tcPr>
          <w:p w14:paraId="65BF54C9">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67F45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2A7745CB">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2440" w:type="pct"/>
            <w:noWrap w:val="0"/>
            <w:vAlign w:val="center"/>
          </w:tcPr>
          <w:p w14:paraId="6547C113">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验收报告的基础资料数据明显不实，内容存在重大缺项、遗漏，或者验收结论不明确、不合理的</w:t>
            </w:r>
          </w:p>
        </w:tc>
        <w:tc>
          <w:tcPr>
            <w:tcW w:w="1510" w:type="pct"/>
            <w:noWrap w:val="0"/>
            <w:vAlign w:val="center"/>
          </w:tcPr>
          <w:p w14:paraId="4CB612DB">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本次验收调查报告确保基础资料真实、内容完整、结论明确</w:t>
            </w:r>
          </w:p>
        </w:tc>
        <w:tc>
          <w:tcPr>
            <w:tcW w:w="764" w:type="pct"/>
            <w:noWrap w:val="0"/>
            <w:vAlign w:val="center"/>
          </w:tcPr>
          <w:p w14:paraId="06797029">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r w14:paraId="2503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noWrap w:val="0"/>
            <w:vAlign w:val="center"/>
          </w:tcPr>
          <w:p w14:paraId="41508191">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2440" w:type="pct"/>
            <w:noWrap w:val="0"/>
            <w:vAlign w:val="center"/>
          </w:tcPr>
          <w:p w14:paraId="30C018BD">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其他环境保护法律法规规章等规定不得通过环境保护验收的</w:t>
            </w:r>
          </w:p>
        </w:tc>
        <w:tc>
          <w:tcPr>
            <w:tcW w:w="1510" w:type="pct"/>
            <w:noWrap w:val="0"/>
            <w:vAlign w:val="center"/>
          </w:tcPr>
          <w:p w14:paraId="2029973E">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不涉及</w:t>
            </w:r>
          </w:p>
        </w:tc>
        <w:tc>
          <w:tcPr>
            <w:tcW w:w="764" w:type="pct"/>
            <w:noWrap w:val="0"/>
            <w:vAlign w:val="center"/>
          </w:tcPr>
          <w:p w14:paraId="305D45F4">
            <w:pPr>
              <w:pStyle w:val="2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不属于</w:t>
            </w:r>
          </w:p>
        </w:tc>
      </w:tr>
    </w:tbl>
    <w:p w14:paraId="32ECFD9D">
      <w:pPr>
        <w:ind w:left="0" w:leftChars="0" w:firstLine="0" w:firstLineChars="0"/>
        <w:jc w:val="center"/>
        <w:rPr>
          <w:rFonts w:hint="default" w:ascii="Times New Roman" w:hAnsi="Times New Roman" w:eastAsia="宋体" w:cs="Times New Roman"/>
          <w:color w:val="auto"/>
          <w:vertAlign w:val="baseline"/>
          <w:lang w:val="en-US" w:eastAsia="zh-CN"/>
        </w:rPr>
      </w:pPr>
    </w:p>
    <w:p w14:paraId="4D076CF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经对照，本工程不存在《建设项目竣工环境保护验收暂行办法》中规定的不得提出验收合格意见的情形。</w:t>
      </w:r>
    </w:p>
    <w:p w14:paraId="192184DF">
      <w:pPr>
        <w:pStyle w:val="24"/>
        <w:ind w:firstLine="480"/>
        <w:rPr>
          <w:rFonts w:hint="default" w:ascii="Times New Roman" w:hAnsi="Times New Roman" w:eastAsia="宋体" w:cs="Times New Roman"/>
          <w:color w:val="auto"/>
          <w:szCs w:val="24"/>
        </w:rPr>
      </w:pPr>
    </w:p>
    <w:p w14:paraId="6D63829A">
      <w:pPr>
        <w:pStyle w:val="3"/>
        <w:numPr>
          <w:ilvl w:val="1"/>
          <w:numId w:val="0"/>
        </w:numPr>
        <w:ind w:left="578" w:leftChars="0" w:hanging="578" w:firstLineChars="0"/>
        <w:rPr>
          <w:rFonts w:hint="default" w:ascii="Times New Roman" w:hAnsi="Times New Roman" w:cs="Times New Roman"/>
          <w:color w:val="auto"/>
        </w:rPr>
      </w:pPr>
      <w:bookmarkStart w:id="77" w:name="_Toc20802"/>
      <w:bookmarkStart w:id="78" w:name="_Toc8467"/>
      <w:r>
        <w:rPr>
          <w:rFonts w:hint="eastAsia" w:ascii="Times New Roman" w:hAnsi="Times New Roman" w:cs="Times New Roman"/>
          <w:b/>
          <w:bCs/>
          <w:color w:val="auto"/>
          <w:kern w:val="2"/>
          <w:sz w:val="32"/>
          <w:szCs w:val="32"/>
          <w:lang w:val="en-US" w:eastAsia="zh-CN" w:bidi="ar-SA"/>
        </w:rPr>
        <w:t>2.5</w:t>
      </w:r>
      <w:r>
        <w:rPr>
          <w:rFonts w:hint="default" w:ascii="Times New Roman" w:hAnsi="Times New Roman" w:cs="Times New Roman"/>
          <w:color w:val="auto"/>
        </w:rPr>
        <w:t>工程交通量</w:t>
      </w:r>
      <w:bookmarkEnd w:id="77"/>
      <w:bookmarkEnd w:id="78"/>
    </w:p>
    <w:p w14:paraId="7B83FB09">
      <w:pPr>
        <w:pStyle w:val="4"/>
        <w:numPr>
          <w:ilvl w:val="2"/>
          <w:numId w:val="0"/>
        </w:numPr>
        <w:ind w:left="720" w:leftChars="0" w:hanging="720" w:firstLineChars="0"/>
        <w:rPr>
          <w:rFonts w:hint="default" w:ascii="Times New Roman" w:hAnsi="Times New Roman" w:cs="Times New Roman"/>
          <w:color w:val="auto"/>
        </w:rPr>
      </w:pPr>
      <w:r>
        <w:rPr>
          <w:rFonts w:hint="eastAsia" w:cs="Times New Roman"/>
          <w:b/>
          <w:bCs/>
          <w:color w:val="auto"/>
          <w:kern w:val="2"/>
          <w:sz w:val="30"/>
          <w:szCs w:val="32"/>
          <w:lang w:val="en-US" w:eastAsia="zh-CN" w:bidi="ar-SA"/>
        </w:rPr>
        <w:t>2.5.1重新报批</w:t>
      </w:r>
      <w:r>
        <w:rPr>
          <w:rFonts w:hint="default" w:ascii="Times New Roman" w:hAnsi="Times New Roman" w:cs="Times New Roman"/>
          <w:color w:val="auto"/>
        </w:rPr>
        <w:t>环评阶段预测交通量</w:t>
      </w:r>
    </w:p>
    <w:p w14:paraId="57838578">
      <w:pPr>
        <w:ind w:firstLine="480"/>
        <w:rPr>
          <w:rFonts w:hint="default" w:ascii="Times New Roman" w:hAnsi="Times New Roman" w:cs="Times New Roman"/>
          <w:color w:val="auto"/>
          <w:szCs w:val="24"/>
        </w:rPr>
      </w:pPr>
      <w:r>
        <w:rPr>
          <w:rFonts w:hint="eastAsia" w:cs="Times New Roman"/>
          <w:color w:val="auto"/>
          <w:szCs w:val="24"/>
          <w:lang w:eastAsia="zh-CN"/>
        </w:rPr>
        <w:t>广安市过境高速公路东环线及渝广高速支线项目（重庆合川境）（重新报批）</w:t>
      </w:r>
      <w:r>
        <w:rPr>
          <w:rFonts w:hint="default" w:ascii="Times New Roman" w:hAnsi="Times New Roman" w:cs="Times New Roman"/>
          <w:color w:val="auto"/>
          <w:szCs w:val="24"/>
        </w:rPr>
        <w:t>于20</w:t>
      </w:r>
      <w:r>
        <w:rPr>
          <w:rFonts w:hint="eastAsia" w:cs="Times New Roman"/>
          <w:color w:val="auto"/>
          <w:szCs w:val="24"/>
          <w:lang w:val="en-US" w:eastAsia="zh-CN"/>
        </w:rPr>
        <w:t>20</w:t>
      </w:r>
      <w:r>
        <w:rPr>
          <w:rFonts w:hint="default" w:ascii="Times New Roman" w:hAnsi="Times New Roman" w:cs="Times New Roman"/>
          <w:color w:val="auto"/>
          <w:szCs w:val="24"/>
        </w:rPr>
        <w:t>年1</w:t>
      </w:r>
      <w:r>
        <w:rPr>
          <w:rFonts w:hint="eastAsia" w:cs="Times New Roman"/>
          <w:color w:val="auto"/>
          <w:szCs w:val="24"/>
          <w:lang w:val="en-US" w:eastAsia="zh-CN"/>
        </w:rPr>
        <w:t>2</w:t>
      </w:r>
      <w:r>
        <w:rPr>
          <w:rFonts w:hint="default" w:ascii="Times New Roman" w:hAnsi="Times New Roman" w:cs="Times New Roman"/>
          <w:color w:val="auto"/>
          <w:szCs w:val="24"/>
        </w:rPr>
        <w:t>月底建成通车，重新报批</w:t>
      </w:r>
      <w:r>
        <w:rPr>
          <w:rFonts w:hint="eastAsia" w:cs="Times New Roman"/>
          <w:color w:val="auto"/>
          <w:szCs w:val="24"/>
          <w:lang w:eastAsia="zh-CN"/>
        </w:rPr>
        <w:t>环评阶段</w:t>
      </w:r>
      <w:r>
        <w:rPr>
          <w:rFonts w:hint="default" w:ascii="Times New Roman" w:hAnsi="Times New Roman" w:cs="Times New Roman"/>
          <w:color w:val="auto"/>
          <w:szCs w:val="24"/>
        </w:rPr>
        <w:t>选取特征年为20</w:t>
      </w:r>
      <w:r>
        <w:rPr>
          <w:rFonts w:hint="eastAsia" w:ascii="Times New Roman" w:hAnsi="Times New Roman" w:cs="Times New Roman"/>
          <w:color w:val="auto"/>
          <w:szCs w:val="24"/>
          <w:lang w:val="en-US" w:eastAsia="zh-CN"/>
        </w:rPr>
        <w:t>26</w:t>
      </w:r>
      <w:r>
        <w:rPr>
          <w:rFonts w:hint="default" w:ascii="Times New Roman" w:hAnsi="Times New Roman" w:cs="Times New Roman"/>
          <w:color w:val="auto"/>
          <w:szCs w:val="24"/>
        </w:rPr>
        <w:t>年、20</w:t>
      </w:r>
      <w:r>
        <w:rPr>
          <w:rFonts w:hint="eastAsia" w:ascii="Times New Roman" w:hAnsi="Times New Roman" w:cs="Times New Roman"/>
          <w:color w:val="auto"/>
          <w:szCs w:val="24"/>
          <w:lang w:val="en-US" w:eastAsia="zh-CN"/>
        </w:rPr>
        <w:t>32</w:t>
      </w:r>
      <w:r>
        <w:rPr>
          <w:rFonts w:hint="default" w:ascii="Times New Roman" w:hAnsi="Times New Roman" w:cs="Times New Roman"/>
          <w:color w:val="auto"/>
          <w:szCs w:val="24"/>
        </w:rPr>
        <w:t>年、20</w:t>
      </w:r>
      <w:r>
        <w:rPr>
          <w:rFonts w:hint="eastAsia" w:ascii="Times New Roman" w:hAnsi="Times New Roman" w:cs="Times New Roman"/>
          <w:color w:val="auto"/>
          <w:szCs w:val="24"/>
          <w:lang w:val="en-US" w:eastAsia="zh-CN"/>
        </w:rPr>
        <w:t>4</w:t>
      </w:r>
      <w:r>
        <w:rPr>
          <w:rFonts w:hint="default" w:ascii="Times New Roman" w:hAnsi="Times New Roman" w:cs="Times New Roman"/>
          <w:color w:val="auto"/>
          <w:szCs w:val="24"/>
        </w:rPr>
        <w:t>0年。各特征年交通量如下表所示。</w:t>
      </w:r>
    </w:p>
    <w:p w14:paraId="0F10CDBB">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2.5</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t>预测年主线交通量</w:t>
      </w:r>
      <w:r>
        <w:rPr>
          <w:rFonts w:hint="default" w:ascii="Times New Roman" w:hAnsi="Times New Roman" w:cs="Times New Roman"/>
          <w:color w:val="auto"/>
        </w:rPr>
        <w:tab/>
      </w:r>
      <w:r>
        <w:rPr>
          <w:rFonts w:hint="default" w:ascii="Times New Roman" w:hAnsi="Times New Roman" w:cs="Times New Roman"/>
          <w:color w:val="auto"/>
        </w:rPr>
        <w:t>单位：pcu/d</w:t>
      </w:r>
    </w:p>
    <w:tbl>
      <w:tblPr>
        <w:tblStyle w:val="36"/>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88"/>
        <w:gridCol w:w="1946"/>
        <w:gridCol w:w="1944"/>
        <w:gridCol w:w="2135"/>
      </w:tblGrid>
      <w:tr w14:paraId="4D9C0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20257437">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snapToGrid/>
                <w:color w:val="auto"/>
                <w:kern w:val="0"/>
                <w:sz w:val="21"/>
                <w:szCs w:val="21"/>
                <w:lang w:val="en-US" w:eastAsia="zh-CN" w:bidi="ar"/>
              </w:rPr>
              <w:t>起、止点</w:t>
            </w:r>
          </w:p>
        </w:tc>
        <w:tc>
          <w:tcPr>
            <w:tcW w:w="1184" w:type="pct"/>
            <w:tcBorders>
              <w:tl2br w:val="nil"/>
              <w:tr2bl w:val="nil"/>
            </w:tcBorders>
            <w:noWrap w:val="0"/>
            <w:tcMar>
              <w:top w:w="28" w:type="dxa"/>
              <w:left w:w="28" w:type="dxa"/>
              <w:bottom w:w="28" w:type="dxa"/>
              <w:right w:w="28" w:type="dxa"/>
            </w:tcMar>
            <w:vAlign w:val="center"/>
          </w:tcPr>
          <w:p w14:paraId="241DB3AF">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cs="Times New Roman"/>
                <w:snapToGrid/>
                <w:color w:val="auto"/>
                <w:kern w:val="0"/>
                <w:sz w:val="21"/>
                <w:szCs w:val="21"/>
                <w:lang w:val="en-US" w:eastAsia="zh-CN" w:bidi="ar"/>
              </w:rPr>
              <w:t>运营</w:t>
            </w:r>
            <w:r>
              <w:rPr>
                <w:rFonts w:hint="default" w:ascii="Times New Roman" w:hAnsi="Times New Roman" w:eastAsia="宋体" w:cs="Times New Roman"/>
                <w:snapToGrid/>
                <w:color w:val="auto"/>
                <w:kern w:val="0"/>
                <w:sz w:val="21"/>
                <w:szCs w:val="21"/>
                <w:lang w:val="en-US" w:eastAsia="zh-CN" w:bidi="ar"/>
              </w:rPr>
              <w:t>近期（2026年）</w:t>
            </w:r>
          </w:p>
        </w:tc>
        <w:tc>
          <w:tcPr>
            <w:tcW w:w="1183" w:type="pct"/>
            <w:tcBorders>
              <w:tl2br w:val="nil"/>
              <w:tr2bl w:val="nil"/>
            </w:tcBorders>
            <w:noWrap w:val="0"/>
            <w:tcMar>
              <w:top w:w="28" w:type="dxa"/>
              <w:left w:w="28" w:type="dxa"/>
              <w:bottom w:w="28" w:type="dxa"/>
              <w:right w:w="28" w:type="dxa"/>
            </w:tcMar>
            <w:vAlign w:val="center"/>
          </w:tcPr>
          <w:p w14:paraId="17F4756C">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cs="Times New Roman"/>
                <w:snapToGrid/>
                <w:color w:val="auto"/>
                <w:kern w:val="0"/>
                <w:sz w:val="21"/>
                <w:szCs w:val="21"/>
                <w:lang w:val="en-US" w:eastAsia="zh-CN" w:bidi="ar"/>
              </w:rPr>
              <w:t>运营</w:t>
            </w:r>
            <w:r>
              <w:rPr>
                <w:rFonts w:hint="default" w:ascii="Times New Roman" w:hAnsi="Times New Roman" w:eastAsia="宋体" w:cs="Times New Roman"/>
                <w:snapToGrid/>
                <w:color w:val="auto"/>
                <w:kern w:val="0"/>
                <w:sz w:val="21"/>
                <w:szCs w:val="21"/>
                <w:lang w:val="en-US" w:eastAsia="zh-CN" w:bidi="ar"/>
              </w:rPr>
              <w:t>中期（2032年）</w:t>
            </w:r>
          </w:p>
        </w:tc>
        <w:tc>
          <w:tcPr>
            <w:tcW w:w="1299" w:type="pct"/>
            <w:tcBorders>
              <w:tl2br w:val="nil"/>
              <w:tr2bl w:val="nil"/>
            </w:tcBorders>
            <w:noWrap w:val="0"/>
            <w:tcMar>
              <w:top w:w="28" w:type="dxa"/>
              <w:left w:w="28" w:type="dxa"/>
              <w:bottom w:w="28" w:type="dxa"/>
              <w:right w:w="28" w:type="dxa"/>
            </w:tcMar>
            <w:vAlign w:val="center"/>
          </w:tcPr>
          <w:p w14:paraId="3CCCF641">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cs="Times New Roman"/>
                <w:snapToGrid/>
                <w:color w:val="auto"/>
                <w:kern w:val="0"/>
                <w:sz w:val="21"/>
                <w:szCs w:val="21"/>
                <w:lang w:val="en-US" w:eastAsia="zh-CN" w:bidi="ar"/>
              </w:rPr>
              <w:t>运营</w:t>
            </w:r>
            <w:r>
              <w:rPr>
                <w:rFonts w:hint="default" w:ascii="Times New Roman" w:hAnsi="Times New Roman" w:eastAsia="宋体" w:cs="Times New Roman"/>
                <w:snapToGrid/>
                <w:color w:val="auto"/>
                <w:kern w:val="0"/>
                <w:sz w:val="21"/>
                <w:szCs w:val="21"/>
                <w:lang w:val="en-US" w:eastAsia="zh-CN" w:bidi="ar"/>
              </w:rPr>
              <w:t>远期（2040年）</w:t>
            </w:r>
          </w:p>
        </w:tc>
      </w:tr>
      <w:tr w14:paraId="794AE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0CC5B29D">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省界-小沔枢纽互通（主线）</w:t>
            </w:r>
          </w:p>
        </w:tc>
        <w:tc>
          <w:tcPr>
            <w:tcW w:w="1184" w:type="pct"/>
            <w:tcBorders>
              <w:tl2br w:val="nil"/>
              <w:tr2bl w:val="nil"/>
            </w:tcBorders>
            <w:noWrap w:val="0"/>
            <w:tcMar>
              <w:top w:w="28" w:type="dxa"/>
              <w:left w:w="28" w:type="dxa"/>
              <w:bottom w:w="28" w:type="dxa"/>
              <w:right w:w="28" w:type="dxa"/>
            </w:tcMar>
            <w:vAlign w:val="center"/>
          </w:tcPr>
          <w:p w14:paraId="137EAC11">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9063</w:t>
            </w:r>
          </w:p>
        </w:tc>
        <w:tc>
          <w:tcPr>
            <w:tcW w:w="1183" w:type="pct"/>
            <w:tcBorders>
              <w:tl2br w:val="nil"/>
              <w:tr2bl w:val="nil"/>
            </w:tcBorders>
            <w:noWrap w:val="0"/>
            <w:tcMar>
              <w:top w:w="28" w:type="dxa"/>
              <w:left w:w="28" w:type="dxa"/>
              <w:bottom w:w="28" w:type="dxa"/>
              <w:right w:w="28" w:type="dxa"/>
            </w:tcMar>
            <w:vAlign w:val="center"/>
          </w:tcPr>
          <w:p w14:paraId="1765DF4F">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14382</w:t>
            </w:r>
          </w:p>
        </w:tc>
        <w:tc>
          <w:tcPr>
            <w:tcW w:w="1299" w:type="pct"/>
            <w:tcBorders>
              <w:tl2br w:val="nil"/>
              <w:tr2bl w:val="nil"/>
            </w:tcBorders>
            <w:noWrap w:val="0"/>
            <w:tcMar>
              <w:top w:w="28" w:type="dxa"/>
              <w:left w:w="28" w:type="dxa"/>
              <w:bottom w:w="28" w:type="dxa"/>
              <w:right w:w="28" w:type="dxa"/>
            </w:tcMar>
            <w:vAlign w:val="center"/>
          </w:tcPr>
          <w:p w14:paraId="45B28EA6">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23802</w:t>
            </w:r>
          </w:p>
        </w:tc>
      </w:tr>
      <w:tr w14:paraId="49121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4F6C8F26">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小沔枢纽互通A匝道</w:t>
            </w:r>
          </w:p>
        </w:tc>
        <w:tc>
          <w:tcPr>
            <w:tcW w:w="2281" w:type="dxa"/>
            <w:tcBorders>
              <w:tl2br w:val="nil"/>
              <w:tr2bl w:val="nil"/>
            </w:tcBorders>
            <w:noWrap w:val="0"/>
            <w:tcMar>
              <w:top w:w="28" w:type="dxa"/>
              <w:left w:w="28" w:type="dxa"/>
              <w:bottom w:w="28" w:type="dxa"/>
              <w:right w:w="28" w:type="dxa"/>
            </w:tcMar>
            <w:vAlign w:val="center"/>
          </w:tcPr>
          <w:p w14:paraId="62C84F12">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896</w:t>
            </w:r>
          </w:p>
        </w:tc>
        <w:tc>
          <w:tcPr>
            <w:tcW w:w="2279" w:type="dxa"/>
            <w:tcBorders>
              <w:tl2br w:val="nil"/>
              <w:tr2bl w:val="nil"/>
            </w:tcBorders>
            <w:noWrap w:val="0"/>
            <w:tcMar>
              <w:top w:w="28" w:type="dxa"/>
              <w:left w:w="28" w:type="dxa"/>
              <w:bottom w:w="28" w:type="dxa"/>
              <w:right w:w="28" w:type="dxa"/>
            </w:tcMar>
            <w:vAlign w:val="center"/>
          </w:tcPr>
          <w:p w14:paraId="3C9495E1">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1198</w:t>
            </w:r>
          </w:p>
        </w:tc>
        <w:tc>
          <w:tcPr>
            <w:tcW w:w="2502" w:type="dxa"/>
            <w:tcBorders>
              <w:tl2br w:val="nil"/>
              <w:tr2bl w:val="nil"/>
            </w:tcBorders>
            <w:noWrap w:val="0"/>
            <w:tcMar>
              <w:top w:w="28" w:type="dxa"/>
              <w:left w:w="28" w:type="dxa"/>
              <w:bottom w:w="28" w:type="dxa"/>
              <w:right w:w="28" w:type="dxa"/>
            </w:tcMar>
            <w:vAlign w:val="center"/>
          </w:tcPr>
          <w:p w14:paraId="74119FFD">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1772</w:t>
            </w:r>
          </w:p>
        </w:tc>
      </w:tr>
      <w:tr w14:paraId="7A017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0DCF9BF8">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小沔枢纽互通B匝道</w:t>
            </w:r>
          </w:p>
        </w:tc>
        <w:tc>
          <w:tcPr>
            <w:tcW w:w="2281" w:type="dxa"/>
            <w:tcBorders>
              <w:tl2br w:val="nil"/>
              <w:tr2bl w:val="nil"/>
            </w:tcBorders>
            <w:noWrap w:val="0"/>
            <w:tcMar>
              <w:top w:w="28" w:type="dxa"/>
              <w:left w:w="28" w:type="dxa"/>
              <w:bottom w:w="28" w:type="dxa"/>
              <w:right w:w="28" w:type="dxa"/>
            </w:tcMar>
            <w:vAlign w:val="center"/>
          </w:tcPr>
          <w:p w14:paraId="466AFC9E">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2246</w:t>
            </w:r>
          </w:p>
        </w:tc>
        <w:tc>
          <w:tcPr>
            <w:tcW w:w="2279" w:type="dxa"/>
            <w:tcBorders>
              <w:tl2br w:val="nil"/>
              <w:tr2bl w:val="nil"/>
            </w:tcBorders>
            <w:noWrap w:val="0"/>
            <w:tcMar>
              <w:top w:w="28" w:type="dxa"/>
              <w:left w:w="28" w:type="dxa"/>
              <w:bottom w:w="28" w:type="dxa"/>
              <w:right w:w="28" w:type="dxa"/>
            </w:tcMar>
            <w:vAlign w:val="center"/>
          </w:tcPr>
          <w:p w14:paraId="3751DF18">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3352</w:t>
            </w:r>
          </w:p>
        </w:tc>
        <w:tc>
          <w:tcPr>
            <w:tcW w:w="2503" w:type="dxa"/>
            <w:tcBorders>
              <w:tl2br w:val="nil"/>
              <w:tr2bl w:val="nil"/>
            </w:tcBorders>
            <w:noWrap w:val="0"/>
            <w:tcMar>
              <w:top w:w="28" w:type="dxa"/>
              <w:left w:w="28" w:type="dxa"/>
              <w:bottom w:w="28" w:type="dxa"/>
              <w:right w:w="28" w:type="dxa"/>
            </w:tcMar>
            <w:vAlign w:val="center"/>
          </w:tcPr>
          <w:p w14:paraId="32365609">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4962</w:t>
            </w:r>
          </w:p>
        </w:tc>
      </w:tr>
      <w:tr w14:paraId="7BEFB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29DEAF99">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小沔枢纽互通C匝道</w:t>
            </w:r>
          </w:p>
        </w:tc>
        <w:tc>
          <w:tcPr>
            <w:tcW w:w="2281" w:type="dxa"/>
            <w:tcBorders>
              <w:tl2br w:val="nil"/>
              <w:tr2bl w:val="nil"/>
            </w:tcBorders>
            <w:noWrap w:val="0"/>
            <w:tcMar>
              <w:top w:w="28" w:type="dxa"/>
              <w:left w:w="28" w:type="dxa"/>
              <w:bottom w:w="28" w:type="dxa"/>
              <w:right w:w="28" w:type="dxa"/>
            </w:tcMar>
            <w:vAlign w:val="center"/>
          </w:tcPr>
          <w:p w14:paraId="2F34948A">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896</w:t>
            </w:r>
          </w:p>
        </w:tc>
        <w:tc>
          <w:tcPr>
            <w:tcW w:w="2279" w:type="dxa"/>
            <w:tcBorders>
              <w:tl2br w:val="nil"/>
              <w:tr2bl w:val="nil"/>
            </w:tcBorders>
            <w:noWrap w:val="0"/>
            <w:tcMar>
              <w:top w:w="28" w:type="dxa"/>
              <w:left w:w="28" w:type="dxa"/>
              <w:bottom w:w="28" w:type="dxa"/>
              <w:right w:w="28" w:type="dxa"/>
            </w:tcMar>
            <w:vAlign w:val="center"/>
          </w:tcPr>
          <w:p w14:paraId="513CC7A3">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1198</w:t>
            </w:r>
          </w:p>
        </w:tc>
        <w:tc>
          <w:tcPr>
            <w:tcW w:w="2502" w:type="dxa"/>
            <w:tcBorders>
              <w:tl2br w:val="nil"/>
              <w:tr2bl w:val="nil"/>
            </w:tcBorders>
            <w:noWrap w:val="0"/>
            <w:tcMar>
              <w:top w:w="28" w:type="dxa"/>
              <w:left w:w="28" w:type="dxa"/>
              <w:bottom w:w="28" w:type="dxa"/>
              <w:right w:w="28" w:type="dxa"/>
            </w:tcMar>
            <w:vAlign w:val="center"/>
          </w:tcPr>
          <w:p w14:paraId="04261228">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1772</w:t>
            </w:r>
          </w:p>
        </w:tc>
      </w:tr>
      <w:tr w14:paraId="2AC4E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1B799EA1">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小沔枢纽互通D匝道</w:t>
            </w:r>
          </w:p>
        </w:tc>
        <w:tc>
          <w:tcPr>
            <w:tcW w:w="2281" w:type="dxa"/>
            <w:tcBorders>
              <w:tl2br w:val="nil"/>
              <w:tr2bl w:val="nil"/>
            </w:tcBorders>
            <w:noWrap w:val="0"/>
            <w:tcMar>
              <w:top w:w="28" w:type="dxa"/>
              <w:left w:w="28" w:type="dxa"/>
              <w:bottom w:w="28" w:type="dxa"/>
              <w:right w:w="28" w:type="dxa"/>
            </w:tcMar>
            <w:vAlign w:val="center"/>
          </w:tcPr>
          <w:p w14:paraId="4EE19014">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2624</w:t>
            </w:r>
          </w:p>
        </w:tc>
        <w:tc>
          <w:tcPr>
            <w:tcW w:w="2279" w:type="dxa"/>
            <w:tcBorders>
              <w:tl2br w:val="nil"/>
              <w:tr2bl w:val="nil"/>
            </w:tcBorders>
            <w:noWrap w:val="0"/>
            <w:tcMar>
              <w:top w:w="28" w:type="dxa"/>
              <w:left w:w="28" w:type="dxa"/>
              <w:bottom w:w="28" w:type="dxa"/>
              <w:right w:w="28" w:type="dxa"/>
            </w:tcMar>
            <w:vAlign w:val="center"/>
          </w:tcPr>
          <w:p w14:paraId="165186D2">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4528</w:t>
            </w:r>
          </w:p>
        </w:tc>
        <w:tc>
          <w:tcPr>
            <w:tcW w:w="2502" w:type="dxa"/>
            <w:tcBorders>
              <w:tl2br w:val="nil"/>
              <w:tr2bl w:val="nil"/>
            </w:tcBorders>
            <w:noWrap w:val="0"/>
            <w:tcMar>
              <w:top w:w="28" w:type="dxa"/>
              <w:left w:w="28" w:type="dxa"/>
              <w:bottom w:w="28" w:type="dxa"/>
              <w:right w:w="28" w:type="dxa"/>
            </w:tcMar>
            <w:vAlign w:val="center"/>
          </w:tcPr>
          <w:p w14:paraId="52CFCC84">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6152</w:t>
            </w:r>
          </w:p>
        </w:tc>
      </w:tr>
      <w:tr w14:paraId="09BFD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7F231047">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小沔枢纽互通E匝道</w:t>
            </w:r>
          </w:p>
        </w:tc>
        <w:tc>
          <w:tcPr>
            <w:tcW w:w="2281" w:type="dxa"/>
            <w:tcBorders>
              <w:tl2br w:val="nil"/>
              <w:tr2bl w:val="nil"/>
            </w:tcBorders>
            <w:noWrap w:val="0"/>
            <w:tcMar>
              <w:top w:w="28" w:type="dxa"/>
              <w:left w:w="28" w:type="dxa"/>
              <w:bottom w:w="28" w:type="dxa"/>
              <w:right w:w="28" w:type="dxa"/>
            </w:tcMar>
            <w:vAlign w:val="center"/>
          </w:tcPr>
          <w:p w14:paraId="427233CD">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1326</w:t>
            </w:r>
          </w:p>
        </w:tc>
        <w:tc>
          <w:tcPr>
            <w:tcW w:w="2279" w:type="dxa"/>
            <w:tcBorders>
              <w:tl2br w:val="nil"/>
              <w:tr2bl w:val="nil"/>
            </w:tcBorders>
            <w:noWrap w:val="0"/>
            <w:tcMar>
              <w:top w:w="28" w:type="dxa"/>
              <w:left w:w="28" w:type="dxa"/>
              <w:bottom w:w="28" w:type="dxa"/>
              <w:right w:w="28" w:type="dxa"/>
            </w:tcMar>
            <w:vAlign w:val="center"/>
          </w:tcPr>
          <w:p w14:paraId="19F57C57">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1578</w:t>
            </w:r>
          </w:p>
        </w:tc>
        <w:tc>
          <w:tcPr>
            <w:tcW w:w="2502" w:type="dxa"/>
            <w:tcBorders>
              <w:tl2br w:val="nil"/>
              <w:tr2bl w:val="nil"/>
            </w:tcBorders>
            <w:noWrap w:val="0"/>
            <w:tcMar>
              <w:top w:w="28" w:type="dxa"/>
              <w:left w:w="28" w:type="dxa"/>
              <w:bottom w:w="28" w:type="dxa"/>
              <w:right w:w="28" w:type="dxa"/>
            </w:tcMar>
            <w:vAlign w:val="center"/>
          </w:tcPr>
          <w:p w14:paraId="5CE9B1E5">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1808</w:t>
            </w:r>
          </w:p>
        </w:tc>
      </w:tr>
      <w:tr w14:paraId="65E66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58B39F24">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小沔枢纽互通F匝道</w:t>
            </w:r>
          </w:p>
        </w:tc>
        <w:tc>
          <w:tcPr>
            <w:tcW w:w="2281" w:type="dxa"/>
            <w:tcBorders>
              <w:tl2br w:val="nil"/>
              <w:tr2bl w:val="nil"/>
            </w:tcBorders>
            <w:noWrap w:val="0"/>
            <w:tcMar>
              <w:top w:w="28" w:type="dxa"/>
              <w:left w:w="28" w:type="dxa"/>
              <w:bottom w:w="28" w:type="dxa"/>
              <w:right w:w="28" w:type="dxa"/>
            </w:tcMar>
            <w:vAlign w:val="center"/>
          </w:tcPr>
          <w:p w14:paraId="49057E3E">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2624</w:t>
            </w:r>
          </w:p>
        </w:tc>
        <w:tc>
          <w:tcPr>
            <w:tcW w:w="2279" w:type="dxa"/>
            <w:tcBorders>
              <w:tl2br w:val="nil"/>
              <w:tr2bl w:val="nil"/>
            </w:tcBorders>
            <w:noWrap w:val="0"/>
            <w:tcMar>
              <w:top w:w="28" w:type="dxa"/>
              <w:left w:w="28" w:type="dxa"/>
              <w:bottom w:w="28" w:type="dxa"/>
              <w:right w:w="28" w:type="dxa"/>
            </w:tcMar>
            <w:vAlign w:val="center"/>
          </w:tcPr>
          <w:p w14:paraId="10A9650E">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4528</w:t>
            </w:r>
          </w:p>
        </w:tc>
        <w:tc>
          <w:tcPr>
            <w:tcW w:w="2502" w:type="dxa"/>
            <w:tcBorders>
              <w:tl2br w:val="nil"/>
              <w:tr2bl w:val="nil"/>
            </w:tcBorders>
            <w:noWrap w:val="0"/>
            <w:tcMar>
              <w:top w:w="28" w:type="dxa"/>
              <w:left w:w="28" w:type="dxa"/>
              <w:bottom w:w="28" w:type="dxa"/>
              <w:right w:w="28" w:type="dxa"/>
            </w:tcMar>
            <w:vAlign w:val="center"/>
          </w:tcPr>
          <w:p w14:paraId="0C7AFE5C">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6152</w:t>
            </w:r>
          </w:p>
        </w:tc>
      </w:tr>
      <w:tr w14:paraId="5C387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13C485C2">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小沔枢纽互通G匝道</w:t>
            </w:r>
          </w:p>
        </w:tc>
        <w:tc>
          <w:tcPr>
            <w:tcW w:w="2281" w:type="dxa"/>
            <w:tcBorders>
              <w:tl2br w:val="nil"/>
              <w:tr2bl w:val="nil"/>
            </w:tcBorders>
            <w:noWrap w:val="0"/>
            <w:tcMar>
              <w:top w:w="28" w:type="dxa"/>
              <w:left w:w="28" w:type="dxa"/>
              <w:bottom w:w="28" w:type="dxa"/>
              <w:right w:w="28" w:type="dxa"/>
            </w:tcMar>
            <w:vAlign w:val="center"/>
          </w:tcPr>
          <w:p w14:paraId="32293EFB">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1326</w:t>
            </w:r>
          </w:p>
        </w:tc>
        <w:tc>
          <w:tcPr>
            <w:tcW w:w="2279" w:type="dxa"/>
            <w:tcBorders>
              <w:tl2br w:val="nil"/>
              <w:tr2bl w:val="nil"/>
            </w:tcBorders>
            <w:noWrap w:val="0"/>
            <w:tcMar>
              <w:top w:w="28" w:type="dxa"/>
              <w:left w:w="28" w:type="dxa"/>
              <w:bottom w:w="28" w:type="dxa"/>
              <w:right w:w="28" w:type="dxa"/>
            </w:tcMar>
            <w:vAlign w:val="center"/>
          </w:tcPr>
          <w:p w14:paraId="18C502FB">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1578</w:t>
            </w:r>
          </w:p>
        </w:tc>
        <w:tc>
          <w:tcPr>
            <w:tcW w:w="2502" w:type="dxa"/>
            <w:tcBorders>
              <w:tl2br w:val="nil"/>
              <w:tr2bl w:val="nil"/>
            </w:tcBorders>
            <w:noWrap w:val="0"/>
            <w:tcMar>
              <w:top w:w="28" w:type="dxa"/>
              <w:left w:w="28" w:type="dxa"/>
              <w:bottom w:w="28" w:type="dxa"/>
              <w:right w:w="28" w:type="dxa"/>
            </w:tcMar>
            <w:vAlign w:val="center"/>
          </w:tcPr>
          <w:p w14:paraId="47DBC7CD">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1808</w:t>
            </w:r>
          </w:p>
        </w:tc>
      </w:tr>
      <w:tr w14:paraId="5A531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32" w:type="pct"/>
            <w:tcBorders>
              <w:tl2br w:val="nil"/>
              <w:tr2bl w:val="nil"/>
            </w:tcBorders>
            <w:noWrap w:val="0"/>
            <w:tcMar>
              <w:top w:w="28" w:type="dxa"/>
              <w:left w:w="28" w:type="dxa"/>
              <w:bottom w:w="28" w:type="dxa"/>
              <w:right w:w="28" w:type="dxa"/>
            </w:tcMar>
            <w:vAlign w:val="center"/>
          </w:tcPr>
          <w:p w14:paraId="4AE0D369">
            <w:pPr>
              <w:pStyle w:val="19"/>
              <w:keepNext w:val="0"/>
              <w:keepLines w:val="0"/>
              <w:widowControl w:val="0"/>
              <w:suppressLineNumbers w:val="0"/>
              <w:overflowPunct w:val="0"/>
              <w:autoSpaceDE w:val="0"/>
              <w:autoSpaceDN w:val="0"/>
              <w:adjustRightInd w:val="0"/>
              <w:snapToGrid w:val="0"/>
              <w:spacing w:before="100" w:beforeAutospacing="1" w:after="100" w:afterAutospacing="1" w:line="240" w:lineRule="auto"/>
              <w:ind w:left="0" w:right="0" w:firstLine="0" w:firstLineChars="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小沔枢纽互通H匝道</w:t>
            </w:r>
          </w:p>
        </w:tc>
        <w:tc>
          <w:tcPr>
            <w:tcW w:w="2281" w:type="dxa"/>
            <w:tcBorders>
              <w:tl2br w:val="nil"/>
              <w:tr2bl w:val="nil"/>
            </w:tcBorders>
            <w:noWrap w:val="0"/>
            <w:tcMar>
              <w:top w:w="28" w:type="dxa"/>
              <w:left w:w="28" w:type="dxa"/>
              <w:bottom w:w="28" w:type="dxa"/>
              <w:right w:w="28" w:type="dxa"/>
            </w:tcMar>
            <w:vAlign w:val="center"/>
          </w:tcPr>
          <w:p w14:paraId="395E1D32">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2246</w:t>
            </w:r>
          </w:p>
        </w:tc>
        <w:tc>
          <w:tcPr>
            <w:tcW w:w="2279" w:type="dxa"/>
            <w:tcBorders>
              <w:tl2br w:val="nil"/>
              <w:tr2bl w:val="nil"/>
            </w:tcBorders>
            <w:noWrap w:val="0"/>
            <w:tcMar>
              <w:top w:w="28" w:type="dxa"/>
              <w:left w:w="28" w:type="dxa"/>
              <w:bottom w:w="28" w:type="dxa"/>
              <w:right w:w="28" w:type="dxa"/>
            </w:tcMar>
            <w:vAlign w:val="center"/>
          </w:tcPr>
          <w:p w14:paraId="073C8F35">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3352</w:t>
            </w:r>
          </w:p>
        </w:tc>
        <w:tc>
          <w:tcPr>
            <w:tcW w:w="2502" w:type="dxa"/>
            <w:tcBorders>
              <w:tl2br w:val="nil"/>
              <w:tr2bl w:val="nil"/>
            </w:tcBorders>
            <w:noWrap w:val="0"/>
            <w:tcMar>
              <w:top w:w="28" w:type="dxa"/>
              <w:left w:w="28" w:type="dxa"/>
              <w:bottom w:w="28" w:type="dxa"/>
              <w:right w:w="28" w:type="dxa"/>
            </w:tcMar>
            <w:vAlign w:val="center"/>
          </w:tcPr>
          <w:p w14:paraId="3E093179">
            <w:pPr>
              <w:pStyle w:val="37"/>
              <w:bidi w:val="0"/>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4962</w:t>
            </w:r>
          </w:p>
        </w:tc>
      </w:tr>
    </w:tbl>
    <w:p w14:paraId="22BEA2F4">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1"/>
        <w:textAlignment w:val="baseline"/>
        <w:rPr>
          <w:rFonts w:hint="default" w:ascii="Times New Roman" w:hAnsi="Times New Roman" w:eastAsia="宋体" w:cs="Times New Roman"/>
          <w:color w:val="auto"/>
          <w:spacing w:val="0"/>
          <w:w w:val="100"/>
          <w:kern w:val="0"/>
          <w:position w:val="0"/>
          <w:sz w:val="24"/>
          <w:szCs w:val="24"/>
        </w:rPr>
      </w:pPr>
    </w:p>
    <w:p w14:paraId="0D4FDA14">
      <w:pPr>
        <w:pStyle w:val="4"/>
        <w:numPr>
          <w:ilvl w:val="2"/>
          <w:numId w:val="0"/>
        </w:numPr>
        <w:ind w:left="720" w:leftChars="0" w:hanging="720" w:firstLineChars="0"/>
        <w:rPr>
          <w:rFonts w:hint="default" w:ascii="Times New Roman" w:hAnsi="Times New Roman" w:cs="Times New Roman"/>
          <w:color w:val="auto"/>
        </w:rPr>
      </w:pPr>
      <w:r>
        <w:rPr>
          <w:rFonts w:hint="eastAsia" w:cs="Times New Roman"/>
          <w:b/>
          <w:bCs/>
          <w:color w:val="auto"/>
          <w:kern w:val="2"/>
          <w:sz w:val="30"/>
          <w:szCs w:val="32"/>
          <w:lang w:val="en-US" w:eastAsia="zh-CN" w:bidi="ar-SA"/>
        </w:rPr>
        <w:t>2.5</w:t>
      </w:r>
      <w:r>
        <w:rPr>
          <w:rFonts w:hint="default" w:ascii="Times New Roman" w:hAnsi="Times New Roman" w:eastAsia="宋体" w:cs="Times New Roman"/>
          <w:b/>
          <w:bCs/>
          <w:color w:val="auto"/>
          <w:kern w:val="2"/>
          <w:sz w:val="30"/>
          <w:szCs w:val="32"/>
          <w:lang w:val="en-US" w:eastAsia="zh-CN" w:bidi="ar-SA"/>
        </w:rPr>
        <w:t>.2</w:t>
      </w:r>
      <w:r>
        <w:rPr>
          <w:rFonts w:hint="default" w:ascii="Times New Roman" w:hAnsi="Times New Roman" w:cs="Times New Roman"/>
          <w:color w:val="auto"/>
        </w:rPr>
        <w:t>验收调查阶段实际交通量</w:t>
      </w:r>
    </w:p>
    <w:p w14:paraId="483BF8F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根据验收调查阶段24h噪声连续监测记录的交通量（2026年1月2</w:t>
      </w:r>
      <w:r>
        <w:rPr>
          <w:rFonts w:hint="eastAsia" w:ascii="Times New Roman" w:hAnsi="Times New Roman" w:cs="Times New Roman"/>
          <w:color w:val="auto"/>
          <w:szCs w:val="24"/>
          <w:lang w:val="en-US" w:eastAsia="zh-CN"/>
        </w:rPr>
        <w:t>2</w:t>
      </w:r>
      <w:r>
        <w:rPr>
          <w:rFonts w:hint="default" w:ascii="Times New Roman" w:hAnsi="Times New Roman" w:cs="Times New Roman"/>
          <w:color w:val="auto"/>
          <w:szCs w:val="24"/>
        </w:rPr>
        <w:t>日至2026年1月2</w:t>
      </w:r>
      <w:r>
        <w:rPr>
          <w:rFonts w:hint="eastAsia" w:ascii="Times New Roman" w:hAnsi="Times New Roman" w:cs="Times New Roman"/>
          <w:color w:val="auto"/>
          <w:szCs w:val="24"/>
          <w:lang w:val="en-US" w:eastAsia="zh-CN"/>
        </w:rPr>
        <w:t>3</w:t>
      </w:r>
      <w:r>
        <w:rPr>
          <w:rFonts w:hint="default" w:ascii="Times New Roman" w:hAnsi="Times New Roman" w:cs="Times New Roman"/>
          <w:color w:val="auto"/>
          <w:szCs w:val="24"/>
        </w:rPr>
        <w:t>日），统计可得：</w:t>
      </w:r>
    </w:p>
    <w:p w14:paraId="396FFC7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根据桂花村官山梁子</w:t>
      </w:r>
      <w:r>
        <w:rPr>
          <w:rFonts w:hint="eastAsia" w:ascii="Times New Roman" w:hAnsi="Times New Roman" w:cs="Times New Roman"/>
          <w:color w:val="auto"/>
          <w:szCs w:val="24"/>
          <w:lang w:val="en-US" w:eastAsia="zh-CN"/>
        </w:rPr>
        <w:t>处</w:t>
      </w:r>
      <w:r>
        <w:rPr>
          <w:rFonts w:hint="default" w:ascii="Times New Roman" w:hAnsi="Times New Roman" w:cs="Times New Roman"/>
          <w:color w:val="auto"/>
          <w:szCs w:val="24"/>
        </w:rPr>
        <w:t>24小时监测数据，该点位车流量为</w:t>
      </w:r>
      <w:r>
        <w:rPr>
          <w:rFonts w:hint="eastAsia" w:cs="Times New Roman"/>
          <w:color w:val="auto"/>
          <w:lang w:val="en-US" w:eastAsia="zh-CN"/>
        </w:rPr>
        <w:t>8442</w:t>
      </w:r>
      <w:r>
        <w:rPr>
          <w:rFonts w:hint="eastAsia" w:cs="Times New Roman"/>
          <w:color w:val="auto"/>
          <w:szCs w:val="24"/>
          <w:lang w:val="en-US" w:eastAsia="zh-CN"/>
        </w:rPr>
        <w:t>pcu</w:t>
      </w:r>
      <w:r>
        <w:rPr>
          <w:rFonts w:hint="default" w:ascii="Times New Roman" w:hAnsi="Times New Roman" w:cs="Times New Roman"/>
          <w:color w:val="auto"/>
          <w:szCs w:val="24"/>
        </w:rPr>
        <w:t>/日，为重新报批</w:t>
      </w:r>
      <w:r>
        <w:rPr>
          <w:rFonts w:hint="eastAsia" w:cs="Times New Roman"/>
          <w:color w:val="auto"/>
          <w:szCs w:val="24"/>
          <w:lang w:eastAsia="zh-CN"/>
        </w:rPr>
        <w:t>环评阶段</w:t>
      </w:r>
      <w:r>
        <w:rPr>
          <w:rFonts w:hint="default" w:ascii="Times New Roman" w:hAnsi="Times New Roman" w:cs="Times New Roman"/>
          <w:color w:val="auto"/>
          <w:szCs w:val="24"/>
        </w:rPr>
        <w:t>营运</w:t>
      </w:r>
      <w:r>
        <w:rPr>
          <w:rFonts w:hint="eastAsia" w:cs="Times New Roman"/>
          <w:color w:val="auto"/>
          <w:szCs w:val="24"/>
          <w:lang w:val="en-US" w:eastAsia="zh-CN"/>
        </w:rPr>
        <w:t>近</w:t>
      </w:r>
      <w:r>
        <w:rPr>
          <w:rFonts w:hint="default" w:ascii="Times New Roman" w:hAnsi="Times New Roman" w:cs="Times New Roman"/>
          <w:color w:val="auto"/>
          <w:szCs w:val="24"/>
        </w:rPr>
        <w:t>期</w:t>
      </w:r>
      <w:r>
        <w:rPr>
          <w:rFonts w:hint="default" w:ascii="Times New Roman" w:hAnsi="Times New Roman" w:cs="Times New Roman"/>
          <w:color w:val="auto"/>
          <w:szCs w:val="24"/>
          <w:lang w:eastAsia="zh-CN"/>
        </w:rPr>
        <w:t>20</w:t>
      </w:r>
      <w:r>
        <w:rPr>
          <w:rFonts w:hint="eastAsia" w:cs="Times New Roman"/>
          <w:color w:val="auto"/>
          <w:szCs w:val="24"/>
          <w:lang w:val="en-US" w:eastAsia="zh-CN"/>
        </w:rPr>
        <w:t>26</w:t>
      </w:r>
      <w:r>
        <w:rPr>
          <w:rFonts w:hint="default" w:ascii="Times New Roman" w:hAnsi="Times New Roman" w:cs="Times New Roman"/>
          <w:color w:val="auto"/>
          <w:szCs w:val="24"/>
          <w:lang w:eastAsia="zh-CN"/>
        </w:rPr>
        <w:t>年车</w:t>
      </w:r>
      <w:r>
        <w:rPr>
          <w:rFonts w:hint="default" w:ascii="Times New Roman" w:hAnsi="Times New Roman" w:cs="Times New Roman"/>
          <w:color w:val="auto"/>
          <w:szCs w:val="24"/>
        </w:rPr>
        <w:t>流量</w:t>
      </w:r>
      <w:r>
        <w:rPr>
          <w:rFonts w:hint="eastAsia" w:cs="Times New Roman"/>
          <w:color w:val="auto"/>
          <w:szCs w:val="24"/>
          <w:lang w:eastAsia="zh-CN"/>
        </w:rPr>
        <w:t>（</w:t>
      </w:r>
      <w:r>
        <w:rPr>
          <w:rFonts w:hint="default" w:ascii="Times New Roman" w:hAnsi="Times New Roman" w:eastAsia="宋体" w:cs="Times New Roman"/>
          <w:color w:val="auto"/>
          <w:lang w:val="en-US" w:eastAsia="zh-CN"/>
        </w:rPr>
        <w:t>9063</w:t>
      </w:r>
      <w:r>
        <w:rPr>
          <w:rFonts w:hint="eastAsia" w:cs="Times New Roman"/>
          <w:color w:val="auto"/>
          <w:szCs w:val="24"/>
          <w:lang w:val="en-US" w:eastAsia="zh-CN"/>
        </w:rPr>
        <w:t>pcu</w:t>
      </w:r>
      <w:r>
        <w:rPr>
          <w:rFonts w:hint="default" w:ascii="Times New Roman" w:hAnsi="Times New Roman" w:cs="Times New Roman"/>
          <w:color w:val="auto"/>
          <w:szCs w:val="24"/>
        </w:rPr>
        <w:t>/日</w:t>
      </w:r>
      <w:r>
        <w:rPr>
          <w:rFonts w:hint="eastAsia" w:cs="Times New Roman"/>
          <w:color w:val="auto"/>
          <w:szCs w:val="24"/>
          <w:lang w:eastAsia="zh-CN"/>
        </w:rPr>
        <w:t>）</w:t>
      </w:r>
      <w:r>
        <w:rPr>
          <w:rFonts w:hint="default" w:ascii="Times New Roman" w:hAnsi="Times New Roman" w:cs="Times New Roman"/>
          <w:color w:val="auto"/>
          <w:szCs w:val="24"/>
        </w:rPr>
        <w:t>的</w:t>
      </w:r>
      <w:r>
        <w:rPr>
          <w:rFonts w:hint="eastAsia" w:cs="Times New Roman"/>
          <w:color w:val="auto"/>
          <w:szCs w:val="24"/>
          <w:lang w:val="en-US" w:eastAsia="zh-CN"/>
        </w:rPr>
        <w:t>93.15</w:t>
      </w:r>
      <w:r>
        <w:rPr>
          <w:rFonts w:hint="default" w:ascii="Times New Roman" w:hAnsi="Times New Roman" w:cs="Times New Roman"/>
          <w:color w:val="auto"/>
          <w:szCs w:val="24"/>
        </w:rPr>
        <w:t>%。</w:t>
      </w:r>
    </w:p>
    <w:p w14:paraId="26E23848">
      <w:pPr>
        <w:pStyle w:val="24"/>
        <w:ind w:firstLine="480"/>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注：</w:t>
      </w:r>
      <w:r>
        <w:rPr>
          <w:rFonts w:hint="eastAsia" w:ascii="Times New Roman" w:hAnsi="Times New Roman" w:cs="Times New Roman"/>
          <w:b/>
          <w:bCs/>
          <w:color w:val="auto"/>
          <w:sz w:val="21"/>
          <w:szCs w:val="21"/>
          <w:lang w:val="en-US" w:eastAsia="zh-CN"/>
        </w:rPr>
        <w:t>鉴于验收检测期间，车流量计数过程中</w:t>
      </w:r>
      <w:r>
        <w:rPr>
          <w:rFonts w:hint="eastAsia" w:cs="Times New Roman"/>
          <w:b/>
          <w:bCs/>
          <w:color w:val="auto"/>
          <w:sz w:val="21"/>
          <w:szCs w:val="21"/>
          <w:lang w:val="en-US" w:eastAsia="zh-CN"/>
        </w:rPr>
        <w:t>未</w:t>
      </w:r>
      <w:r>
        <w:rPr>
          <w:rFonts w:hint="eastAsia" w:ascii="Times New Roman" w:hAnsi="Times New Roman" w:cs="Times New Roman"/>
          <w:b/>
          <w:bCs/>
          <w:color w:val="auto"/>
          <w:sz w:val="21"/>
          <w:szCs w:val="21"/>
          <w:lang w:val="en-US" w:eastAsia="zh-CN"/>
        </w:rPr>
        <w:t>详细列出中小型车辆数目，本次统计过程中考虑最不利原则，中</w:t>
      </w:r>
      <w:r>
        <w:rPr>
          <w:rFonts w:hint="eastAsia" w:cs="Times New Roman"/>
          <w:b/>
          <w:bCs/>
          <w:color w:val="auto"/>
          <w:sz w:val="21"/>
          <w:szCs w:val="21"/>
          <w:lang w:val="en-US" w:eastAsia="zh-CN"/>
        </w:rPr>
        <w:t>、</w:t>
      </w:r>
      <w:r>
        <w:rPr>
          <w:rFonts w:hint="eastAsia" w:ascii="Times New Roman" w:hAnsi="Times New Roman" w:cs="Times New Roman"/>
          <w:b/>
          <w:bCs/>
          <w:color w:val="auto"/>
          <w:sz w:val="21"/>
          <w:szCs w:val="21"/>
          <w:lang w:val="en-US" w:eastAsia="zh-CN"/>
        </w:rPr>
        <w:t>小型车辆折算系数为1.5。</w:t>
      </w:r>
    </w:p>
    <w:p w14:paraId="786C9C38">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2.5</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eastAsia" w:cs="Times New Roman"/>
          <w:color w:val="auto"/>
          <w:lang w:val="en-US" w:eastAsia="zh-CN"/>
        </w:rPr>
        <w:t>2</w:t>
      </w:r>
      <w:r>
        <w:rPr>
          <w:rFonts w:hint="default" w:ascii="Times New Roman" w:hAnsi="Times New Roman" w:cs="Times New Roman"/>
          <w:color w:val="auto"/>
        </w:rPr>
        <w:t>工程车流量及车型比情况</w:t>
      </w:r>
    </w:p>
    <w:tbl>
      <w:tblPr>
        <w:tblStyle w:val="2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166"/>
        <w:gridCol w:w="1340"/>
        <w:gridCol w:w="1604"/>
        <w:gridCol w:w="1606"/>
        <w:gridCol w:w="1617"/>
      </w:tblGrid>
      <w:tr w14:paraId="523C6B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1299" w:type="pct"/>
            <w:vMerge w:val="restart"/>
            <w:noWrap/>
            <w:tcMar>
              <w:top w:w="15" w:type="dxa"/>
              <w:left w:w="15" w:type="dxa"/>
              <w:right w:w="15" w:type="dxa"/>
            </w:tcMar>
            <w:vAlign w:val="center"/>
          </w:tcPr>
          <w:p w14:paraId="2232036A">
            <w:pPr>
              <w:pStyle w:val="29"/>
              <w:rPr>
                <w:rFonts w:hint="default" w:ascii="Times New Roman" w:hAnsi="Times New Roman" w:cs="Times New Roman"/>
                <w:color w:val="auto"/>
              </w:rPr>
            </w:pPr>
            <w:r>
              <w:rPr>
                <w:rFonts w:hint="default" w:ascii="Times New Roman" w:hAnsi="Times New Roman" w:cs="Times New Roman"/>
                <w:color w:val="auto"/>
              </w:rPr>
              <w:t>路段</w:t>
            </w:r>
          </w:p>
        </w:tc>
        <w:tc>
          <w:tcPr>
            <w:tcW w:w="804" w:type="pct"/>
            <w:vMerge w:val="restart"/>
            <w:noWrap/>
            <w:tcMar>
              <w:top w:w="15" w:type="dxa"/>
              <w:left w:w="15" w:type="dxa"/>
              <w:right w:w="15" w:type="dxa"/>
            </w:tcMar>
            <w:vAlign w:val="center"/>
          </w:tcPr>
          <w:p w14:paraId="1E9025F3">
            <w:pPr>
              <w:pStyle w:val="29"/>
              <w:rPr>
                <w:rFonts w:hint="default" w:ascii="Times New Roman" w:hAnsi="Times New Roman" w:cs="Times New Roman"/>
                <w:color w:val="auto"/>
              </w:rPr>
            </w:pPr>
            <w:r>
              <w:rPr>
                <w:rFonts w:hint="default" w:ascii="Times New Roman" w:hAnsi="Times New Roman" w:cs="Times New Roman"/>
                <w:color w:val="auto"/>
              </w:rPr>
              <w:t>车型</w:t>
            </w:r>
          </w:p>
        </w:tc>
        <w:tc>
          <w:tcPr>
            <w:tcW w:w="2895" w:type="pct"/>
            <w:gridSpan w:val="3"/>
            <w:noWrap/>
            <w:tcMar>
              <w:top w:w="15" w:type="dxa"/>
              <w:left w:w="15" w:type="dxa"/>
              <w:right w:w="15" w:type="dxa"/>
            </w:tcMar>
            <w:vAlign w:val="center"/>
          </w:tcPr>
          <w:p w14:paraId="163ACB46">
            <w:pPr>
              <w:pStyle w:val="29"/>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车流量</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辆</w:t>
            </w:r>
            <w:r>
              <w:rPr>
                <w:rFonts w:hint="eastAsia" w:ascii="Times New Roman" w:hAnsi="Times New Roman" w:eastAsia="宋体" w:cs="Times New Roman"/>
                <w:color w:val="auto"/>
                <w:lang w:eastAsia="zh-CN"/>
              </w:rPr>
              <w:t>）</w:t>
            </w:r>
          </w:p>
        </w:tc>
      </w:tr>
      <w:tr w14:paraId="5B9861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299" w:type="pct"/>
            <w:vMerge w:val="continue"/>
            <w:noWrap/>
            <w:tcMar>
              <w:top w:w="15" w:type="dxa"/>
              <w:left w:w="15" w:type="dxa"/>
              <w:right w:w="15" w:type="dxa"/>
            </w:tcMar>
            <w:vAlign w:val="center"/>
          </w:tcPr>
          <w:p w14:paraId="42228AC8">
            <w:pPr>
              <w:pStyle w:val="29"/>
              <w:rPr>
                <w:rFonts w:hint="default" w:ascii="Times New Roman" w:hAnsi="Times New Roman" w:cs="Times New Roman"/>
                <w:color w:val="auto"/>
              </w:rPr>
            </w:pPr>
          </w:p>
        </w:tc>
        <w:tc>
          <w:tcPr>
            <w:tcW w:w="804" w:type="pct"/>
            <w:vMerge w:val="continue"/>
            <w:noWrap/>
            <w:tcMar>
              <w:top w:w="15" w:type="dxa"/>
              <w:left w:w="15" w:type="dxa"/>
              <w:right w:w="15" w:type="dxa"/>
            </w:tcMar>
            <w:vAlign w:val="center"/>
          </w:tcPr>
          <w:p w14:paraId="13396DC0">
            <w:pPr>
              <w:pStyle w:val="29"/>
              <w:rPr>
                <w:rFonts w:hint="default" w:ascii="Times New Roman" w:hAnsi="Times New Roman" w:cs="Times New Roman"/>
                <w:color w:val="auto"/>
              </w:rPr>
            </w:pPr>
          </w:p>
        </w:tc>
        <w:tc>
          <w:tcPr>
            <w:tcW w:w="962" w:type="pct"/>
            <w:noWrap/>
            <w:tcMar>
              <w:top w:w="15" w:type="dxa"/>
              <w:left w:w="15" w:type="dxa"/>
              <w:right w:w="15" w:type="dxa"/>
            </w:tcMar>
            <w:vAlign w:val="center"/>
          </w:tcPr>
          <w:p w14:paraId="6C4FFC7F">
            <w:pPr>
              <w:pStyle w:val="29"/>
              <w:rPr>
                <w:rFonts w:hint="default" w:ascii="Times New Roman" w:hAnsi="Times New Roman" w:eastAsia="宋体" w:cs="Times New Roman"/>
                <w:color w:val="auto"/>
              </w:rPr>
            </w:pPr>
            <w:r>
              <w:rPr>
                <w:rFonts w:hint="default" w:ascii="Times New Roman" w:hAnsi="Times New Roman" w:eastAsia="宋体" w:cs="Times New Roman"/>
                <w:color w:val="auto"/>
              </w:rPr>
              <w:t>昼间</w:t>
            </w:r>
          </w:p>
        </w:tc>
        <w:tc>
          <w:tcPr>
            <w:tcW w:w="963" w:type="pct"/>
            <w:noWrap/>
            <w:tcMar>
              <w:top w:w="15" w:type="dxa"/>
              <w:left w:w="15" w:type="dxa"/>
              <w:right w:w="15" w:type="dxa"/>
            </w:tcMar>
            <w:vAlign w:val="center"/>
          </w:tcPr>
          <w:p w14:paraId="11F3F716">
            <w:pPr>
              <w:pStyle w:val="29"/>
              <w:rPr>
                <w:rFonts w:hint="default" w:ascii="Times New Roman" w:hAnsi="Times New Roman" w:eastAsia="宋体" w:cs="Times New Roman"/>
                <w:color w:val="auto"/>
              </w:rPr>
            </w:pPr>
            <w:r>
              <w:rPr>
                <w:rFonts w:hint="default" w:ascii="Times New Roman" w:hAnsi="Times New Roman" w:eastAsia="宋体" w:cs="Times New Roman"/>
                <w:color w:val="auto"/>
              </w:rPr>
              <w:t>夜间</w:t>
            </w:r>
          </w:p>
        </w:tc>
        <w:tc>
          <w:tcPr>
            <w:tcW w:w="969" w:type="pct"/>
            <w:noWrap/>
            <w:tcMar>
              <w:top w:w="15" w:type="dxa"/>
              <w:left w:w="15" w:type="dxa"/>
              <w:right w:w="15" w:type="dxa"/>
            </w:tcMar>
            <w:vAlign w:val="center"/>
          </w:tcPr>
          <w:p w14:paraId="2D6BF4F7">
            <w:pPr>
              <w:pStyle w:val="29"/>
              <w:rPr>
                <w:rFonts w:hint="default" w:ascii="Times New Roman" w:hAnsi="Times New Roman" w:eastAsia="宋体" w:cs="Times New Roman"/>
                <w:color w:val="auto"/>
              </w:rPr>
            </w:pPr>
            <w:r>
              <w:rPr>
                <w:rFonts w:hint="default" w:ascii="Times New Roman" w:hAnsi="Times New Roman" w:eastAsia="宋体" w:cs="Times New Roman"/>
                <w:color w:val="auto"/>
              </w:rPr>
              <w:t>全天</w:t>
            </w:r>
          </w:p>
        </w:tc>
      </w:tr>
      <w:tr w14:paraId="3F5766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299" w:type="pct"/>
            <w:vMerge w:val="restart"/>
            <w:noWrap/>
            <w:tcMar>
              <w:top w:w="15" w:type="dxa"/>
              <w:left w:w="15" w:type="dxa"/>
              <w:right w:w="15" w:type="dxa"/>
            </w:tcMar>
            <w:vAlign w:val="center"/>
          </w:tcPr>
          <w:p w14:paraId="2C3F5468">
            <w:pPr>
              <w:pStyle w:val="29"/>
              <w:rPr>
                <w:rFonts w:hint="default" w:ascii="Times New Roman" w:hAnsi="Times New Roman" w:cs="Times New Roman"/>
                <w:color w:val="auto"/>
              </w:rPr>
            </w:pPr>
            <w:r>
              <w:rPr>
                <w:rFonts w:hint="default" w:ascii="Times New Roman" w:hAnsi="Times New Roman" w:cs="Times New Roman"/>
                <w:color w:val="auto"/>
                <w:szCs w:val="24"/>
              </w:rPr>
              <w:t>桂花村官山梁子（C1）</w:t>
            </w:r>
          </w:p>
        </w:tc>
        <w:tc>
          <w:tcPr>
            <w:tcW w:w="804" w:type="pct"/>
            <w:noWrap/>
            <w:tcMar>
              <w:top w:w="15" w:type="dxa"/>
              <w:left w:w="15" w:type="dxa"/>
              <w:right w:w="15" w:type="dxa"/>
            </w:tcMar>
            <w:vAlign w:val="center"/>
          </w:tcPr>
          <w:p w14:paraId="36F46077">
            <w:pPr>
              <w:pStyle w:val="29"/>
              <w:rPr>
                <w:rFonts w:hint="default" w:ascii="Times New Roman" w:hAnsi="Times New Roman" w:cs="Times New Roman"/>
                <w:color w:val="auto"/>
              </w:rPr>
            </w:pPr>
            <w:r>
              <w:rPr>
                <w:rFonts w:hint="default" w:ascii="Times New Roman" w:hAnsi="Times New Roman" w:cs="Times New Roman"/>
                <w:color w:val="auto"/>
                <w:kern w:val="0"/>
                <w:lang w:bidi="ar"/>
              </w:rPr>
              <w:t>大型车</w:t>
            </w:r>
          </w:p>
        </w:tc>
        <w:tc>
          <w:tcPr>
            <w:tcW w:w="962" w:type="pct"/>
            <w:noWrap/>
            <w:tcMar>
              <w:top w:w="15" w:type="dxa"/>
              <w:left w:w="15" w:type="dxa"/>
              <w:right w:w="15" w:type="dxa"/>
            </w:tcMar>
            <w:vAlign w:val="center"/>
          </w:tcPr>
          <w:p w14:paraId="5D32C5F7">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468</w:t>
            </w:r>
          </w:p>
        </w:tc>
        <w:tc>
          <w:tcPr>
            <w:tcW w:w="963" w:type="pct"/>
            <w:noWrap/>
            <w:tcMar>
              <w:top w:w="15" w:type="dxa"/>
              <w:left w:w="15" w:type="dxa"/>
              <w:right w:w="15" w:type="dxa"/>
            </w:tcMar>
            <w:vAlign w:val="center"/>
          </w:tcPr>
          <w:p w14:paraId="58CAB2B0">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105</w:t>
            </w:r>
          </w:p>
        </w:tc>
        <w:tc>
          <w:tcPr>
            <w:tcW w:w="969" w:type="pct"/>
            <w:noWrap w:val="0"/>
            <w:tcMar>
              <w:top w:w="15" w:type="dxa"/>
              <w:left w:w="15" w:type="dxa"/>
              <w:right w:w="15" w:type="dxa"/>
            </w:tcMar>
            <w:vAlign w:val="center"/>
          </w:tcPr>
          <w:p w14:paraId="7776114F">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573</w:t>
            </w:r>
          </w:p>
        </w:tc>
      </w:tr>
      <w:tr w14:paraId="5492E7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299" w:type="pct"/>
            <w:vMerge w:val="continue"/>
            <w:noWrap/>
            <w:tcMar>
              <w:top w:w="15" w:type="dxa"/>
              <w:left w:w="15" w:type="dxa"/>
              <w:right w:w="15" w:type="dxa"/>
            </w:tcMar>
            <w:vAlign w:val="center"/>
          </w:tcPr>
          <w:p w14:paraId="3C3FB03E">
            <w:pPr>
              <w:pStyle w:val="29"/>
              <w:rPr>
                <w:rFonts w:hint="default" w:ascii="Times New Roman" w:hAnsi="Times New Roman" w:cs="Times New Roman"/>
                <w:color w:val="auto"/>
              </w:rPr>
            </w:pPr>
          </w:p>
        </w:tc>
        <w:tc>
          <w:tcPr>
            <w:tcW w:w="804" w:type="pct"/>
            <w:noWrap/>
            <w:tcMar>
              <w:top w:w="15" w:type="dxa"/>
              <w:left w:w="15" w:type="dxa"/>
              <w:right w:w="15" w:type="dxa"/>
            </w:tcMar>
            <w:vAlign w:val="center"/>
          </w:tcPr>
          <w:p w14:paraId="725701A1">
            <w:pPr>
              <w:pStyle w:val="29"/>
              <w:rPr>
                <w:rFonts w:hint="default" w:ascii="Times New Roman" w:hAnsi="Times New Roman" w:cs="Times New Roman"/>
                <w:color w:val="auto"/>
                <w:kern w:val="0"/>
                <w:lang w:bidi="ar"/>
              </w:rPr>
            </w:pPr>
            <w:r>
              <w:rPr>
                <w:rFonts w:hint="default" w:ascii="Times New Roman" w:hAnsi="Times New Roman" w:cs="Times New Roman"/>
                <w:color w:val="auto"/>
                <w:kern w:val="0"/>
                <w:lang w:bidi="ar"/>
              </w:rPr>
              <w:t>中</w:t>
            </w:r>
            <w:r>
              <w:rPr>
                <w:rFonts w:hint="eastAsia" w:cs="Times New Roman"/>
                <w:color w:val="auto"/>
                <w:kern w:val="0"/>
                <w:lang w:eastAsia="zh-CN" w:bidi="ar"/>
              </w:rPr>
              <w:t>、</w:t>
            </w:r>
            <w:r>
              <w:rPr>
                <w:rFonts w:hint="eastAsia" w:cs="Times New Roman"/>
                <w:color w:val="auto"/>
                <w:kern w:val="0"/>
                <w:lang w:val="en-US" w:eastAsia="zh-CN" w:bidi="ar"/>
              </w:rPr>
              <w:t>小</w:t>
            </w:r>
            <w:r>
              <w:rPr>
                <w:rFonts w:hint="default" w:ascii="Times New Roman" w:hAnsi="Times New Roman" w:cs="Times New Roman"/>
                <w:color w:val="auto"/>
                <w:kern w:val="0"/>
                <w:lang w:bidi="ar"/>
              </w:rPr>
              <w:t>型车</w:t>
            </w:r>
          </w:p>
        </w:tc>
        <w:tc>
          <w:tcPr>
            <w:tcW w:w="962" w:type="pct"/>
            <w:noWrap/>
            <w:tcMar>
              <w:top w:w="15" w:type="dxa"/>
              <w:left w:w="15" w:type="dxa"/>
              <w:right w:w="15" w:type="dxa"/>
            </w:tcMar>
            <w:vAlign w:val="center"/>
          </w:tcPr>
          <w:p w14:paraId="4F532289">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4146</w:t>
            </w:r>
          </w:p>
        </w:tc>
        <w:tc>
          <w:tcPr>
            <w:tcW w:w="963" w:type="pct"/>
            <w:noWrap/>
            <w:tcMar>
              <w:top w:w="15" w:type="dxa"/>
              <w:left w:w="15" w:type="dxa"/>
              <w:right w:w="15" w:type="dxa"/>
            </w:tcMar>
            <w:vAlign w:val="center"/>
          </w:tcPr>
          <w:p w14:paraId="2A4F1F32">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402</w:t>
            </w:r>
          </w:p>
        </w:tc>
        <w:tc>
          <w:tcPr>
            <w:tcW w:w="969" w:type="pct"/>
            <w:noWrap w:val="0"/>
            <w:tcMar>
              <w:top w:w="15" w:type="dxa"/>
              <w:left w:w="15" w:type="dxa"/>
              <w:right w:w="15" w:type="dxa"/>
            </w:tcMar>
            <w:vAlign w:val="center"/>
          </w:tcPr>
          <w:p w14:paraId="4F59E26D">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4548</w:t>
            </w:r>
          </w:p>
        </w:tc>
      </w:tr>
      <w:tr w14:paraId="32936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1299" w:type="pct"/>
            <w:vMerge w:val="continue"/>
            <w:noWrap/>
            <w:tcMar>
              <w:top w:w="15" w:type="dxa"/>
              <w:left w:w="15" w:type="dxa"/>
              <w:right w:w="15" w:type="dxa"/>
            </w:tcMar>
            <w:vAlign w:val="center"/>
          </w:tcPr>
          <w:p w14:paraId="21E67C2D">
            <w:pPr>
              <w:pStyle w:val="29"/>
              <w:rPr>
                <w:rFonts w:hint="default" w:ascii="Times New Roman" w:hAnsi="Times New Roman" w:cs="Times New Roman"/>
                <w:color w:val="auto"/>
              </w:rPr>
            </w:pPr>
          </w:p>
        </w:tc>
        <w:tc>
          <w:tcPr>
            <w:tcW w:w="804" w:type="pct"/>
            <w:noWrap/>
            <w:tcMar>
              <w:top w:w="15" w:type="dxa"/>
              <w:left w:w="15" w:type="dxa"/>
              <w:right w:w="15" w:type="dxa"/>
            </w:tcMar>
            <w:vAlign w:val="center"/>
          </w:tcPr>
          <w:p w14:paraId="768E6348">
            <w:pPr>
              <w:pStyle w:val="29"/>
              <w:rPr>
                <w:rFonts w:hint="eastAsia" w:ascii="Times New Roman" w:hAnsi="Times New Roman" w:eastAsia="宋体" w:cs="Times New Roman"/>
                <w:color w:val="auto"/>
                <w:lang w:eastAsia="zh-CN"/>
              </w:rPr>
            </w:pPr>
            <w:r>
              <w:rPr>
                <w:rFonts w:hint="default" w:ascii="Times New Roman" w:hAnsi="Times New Roman" w:cs="Times New Roman"/>
                <w:color w:val="auto"/>
                <w:kern w:val="0"/>
                <w:lang w:bidi="ar"/>
              </w:rPr>
              <w:t>合计</w:t>
            </w:r>
            <w:r>
              <w:rPr>
                <w:rFonts w:hint="eastAsia" w:ascii="Times New Roman" w:hAnsi="Times New Roman" w:cs="Times New Roman"/>
                <w:color w:val="auto"/>
                <w:kern w:val="0"/>
                <w:lang w:eastAsia="zh-CN" w:bidi="ar"/>
              </w:rPr>
              <w:t>（</w:t>
            </w:r>
            <w:r>
              <w:rPr>
                <w:rFonts w:hint="eastAsia" w:ascii="Times New Roman" w:hAnsi="Times New Roman" w:cs="Times New Roman"/>
                <w:color w:val="auto"/>
                <w:kern w:val="0"/>
                <w:lang w:val="en-US" w:eastAsia="zh-CN" w:bidi="ar"/>
              </w:rPr>
              <w:t>pcu</w:t>
            </w:r>
            <w:r>
              <w:rPr>
                <w:rFonts w:hint="eastAsia" w:ascii="Times New Roman" w:hAnsi="Times New Roman" w:cs="Times New Roman"/>
                <w:color w:val="auto"/>
                <w:kern w:val="0"/>
                <w:lang w:eastAsia="zh-CN" w:bidi="ar"/>
              </w:rPr>
              <w:t>）</w:t>
            </w:r>
          </w:p>
        </w:tc>
        <w:tc>
          <w:tcPr>
            <w:tcW w:w="962" w:type="pct"/>
            <w:noWrap/>
            <w:tcMar>
              <w:top w:w="15" w:type="dxa"/>
              <w:left w:w="15" w:type="dxa"/>
              <w:right w:w="15" w:type="dxa"/>
            </w:tcMar>
            <w:vAlign w:val="center"/>
          </w:tcPr>
          <w:p w14:paraId="6DCFD08C">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6921</w:t>
            </w:r>
          </w:p>
        </w:tc>
        <w:tc>
          <w:tcPr>
            <w:tcW w:w="963" w:type="pct"/>
            <w:noWrap/>
            <w:tcMar>
              <w:top w:w="15" w:type="dxa"/>
              <w:left w:w="15" w:type="dxa"/>
              <w:right w:w="15" w:type="dxa"/>
            </w:tcMar>
            <w:vAlign w:val="center"/>
          </w:tcPr>
          <w:p w14:paraId="04DAC9AA">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1521</w:t>
            </w:r>
          </w:p>
        </w:tc>
        <w:tc>
          <w:tcPr>
            <w:tcW w:w="969" w:type="pct"/>
            <w:noWrap/>
            <w:tcMar>
              <w:top w:w="15" w:type="dxa"/>
              <w:left w:w="15" w:type="dxa"/>
              <w:right w:w="15" w:type="dxa"/>
            </w:tcMar>
            <w:vAlign w:val="center"/>
          </w:tcPr>
          <w:p w14:paraId="68EC690E">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8442</w:t>
            </w:r>
          </w:p>
        </w:tc>
      </w:tr>
    </w:tbl>
    <w:p w14:paraId="520ECF10">
      <w:pPr>
        <w:pStyle w:val="3"/>
        <w:numPr>
          <w:ilvl w:val="1"/>
          <w:numId w:val="0"/>
        </w:numPr>
        <w:ind w:left="578" w:leftChars="0" w:hanging="578" w:firstLineChars="0"/>
        <w:rPr>
          <w:rFonts w:hint="default" w:ascii="Times New Roman" w:hAnsi="Times New Roman" w:cs="Times New Roman"/>
          <w:color w:val="auto"/>
        </w:rPr>
      </w:pPr>
      <w:bookmarkStart w:id="79" w:name="_Toc5165"/>
      <w:bookmarkStart w:id="80" w:name="_Toc17706"/>
      <w:r>
        <w:rPr>
          <w:rFonts w:hint="eastAsia" w:ascii="Times New Roman" w:hAnsi="Times New Roman" w:cs="Times New Roman"/>
          <w:b/>
          <w:bCs/>
          <w:color w:val="auto"/>
          <w:kern w:val="2"/>
          <w:sz w:val="32"/>
          <w:szCs w:val="32"/>
          <w:lang w:val="en-US" w:eastAsia="zh-CN" w:bidi="ar-SA"/>
        </w:rPr>
        <w:t>2.6</w:t>
      </w:r>
      <w:r>
        <w:rPr>
          <w:rFonts w:hint="default" w:ascii="Times New Roman" w:hAnsi="Times New Roman" w:cs="Times New Roman"/>
          <w:color w:val="auto"/>
        </w:rPr>
        <w:t>环保投资</w:t>
      </w:r>
      <w:bookmarkEnd w:id="79"/>
      <w:bookmarkEnd w:id="80"/>
    </w:p>
    <w:p w14:paraId="460D969E">
      <w:pPr>
        <w:pStyle w:val="24"/>
        <w:ind w:firstLine="480"/>
        <w:rPr>
          <w:rFonts w:hint="default" w:ascii="Times New Roman" w:hAnsi="Times New Roman" w:cs="Times New Roman"/>
          <w:color w:val="auto"/>
          <w:szCs w:val="24"/>
        </w:rPr>
      </w:pPr>
      <w:r>
        <w:rPr>
          <w:rFonts w:hint="eastAsia" w:cs="Times New Roman"/>
          <w:color w:val="auto"/>
          <w:szCs w:val="24"/>
          <w:lang w:eastAsia="zh-CN"/>
        </w:rPr>
        <w:t>重新报批环评阶段</w:t>
      </w:r>
      <w:r>
        <w:rPr>
          <w:rFonts w:hint="default" w:ascii="Times New Roman" w:hAnsi="Times New Roman" w:cs="Times New Roman"/>
          <w:color w:val="auto"/>
          <w:szCs w:val="24"/>
        </w:rPr>
        <w:t>估算的环保投资为</w:t>
      </w:r>
      <w:r>
        <w:rPr>
          <w:rFonts w:hint="eastAsia" w:cs="Times New Roman"/>
          <w:snapToGrid w:val="0"/>
          <w:color w:val="auto"/>
          <w:szCs w:val="24"/>
          <w:lang w:val="en-US" w:eastAsia="zh-CN"/>
        </w:rPr>
        <w:t>8061.52</w:t>
      </w:r>
      <w:r>
        <w:rPr>
          <w:rFonts w:hint="default" w:ascii="Times New Roman" w:hAnsi="Times New Roman" w:cs="Times New Roman"/>
          <w:snapToGrid w:val="0"/>
          <w:color w:val="auto"/>
          <w:szCs w:val="24"/>
        </w:rPr>
        <w:t>万元</w:t>
      </w:r>
      <w:r>
        <w:rPr>
          <w:rFonts w:hint="default" w:ascii="Times New Roman" w:hAnsi="Times New Roman" w:cs="Times New Roman"/>
          <w:color w:val="auto"/>
          <w:szCs w:val="24"/>
        </w:rPr>
        <w:t>，占工程总投资</w:t>
      </w:r>
      <w:r>
        <w:rPr>
          <w:rFonts w:hint="eastAsia" w:ascii="Times New Roman" w:hAnsi="Times New Roman" w:cs="Times New Roman"/>
          <w:color w:val="auto"/>
          <w:szCs w:val="24"/>
          <w:lang w:val="en-US" w:eastAsia="zh-CN"/>
        </w:rPr>
        <w:t>88635.60万</w:t>
      </w:r>
      <w:r>
        <w:rPr>
          <w:rFonts w:hint="default" w:ascii="Times New Roman" w:hAnsi="Times New Roman" w:cs="Times New Roman"/>
          <w:color w:val="auto"/>
          <w:szCs w:val="24"/>
        </w:rPr>
        <w:t>元的比例为</w:t>
      </w:r>
      <w:r>
        <w:rPr>
          <w:rFonts w:hint="eastAsia" w:cs="Times New Roman"/>
          <w:snapToGrid w:val="0"/>
          <w:color w:val="auto"/>
          <w:szCs w:val="24"/>
          <w:lang w:val="en-US" w:eastAsia="zh-CN"/>
        </w:rPr>
        <w:t>9.1</w:t>
      </w:r>
      <w:r>
        <w:rPr>
          <w:rFonts w:hint="eastAsia" w:cs="Times New Roman"/>
          <w:snapToGrid w:val="0"/>
          <w:color w:val="auto"/>
          <w:szCs w:val="24"/>
          <w:lang w:eastAsia="zh-CN"/>
        </w:rPr>
        <w:t>%</w:t>
      </w:r>
      <w:r>
        <w:rPr>
          <w:rFonts w:hint="default" w:ascii="Times New Roman" w:hAnsi="Times New Roman" w:cs="Times New Roman"/>
          <w:color w:val="auto"/>
          <w:szCs w:val="24"/>
        </w:rPr>
        <w:t>。根据核查，验收调查阶段实际已投入的环保投资为</w:t>
      </w:r>
      <w:r>
        <w:rPr>
          <w:rFonts w:hint="eastAsia" w:cs="Times New Roman"/>
          <w:color w:val="auto"/>
          <w:szCs w:val="24"/>
          <w:lang w:val="en-US" w:eastAsia="zh-CN"/>
        </w:rPr>
        <w:t>7886.52</w:t>
      </w:r>
      <w:r>
        <w:rPr>
          <w:rFonts w:hint="default" w:ascii="Times New Roman" w:hAnsi="Times New Roman" w:cs="Times New Roman"/>
          <w:color w:val="auto"/>
          <w:szCs w:val="24"/>
        </w:rPr>
        <w:t>万元，占工程投资的</w:t>
      </w:r>
      <w:r>
        <w:rPr>
          <w:rFonts w:hint="eastAsia" w:cs="Times New Roman"/>
          <w:color w:val="auto"/>
          <w:szCs w:val="24"/>
          <w:lang w:val="en-US" w:eastAsia="zh-CN"/>
        </w:rPr>
        <w:t>8.90</w:t>
      </w:r>
      <w:r>
        <w:rPr>
          <w:rFonts w:hint="default" w:ascii="Times New Roman" w:hAnsi="Times New Roman" w:cs="Times New Roman"/>
          <w:color w:val="auto"/>
          <w:szCs w:val="24"/>
        </w:rPr>
        <w:t>%。工程环保投资具体见下表。</w:t>
      </w:r>
    </w:p>
    <w:p w14:paraId="1118E560">
      <w:pPr>
        <w:pStyle w:val="9"/>
        <w:rPr>
          <w:rFonts w:hint="default" w:ascii="Times New Roman" w:hAnsi="Times New Roman" w:cs="Times New Roman"/>
          <w:color w:val="auto"/>
        </w:rPr>
      </w:pPr>
      <w:bookmarkStart w:id="81" w:name="_Ref142825972"/>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2.6</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bookmarkEnd w:id="81"/>
      <w:r>
        <w:rPr>
          <w:rFonts w:hint="default" w:ascii="Times New Roman" w:hAnsi="Times New Roman" w:cs="Times New Roman"/>
          <w:color w:val="auto"/>
        </w:rPr>
        <w:t>工程环境保护环评、实际投资情况一览表</w:t>
      </w:r>
    </w:p>
    <w:tbl>
      <w:tblPr>
        <w:tblStyle w:val="36"/>
        <w:tblW w:w="4969" w:type="pct"/>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9"/>
        <w:gridCol w:w="3"/>
        <w:gridCol w:w="538"/>
        <w:gridCol w:w="2130"/>
        <w:gridCol w:w="1059"/>
        <w:gridCol w:w="1546"/>
        <w:gridCol w:w="914"/>
        <w:gridCol w:w="549"/>
        <w:gridCol w:w="823"/>
        <w:gridCol w:w="24"/>
      </w:tblGrid>
      <w:tr w14:paraId="312FAA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681" w:type="dxa"/>
            <w:gridSpan w:val="2"/>
            <w:tcBorders>
              <w:tl2br w:val="nil"/>
              <w:tr2bl w:val="nil"/>
            </w:tcBorders>
            <w:noWrap w:val="0"/>
            <w:vAlign w:val="center"/>
          </w:tcPr>
          <w:p w14:paraId="6EEC44F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时段</w:t>
            </w:r>
          </w:p>
        </w:tc>
        <w:tc>
          <w:tcPr>
            <w:tcW w:w="537" w:type="dxa"/>
            <w:tcBorders>
              <w:tl2br w:val="nil"/>
              <w:tr2bl w:val="nil"/>
            </w:tcBorders>
            <w:noWrap w:val="0"/>
            <w:vAlign w:val="center"/>
          </w:tcPr>
          <w:p w14:paraId="62CE9AD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 要素</w:t>
            </w:r>
          </w:p>
        </w:tc>
        <w:tc>
          <w:tcPr>
            <w:tcW w:w="2128" w:type="dxa"/>
            <w:tcBorders>
              <w:tl2br w:val="nil"/>
              <w:tr2bl w:val="nil"/>
            </w:tcBorders>
            <w:noWrap w:val="0"/>
            <w:vAlign w:val="center"/>
          </w:tcPr>
          <w:p w14:paraId="3ECDED2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环保设施</w:t>
            </w:r>
          </w:p>
        </w:tc>
        <w:tc>
          <w:tcPr>
            <w:tcW w:w="1058" w:type="dxa"/>
            <w:tcBorders>
              <w:tl2br w:val="nil"/>
              <w:tr2bl w:val="nil"/>
            </w:tcBorders>
            <w:noWrap w:val="0"/>
            <w:vAlign w:val="center"/>
          </w:tcPr>
          <w:p w14:paraId="0DC0DB4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实施部位</w:t>
            </w:r>
          </w:p>
        </w:tc>
        <w:tc>
          <w:tcPr>
            <w:tcW w:w="1545" w:type="dxa"/>
            <w:tcBorders>
              <w:tl2br w:val="nil"/>
              <w:tr2bl w:val="nil"/>
            </w:tcBorders>
            <w:noWrap w:val="0"/>
            <w:vAlign w:val="center"/>
          </w:tcPr>
          <w:p w14:paraId="3B62263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实施效果</w:t>
            </w:r>
          </w:p>
        </w:tc>
        <w:tc>
          <w:tcPr>
            <w:tcW w:w="913" w:type="dxa"/>
            <w:tcBorders>
              <w:tl2br w:val="nil"/>
              <w:tr2bl w:val="nil"/>
            </w:tcBorders>
            <w:noWrap w:val="0"/>
            <w:vAlign w:val="center"/>
          </w:tcPr>
          <w:p w14:paraId="7377634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费用估算</w:t>
            </w:r>
          </w:p>
          <w:p w14:paraId="4D353FA2">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w:t>
            </w:r>
          </w:p>
        </w:tc>
        <w:tc>
          <w:tcPr>
            <w:tcW w:w="548" w:type="dxa"/>
            <w:tcBorders>
              <w:tl2br w:val="nil"/>
              <w:tr2bl w:val="nil"/>
            </w:tcBorders>
            <w:noWrap w:val="0"/>
            <w:vAlign w:val="center"/>
          </w:tcPr>
          <w:p w14:paraId="12CFE88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责任</w:t>
            </w:r>
          </w:p>
          <w:p w14:paraId="0EF5451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tc>
        <w:tc>
          <w:tcPr>
            <w:tcW w:w="846" w:type="dxa"/>
            <w:gridSpan w:val="2"/>
            <w:tcBorders>
              <w:tl2br w:val="nil"/>
              <w:tr2bl w:val="nil"/>
            </w:tcBorders>
            <w:noWrap w:val="0"/>
            <w:vAlign w:val="center"/>
          </w:tcPr>
          <w:p w14:paraId="1154A9E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实施保障</w:t>
            </w:r>
          </w:p>
        </w:tc>
      </w:tr>
      <w:tr w14:paraId="5699AB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681" w:type="dxa"/>
            <w:gridSpan w:val="2"/>
            <w:vMerge w:val="restart"/>
            <w:tcBorders>
              <w:tl2br w:val="nil"/>
              <w:tr2bl w:val="nil"/>
            </w:tcBorders>
            <w:noWrap w:val="0"/>
            <w:vAlign w:val="center"/>
          </w:tcPr>
          <w:p w14:paraId="4449A7B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施工期</w:t>
            </w:r>
          </w:p>
        </w:tc>
        <w:tc>
          <w:tcPr>
            <w:tcW w:w="537" w:type="dxa"/>
            <w:tcBorders>
              <w:tl2br w:val="nil"/>
              <w:tr2bl w:val="nil"/>
            </w:tcBorders>
            <w:noWrap w:val="0"/>
            <w:vAlign w:val="center"/>
          </w:tcPr>
          <w:p w14:paraId="6DD2BED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2128" w:type="dxa"/>
            <w:tcBorders>
              <w:tl2br w:val="nil"/>
              <w:tr2bl w:val="nil"/>
            </w:tcBorders>
            <w:noWrap w:val="0"/>
            <w:vAlign w:val="center"/>
          </w:tcPr>
          <w:p w14:paraId="2431078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低噪设备、优化布置及施 工组织、施工场地围挡</w:t>
            </w:r>
          </w:p>
        </w:tc>
        <w:tc>
          <w:tcPr>
            <w:tcW w:w="1058" w:type="dxa"/>
            <w:tcBorders>
              <w:tl2br w:val="nil"/>
              <w:tr2bl w:val="nil"/>
            </w:tcBorders>
            <w:noWrap w:val="0"/>
            <w:vAlign w:val="center"/>
          </w:tcPr>
          <w:p w14:paraId="7C58A22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施工场地</w:t>
            </w:r>
          </w:p>
        </w:tc>
        <w:tc>
          <w:tcPr>
            <w:tcW w:w="1545" w:type="dxa"/>
            <w:tcBorders>
              <w:tl2br w:val="nil"/>
              <w:tr2bl w:val="nil"/>
            </w:tcBorders>
            <w:noWrap w:val="0"/>
            <w:vAlign w:val="center"/>
          </w:tcPr>
          <w:p w14:paraId="4E1182A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施工场界达标</w:t>
            </w:r>
          </w:p>
        </w:tc>
        <w:tc>
          <w:tcPr>
            <w:tcW w:w="913" w:type="dxa"/>
            <w:tcBorders>
              <w:tl2br w:val="nil"/>
              <w:tr2bl w:val="nil"/>
            </w:tcBorders>
            <w:noWrap w:val="0"/>
            <w:vAlign w:val="center"/>
          </w:tcPr>
          <w:p w14:paraId="3615B61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8" w:type="dxa"/>
            <w:tcBorders>
              <w:tl2br w:val="nil"/>
              <w:tr2bl w:val="nil"/>
            </w:tcBorders>
            <w:noWrap w:val="0"/>
            <w:vAlign w:val="center"/>
          </w:tcPr>
          <w:p w14:paraId="0CCBB71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w:t>
            </w:r>
          </w:p>
          <w:p w14:paraId="72D48C8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7D355AF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08772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681" w:type="dxa"/>
            <w:gridSpan w:val="2"/>
            <w:vMerge w:val="continue"/>
            <w:tcBorders>
              <w:tl2br w:val="nil"/>
              <w:tr2bl w:val="nil"/>
            </w:tcBorders>
            <w:noWrap w:val="0"/>
            <w:vAlign w:val="center"/>
          </w:tcPr>
          <w:p w14:paraId="3E1C02CA">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37" w:type="dxa"/>
            <w:tcBorders>
              <w:tl2br w:val="nil"/>
              <w:tr2bl w:val="nil"/>
            </w:tcBorders>
            <w:noWrap w:val="0"/>
            <w:vAlign w:val="center"/>
          </w:tcPr>
          <w:p w14:paraId="7179D1A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2128" w:type="dxa"/>
            <w:tcBorders>
              <w:tl2br w:val="nil"/>
              <w:tr2bl w:val="nil"/>
            </w:tcBorders>
            <w:noWrap w:val="0"/>
            <w:vAlign w:val="center"/>
          </w:tcPr>
          <w:p w14:paraId="560FDA8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车辆清洗池、围挡、喷淋设施、</w:t>
            </w:r>
            <w:r>
              <w:rPr>
                <w:rFonts w:hint="default" w:ascii="Times New Roman" w:hAnsi="Times New Roman" w:eastAsia="宋体" w:cs="Times New Roman"/>
                <w:color w:val="auto"/>
                <w:sz w:val="21"/>
                <w:szCs w:val="21"/>
                <w:highlight w:val="none"/>
                <w:lang w:eastAsia="zh-CN"/>
              </w:rPr>
              <w:t>拌合场</w:t>
            </w:r>
            <w:r>
              <w:rPr>
                <w:rFonts w:hint="default" w:ascii="Times New Roman" w:hAnsi="Times New Roman" w:eastAsia="宋体" w:cs="Times New Roman"/>
                <w:color w:val="auto"/>
                <w:sz w:val="21"/>
                <w:szCs w:val="21"/>
                <w:highlight w:val="none"/>
              </w:rPr>
              <w:t>进行密闭等</w:t>
            </w:r>
          </w:p>
        </w:tc>
        <w:tc>
          <w:tcPr>
            <w:tcW w:w="1058" w:type="dxa"/>
            <w:tcBorders>
              <w:tl2br w:val="nil"/>
              <w:tr2bl w:val="nil"/>
            </w:tcBorders>
            <w:noWrap w:val="0"/>
            <w:vAlign w:val="center"/>
          </w:tcPr>
          <w:p w14:paraId="5937A60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施工场地</w:t>
            </w:r>
          </w:p>
        </w:tc>
        <w:tc>
          <w:tcPr>
            <w:tcW w:w="1545" w:type="dxa"/>
            <w:tcBorders>
              <w:tl2br w:val="nil"/>
              <w:tr2bl w:val="nil"/>
            </w:tcBorders>
            <w:noWrap w:val="0"/>
            <w:vAlign w:val="center"/>
          </w:tcPr>
          <w:p w14:paraId="767707D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满足《重庆市大气</w:t>
            </w:r>
          </w:p>
          <w:p w14:paraId="1FD389E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污染物综合排放</w:t>
            </w:r>
          </w:p>
          <w:p w14:paraId="116E008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DB50/418-2016</w:t>
            </w:r>
          </w:p>
          <w:p w14:paraId="58BCEC9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13" w:type="dxa"/>
            <w:tcBorders>
              <w:tl2br w:val="nil"/>
              <w:tr2bl w:val="nil"/>
            </w:tcBorders>
            <w:noWrap w:val="0"/>
            <w:vAlign w:val="center"/>
          </w:tcPr>
          <w:p w14:paraId="37E2380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00</w:t>
            </w:r>
          </w:p>
        </w:tc>
        <w:tc>
          <w:tcPr>
            <w:tcW w:w="548" w:type="dxa"/>
            <w:tcBorders>
              <w:tl2br w:val="nil"/>
              <w:tr2bl w:val="nil"/>
            </w:tcBorders>
            <w:noWrap w:val="0"/>
            <w:vAlign w:val="center"/>
          </w:tcPr>
          <w:p w14:paraId="0D525CA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w:t>
            </w:r>
          </w:p>
          <w:p w14:paraId="5DC07B2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31FBDC9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143636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681" w:type="dxa"/>
            <w:gridSpan w:val="2"/>
            <w:vMerge w:val="continue"/>
            <w:tcBorders>
              <w:tl2br w:val="nil"/>
              <w:tr2bl w:val="nil"/>
            </w:tcBorders>
            <w:noWrap w:val="0"/>
            <w:vAlign w:val="center"/>
          </w:tcPr>
          <w:p w14:paraId="7D1E794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37" w:type="dxa"/>
            <w:tcBorders>
              <w:tl2br w:val="nil"/>
              <w:tr2bl w:val="nil"/>
            </w:tcBorders>
            <w:noWrap w:val="0"/>
            <w:vAlign w:val="center"/>
          </w:tcPr>
          <w:p w14:paraId="529A547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2128" w:type="dxa"/>
            <w:tcBorders>
              <w:tl2br w:val="nil"/>
              <w:tr2bl w:val="nil"/>
            </w:tcBorders>
            <w:noWrap w:val="0"/>
            <w:vAlign w:val="center"/>
          </w:tcPr>
          <w:p w14:paraId="0EFFB30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施工生产废水沉淀池</w:t>
            </w:r>
          </w:p>
        </w:tc>
        <w:tc>
          <w:tcPr>
            <w:tcW w:w="1058" w:type="dxa"/>
            <w:tcBorders>
              <w:tl2br w:val="nil"/>
              <w:tr2bl w:val="nil"/>
            </w:tcBorders>
            <w:noWrap w:val="0"/>
            <w:vAlign w:val="center"/>
          </w:tcPr>
          <w:p w14:paraId="199C871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施工场地</w:t>
            </w:r>
          </w:p>
        </w:tc>
        <w:tc>
          <w:tcPr>
            <w:tcW w:w="1545" w:type="dxa"/>
            <w:tcBorders>
              <w:tl2br w:val="nil"/>
              <w:tr2bl w:val="nil"/>
            </w:tcBorders>
            <w:noWrap w:val="0"/>
            <w:vAlign w:val="center"/>
          </w:tcPr>
          <w:p w14:paraId="47BD219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水环境质量</w:t>
            </w:r>
          </w:p>
          <w:p w14:paraId="2E75A20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不受影响</w:t>
            </w:r>
          </w:p>
        </w:tc>
        <w:tc>
          <w:tcPr>
            <w:tcW w:w="913" w:type="dxa"/>
            <w:tcBorders>
              <w:tl2br w:val="nil"/>
              <w:tr2bl w:val="nil"/>
            </w:tcBorders>
            <w:noWrap w:val="0"/>
            <w:vAlign w:val="center"/>
          </w:tcPr>
          <w:p w14:paraId="7C57EF5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548" w:type="dxa"/>
            <w:tcBorders>
              <w:tl2br w:val="nil"/>
              <w:tr2bl w:val="nil"/>
            </w:tcBorders>
            <w:noWrap w:val="0"/>
            <w:vAlign w:val="center"/>
          </w:tcPr>
          <w:p w14:paraId="0E5B19C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w:t>
            </w:r>
          </w:p>
          <w:p w14:paraId="3EEA46B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3EBE25D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44B440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681" w:type="dxa"/>
            <w:gridSpan w:val="2"/>
            <w:vMerge w:val="continue"/>
            <w:tcBorders>
              <w:tl2br w:val="nil"/>
              <w:tr2bl w:val="nil"/>
            </w:tcBorders>
            <w:noWrap w:val="0"/>
            <w:vAlign w:val="center"/>
          </w:tcPr>
          <w:p w14:paraId="4A9C485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37" w:type="dxa"/>
            <w:tcBorders>
              <w:tl2br w:val="nil"/>
              <w:tr2bl w:val="nil"/>
            </w:tcBorders>
            <w:noWrap w:val="0"/>
            <w:vAlign w:val="center"/>
          </w:tcPr>
          <w:p w14:paraId="38E7204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2128" w:type="dxa"/>
            <w:tcBorders>
              <w:tl2br w:val="nil"/>
              <w:tr2bl w:val="nil"/>
            </w:tcBorders>
            <w:noWrap w:val="0"/>
            <w:vAlign w:val="center"/>
          </w:tcPr>
          <w:p w14:paraId="55236BB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施工人员生活垃圾处置</w:t>
            </w:r>
          </w:p>
        </w:tc>
        <w:tc>
          <w:tcPr>
            <w:tcW w:w="1058" w:type="dxa"/>
            <w:tcBorders>
              <w:tl2br w:val="nil"/>
              <w:tr2bl w:val="nil"/>
            </w:tcBorders>
            <w:noWrap w:val="0"/>
            <w:vAlign w:val="center"/>
          </w:tcPr>
          <w:p w14:paraId="1B9A507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施工营地</w:t>
            </w:r>
          </w:p>
        </w:tc>
        <w:tc>
          <w:tcPr>
            <w:tcW w:w="1545" w:type="dxa"/>
            <w:tcBorders>
              <w:tl2br w:val="nil"/>
              <w:tr2bl w:val="nil"/>
            </w:tcBorders>
            <w:noWrap w:val="0"/>
            <w:vAlign w:val="center"/>
          </w:tcPr>
          <w:p w14:paraId="1663751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处置率100%</w:t>
            </w:r>
          </w:p>
        </w:tc>
        <w:tc>
          <w:tcPr>
            <w:tcW w:w="913" w:type="dxa"/>
            <w:tcBorders>
              <w:tl2br w:val="nil"/>
              <w:tr2bl w:val="nil"/>
            </w:tcBorders>
            <w:noWrap w:val="0"/>
            <w:vAlign w:val="center"/>
          </w:tcPr>
          <w:p w14:paraId="70981D4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548" w:type="dxa"/>
            <w:tcBorders>
              <w:tl2br w:val="nil"/>
              <w:tr2bl w:val="nil"/>
            </w:tcBorders>
            <w:noWrap w:val="0"/>
            <w:vAlign w:val="center"/>
          </w:tcPr>
          <w:p w14:paraId="6884EED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w:t>
            </w:r>
          </w:p>
          <w:p w14:paraId="25E651A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7C47F45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5BFDD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trPr>
        <w:tc>
          <w:tcPr>
            <w:tcW w:w="681" w:type="dxa"/>
            <w:gridSpan w:val="2"/>
            <w:vMerge w:val="continue"/>
            <w:tcBorders>
              <w:tl2br w:val="nil"/>
              <w:tr2bl w:val="nil"/>
            </w:tcBorders>
            <w:noWrap w:val="0"/>
            <w:vAlign w:val="center"/>
          </w:tcPr>
          <w:p w14:paraId="4822EEE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37" w:type="dxa"/>
            <w:vMerge w:val="restart"/>
            <w:tcBorders>
              <w:tl2br w:val="nil"/>
              <w:tr2bl w:val="nil"/>
            </w:tcBorders>
            <w:noWrap w:val="0"/>
            <w:vAlign w:val="center"/>
          </w:tcPr>
          <w:p w14:paraId="7937E72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生态恢复</w:t>
            </w:r>
          </w:p>
        </w:tc>
        <w:tc>
          <w:tcPr>
            <w:tcW w:w="2128" w:type="dxa"/>
            <w:tcBorders>
              <w:tl2br w:val="nil"/>
              <w:tr2bl w:val="nil"/>
            </w:tcBorders>
            <w:noWrap w:val="0"/>
            <w:vAlign w:val="center"/>
          </w:tcPr>
          <w:p w14:paraId="3BB9E21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项目临时工程</w:t>
            </w:r>
            <w:r>
              <w:rPr>
                <w:rFonts w:hint="default" w:ascii="Times New Roman" w:hAnsi="Times New Roman" w:eastAsia="宋体" w:cs="Times New Roman"/>
                <w:color w:val="auto"/>
                <w:sz w:val="21"/>
                <w:szCs w:val="21"/>
                <w:highlight w:val="none"/>
                <w:lang w:eastAsia="zh-CN"/>
              </w:rPr>
              <w:t>弃土场</w:t>
            </w:r>
            <w:r>
              <w:rPr>
                <w:rFonts w:hint="default" w:ascii="Times New Roman" w:hAnsi="Times New Roman" w:eastAsia="宋体" w:cs="Times New Roman"/>
                <w:color w:val="auto"/>
                <w:sz w:val="21"/>
                <w:szCs w:val="21"/>
                <w:highlight w:val="none"/>
              </w:rPr>
              <w:t>等植被</w:t>
            </w:r>
            <w:r>
              <w:rPr>
                <w:rFonts w:hint="default" w:ascii="Times New Roman" w:hAnsi="Times New Roman" w:eastAsia="宋体" w:cs="Times New Roman"/>
                <w:color w:val="auto"/>
                <w:sz w:val="21"/>
                <w:szCs w:val="21"/>
                <w:highlight w:val="none"/>
                <w:lang w:eastAsia="zh-CN"/>
              </w:rPr>
              <w:t>恢</w:t>
            </w:r>
            <w:r>
              <w:rPr>
                <w:rFonts w:hint="default" w:ascii="Times New Roman" w:hAnsi="Times New Roman" w:eastAsia="宋体" w:cs="Times New Roman"/>
                <w:color w:val="auto"/>
                <w:sz w:val="21"/>
                <w:szCs w:val="21"/>
                <w:highlight w:val="none"/>
              </w:rPr>
              <w:t>复</w:t>
            </w:r>
          </w:p>
        </w:tc>
        <w:tc>
          <w:tcPr>
            <w:tcW w:w="1058" w:type="dxa"/>
            <w:tcBorders>
              <w:tl2br w:val="nil"/>
              <w:tr2bl w:val="nil"/>
            </w:tcBorders>
            <w:noWrap w:val="0"/>
            <w:vAlign w:val="center"/>
          </w:tcPr>
          <w:p w14:paraId="57723CB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弃</w:t>
            </w:r>
            <w:r>
              <w:rPr>
                <w:rFonts w:hint="default" w:ascii="Times New Roman" w:hAnsi="Times New Roman" w:eastAsia="宋体" w:cs="Times New Roman"/>
                <w:color w:val="auto"/>
                <w:sz w:val="21"/>
                <w:szCs w:val="21"/>
                <w:highlight w:val="none"/>
                <w:lang w:val="en-US" w:eastAsia="zh-CN"/>
              </w:rPr>
              <w:t>土</w:t>
            </w:r>
            <w:r>
              <w:rPr>
                <w:rFonts w:hint="default" w:ascii="Times New Roman" w:hAnsi="Times New Roman" w:eastAsia="宋体" w:cs="Times New Roman"/>
                <w:color w:val="auto"/>
                <w:sz w:val="21"/>
                <w:szCs w:val="21"/>
                <w:highlight w:val="none"/>
              </w:rPr>
              <w:t>场</w:t>
            </w:r>
          </w:p>
        </w:tc>
        <w:tc>
          <w:tcPr>
            <w:tcW w:w="1545" w:type="dxa"/>
            <w:tcBorders>
              <w:tl2br w:val="nil"/>
              <w:tr2bl w:val="nil"/>
            </w:tcBorders>
            <w:noWrap w:val="0"/>
            <w:vAlign w:val="center"/>
          </w:tcPr>
          <w:p w14:paraId="254379D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土地使用功能恢</w:t>
            </w:r>
          </w:p>
          <w:p w14:paraId="330552F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复到位，路域景观 恢复效果佳。</w:t>
            </w:r>
          </w:p>
        </w:tc>
        <w:tc>
          <w:tcPr>
            <w:tcW w:w="913" w:type="dxa"/>
            <w:tcBorders>
              <w:tl2br w:val="nil"/>
              <w:tr2bl w:val="nil"/>
            </w:tcBorders>
            <w:noWrap w:val="0"/>
            <w:vAlign w:val="center"/>
          </w:tcPr>
          <w:p w14:paraId="0871B55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0</w:t>
            </w:r>
          </w:p>
        </w:tc>
        <w:tc>
          <w:tcPr>
            <w:tcW w:w="548" w:type="dxa"/>
            <w:tcBorders>
              <w:tl2br w:val="nil"/>
              <w:tr2bl w:val="nil"/>
            </w:tcBorders>
            <w:noWrap w:val="0"/>
            <w:vAlign w:val="center"/>
          </w:tcPr>
          <w:p w14:paraId="05E7369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w:t>
            </w:r>
          </w:p>
          <w:p w14:paraId="0AA4F27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3A25164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01AACE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5" w:hRule="atLeast"/>
        </w:trPr>
        <w:tc>
          <w:tcPr>
            <w:tcW w:w="681" w:type="dxa"/>
            <w:gridSpan w:val="2"/>
            <w:vMerge w:val="continue"/>
            <w:tcBorders>
              <w:tl2br w:val="nil"/>
              <w:tr2bl w:val="nil"/>
            </w:tcBorders>
            <w:noWrap w:val="0"/>
            <w:vAlign w:val="center"/>
          </w:tcPr>
          <w:p w14:paraId="45251FF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37" w:type="dxa"/>
            <w:vMerge w:val="continue"/>
            <w:tcBorders>
              <w:tl2br w:val="nil"/>
              <w:tr2bl w:val="nil"/>
            </w:tcBorders>
            <w:noWrap w:val="0"/>
            <w:vAlign w:val="center"/>
          </w:tcPr>
          <w:p w14:paraId="03B9F379">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128" w:type="dxa"/>
            <w:tcBorders>
              <w:tl2br w:val="nil"/>
              <w:tr2bl w:val="nil"/>
            </w:tcBorders>
            <w:noWrap w:val="0"/>
            <w:vAlign w:val="center"/>
          </w:tcPr>
          <w:p w14:paraId="1BDDD5D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沿线采取临时水保措施</w:t>
            </w:r>
          </w:p>
        </w:tc>
        <w:tc>
          <w:tcPr>
            <w:tcW w:w="1058" w:type="dxa"/>
            <w:tcBorders>
              <w:tl2br w:val="nil"/>
              <w:tr2bl w:val="nil"/>
            </w:tcBorders>
            <w:noWrap w:val="0"/>
            <w:vAlign w:val="center"/>
          </w:tcPr>
          <w:p w14:paraId="53EF739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全线</w:t>
            </w:r>
          </w:p>
        </w:tc>
        <w:tc>
          <w:tcPr>
            <w:tcW w:w="1545" w:type="dxa"/>
            <w:tcBorders>
              <w:tl2br w:val="nil"/>
              <w:tr2bl w:val="nil"/>
            </w:tcBorders>
            <w:noWrap w:val="0"/>
            <w:vAlign w:val="center"/>
          </w:tcPr>
          <w:p w14:paraId="0F28AEB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防治施工期</w:t>
            </w:r>
          </w:p>
          <w:p w14:paraId="673672B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水土流失</w:t>
            </w:r>
          </w:p>
        </w:tc>
        <w:tc>
          <w:tcPr>
            <w:tcW w:w="913" w:type="dxa"/>
            <w:tcBorders>
              <w:tl2br w:val="nil"/>
              <w:tr2bl w:val="nil"/>
            </w:tcBorders>
            <w:noWrap w:val="0"/>
            <w:vAlign w:val="center"/>
          </w:tcPr>
          <w:p w14:paraId="2BA8DA4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5710.52</w:t>
            </w:r>
          </w:p>
        </w:tc>
        <w:tc>
          <w:tcPr>
            <w:tcW w:w="548" w:type="dxa"/>
            <w:tcBorders>
              <w:tl2br w:val="nil"/>
              <w:tr2bl w:val="nil"/>
            </w:tcBorders>
            <w:noWrap w:val="0"/>
            <w:vAlign w:val="center"/>
          </w:tcPr>
          <w:p w14:paraId="1862B56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w:t>
            </w:r>
          </w:p>
          <w:p w14:paraId="10D40A4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0FF7569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5E002C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7" w:hRule="atLeast"/>
        </w:trPr>
        <w:tc>
          <w:tcPr>
            <w:tcW w:w="678" w:type="dxa"/>
            <w:vMerge w:val="restart"/>
            <w:tcBorders>
              <w:tl2br w:val="nil"/>
              <w:tr2bl w:val="nil"/>
            </w:tcBorders>
            <w:noWrap w:val="0"/>
            <w:vAlign w:val="center"/>
          </w:tcPr>
          <w:p w14:paraId="31DBBBC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运营期</w:t>
            </w:r>
          </w:p>
        </w:tc>
        <w:tc>
          <w:tcPr>
            <w:tcW w:w="540" w:type="dxa"/>
            <w:gridSpan w:val="2"/>
            <w:vMerge w:val="restart"/>
            <w:tcBorders>
              <w:tl2br w:val="nil"/>
              <w:tr2bl w:val="nil"/>
            </w:tcBorders>
            <w:noWrap w:val="0"/>
            <w:vAlign w:val="center"/>
          </w:tcPr>
          <w:p w14:paraId="69DD1A52">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2128" w:type="dxa"/>
            <w:tcBorders>
              <w:tl2br w:val="nil"/>
              <w:tr2bl w:val="nil"/>
            </w:tcBorders>
            <w:noWrap w:val="0"/>
            <w:vAlign w:val="center"/>
          </w:tcPr>
          <w:p w14:paraId="1725658A">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lang w:val="en-US" w:eastAsia="zh-CN"/>
              </w:rPr>
              <w:t>根据现场调查，</w:t>
            </w:r>
            <w:r>
              <w:rPr>
                <w:rFonts w:hint="default" w:ascii="Times New Roman" w:hAnsi="Times New Roman" w:eastAsia="宋体" w:cs="Times New Roman"/>
                <w:color w:val="auto"/>
                <w:sz w:val="21"/>
                <w:szCs w:val="21"/>
                <w:lang w:val="en-US" w:eastAsia="zh-CN"/>
              </w:rPr>
              <w:t>目前</w:t>
            </w:r>
            <w:r>
              <w:rPr>
                <w:rFonts w:hint="eastAsia" w:ascii="Times New Roman" w:hAnsi="Times New Roman" w:eastAsia="宋体" w:cs="Times New Roman"/>
                <w:color w:val="auto"/>
                <w:sz w:val="21"/>
                <w:szCs w:val="21"/>
                <w:lang w:val="en-US" w:eastAsia="zh-CN"/>
              </w:rPr>
              <w:t>建设单位</w:t>
            </w:r>
            <w:r>
              <w:rPr>
                <w:rFonts w:hint="eastAsia" w:cs="Times New Roman"/>
                <w:color w:val="auto"/>
                <w:sz w:val="21"/>
                <w:szCs w:val="21"/>
                <w:lang w:val="en-US" w:eastAsia="zh-CN"/>
              </w:rPr>
              <w:t>已</w:t>
            </w:r>
            <w:r>
              <w:rPr>
                <w:rFonts w:hint="default" w:ascii="Times New Roman" w:hAnsi="Times New Roman" w:eastAsia="宋体" w:cs="Times New Roman"/>
                <w:color w:val="auto"/>
                <w:sz w:val="21"/>
                <w:szCs w:val="21"/>
                <w:highlight w:val="none"/>
                <w:lang w:val="en-US" w:eastAsia="zh-CN"/>
              </w:rPr>
              <w:t>建设有3m高直立式</w:t>
            </w:r>
            <w:r>
              <w:rPr>
                <w:rFonts w:hint="eastAsia" w:cs="Times New Roman"/>
                <w:color w:val="auto"/>
                <w:sz w:val="21"/>
                <w:szCs w:val="21"/>
                <w:highlight w:val="none"/>
                <w:lang w:val="en-US" w:eastAsia="zh-CN"/>
              </w:rPr>
              <w:t>声屏障</w:t>
            </w:r>
            <w:r>
              <w:rPr>
                <w:rFonts w:hint="default" w:ascii="Times New Roman" w:hAnsi="Times New Roman" w:eastAsia="宋体" w:cs="Times New Roman"/>
                <w:color w:val="auto"/>
                <w:sz w:val="21"/>
                <w:szCs w:val="21"/>
                <w:highlight w:val="none"/>
                <w:lang w:val="en-US" w:eastAsia="zh-CN"/>
              </w:rPr>
              <w:t>1058m</w:t>
            </w:r>
            <w:r>
              <w:rPr>
                <w:rFonts w:hint="default" w:ascii="Times New Roman" w:hAnsi="Times New Roman" w:eastAsia="宋体" w:cs="Times New Roman"/>
                <w:color w:val="auto"/>
                <w:sz w:val="21"/>
                <w:szCs w:val="21"/>
                <w:highlight w:val="none"/>
                <w:lang w:eastAsia="zh-CN"/>
              </w:rPr>
              <w:t>。</w:t>
            </w:r>
          </w:p>
        </w:tc>
        <w:tc>
          <w:tcPr>
            <w:tcW w:w="1058" w:type="dxa"/>
            <w:tcBorders>
              <w:tl2br w:val="nil"/>
              <w:tr2bl w:val="nil"/>
            </w:tcBorders>
            <w:noWrap w:val="0"/>
            <w:vAlign w:val="center"/>
          </w:tcPr>
          <w:p w14:paraId="6F52088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bidi="ar-SA"/>
              </w:rPr>
              <w:t>斑竹村马鞍桥居民点、斑竹村新竹湾居民点、1#斑竹村长五间居民点</w:t>
            </w:r>
            <w:r>
              <w:rPr>
                <w:rFonts w:hint="eastAsia" w:cs="Times New Roman"/>
                <w:snapToGrid w:val="0"/>
                <w:color w:val="auto"/>
                <w:kern w:val="0"/>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K77+950</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K7</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50</w:t>
            </w:r>
            <w:r>
              <w:rPr>
                <w:rFonts w:hint="eastAsia" w:cs="Times New Roman"/>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SA"/>
              </w:rPr>
              <w:t>、斑竹村卢家院子居民点</w:t>
            </w:r>
            <w:r>
              <w:rPr>
                <w:rFonts w:hint="eastAsia" w:ascii="Times New Roman" w:hAnsi="Times New Roman" w:eastAsia="宋体" w:cs="Times New Roman"/>
                <w:snapToGrid w:val="0"/>
                <w:color w:val="auto"/>
                <w:kern w:val="0"/>
                <w:sz w:val="21"/>
                <w:szCs w:val="21"/>
                <w:highlight w:val="none"/>
                <w:lang w:val="en-US" w:eastAsia="zh-CN" w:bidi="ar-SA"/>
              </w:rPr>
              <w:t>以及预测未超标的</w:t>
            </w:r>
            <w:r>
              <w:rPr>
                <w:rFonts w:hint="default" w:ascii="Times New Roman" w:hAnsi="Times New Roman" w:eastAsia="宋体" w:cs="Times New Roman"/>
                <w:color w:val="auto"/>
                <w:sz w:val="21"/>
                <w:szCs w:val="21"/>
                <w:highlight w:val="none"/>
                <w:lang w:val="en-US" w:eastAsia="zh-CN"/>
              </w:rPr>
              <w:t>响水村蔡家垭口居民点</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大田村狮子寨居民点</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大田村瓦房沟居民点</w:t>
            </w:r>
          </w:p>
        </w:tc>
        <w:tc>
          <w:tcPr>
            <w:tcW w:w="1545" w:type="dxa"/>
            <w:vMerge w:val="restart"/>
            <w:tcBorders>
              <w:tl2br w:val="nil"/>
              <w:tr2bl w:val="nil"/>
            </w:tcBorders>
            <w:noWrap w:val="0"/>
            <w:vAlign w:val="center"/>
          </w:tcPr>
          <w:p w14:paraId="76404E9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环境保护目标声环境质量满足《声环境质量标准》 （GB3096-2008）</w:t>
            </w:r>
          </w:p>
          <w:p w14:paraId="4E2C55E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对应标准</w:t>
            </w:r>
          </w:p>
        </w:tc>
        <w:tc>
          <w:tcPr>
            <w:tcW w:w="913" w:type="dxa"/>
            <w:tcBorders>
              <w:tl2br w:val="nil"/>
              <w:tr2bl w:val="nil"/>
            </w:tcBorders>
            <w:noWrap w:val="0"/>
            <w:vAlign w:val="center"/>
          </w:tcPr>
          <w:p w14:paraId="18561E9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225</w:t>
            </w:r>
          </w:p>
        </w:tc>
        <w:tc>
          <w:tcPr>
            <w:tcW w:w="548" w:type="dxa"/>
            <w:vMerge w:val="restart"/>
            <w:tcBorders>
              <w:tl2br w:val="nil"/>
              <w:tr2bl w:val="nil"/>
            </w:tcBorders>
            <w:noWrap w:val="0"/>
            <w:vAlign w:val="center"/>
          </w:tcPr>
          <w:p w14:paraId="3ED45FC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p>
          <w:p w14:paraId="11B2452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l2br w:val="nil"/>
              <w:tr2bl w:val="nil"/>
            </w:tcBorders>
            <w:noWrap w:val="0"/>
            <w:vAlign w:val="center"/>
          </w:tcPr>
          <w:p w14:paraId="7CD110B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28976C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7" w:hRule="atLeast"/>
        </w:trPr>
        <w:tc>
          <w:tcPr>
            <w:tcW w:w="678" w:type="dxa"/>
            <w:vMerge w:val="continue"/>
            <w:tcBorders>
              <w:tl2br w:val="nil"/>
              <w:tr2bl w:val="nil"/>
            </w:tcBorders>
            <w:noWrap w:val="0"/>
            <w:vAlign w:val="center"/>
          </w:tcPr>
          <w:p w14:paraId="47986C5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vMerge w:val="continue"/>
            <w:tcBorders>
              <w:tl2br w:val="nil"/>
              <w:tr2bl w:val="nil"/>
            </w:tcBorders>
            <w:noWrap w:val="0"/>
            <w:vAlign w:val="center"/>
          </w:tcPr>
          <w:p w14:paraId="350C770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128" w:type="dxa"/>
            <w:tcBorders>
              <w:tl2br w:val="nil"/>
              <w:tr2bl w:val="nil"/>
            </w:tcBorders>
            <w:noWrap w:val="0"/>
            <w:vAlign w:val="center"/>
          </w:tcPr>
          <w:p w14:paraId="024EE70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运营近期、中期</w:t>
            </w:r>
            <w:r>
              <w:rPr>
                <w:rFonts w:hint="eastAsia" w:ascii="Times New Roman" w:hAnsi="Times New Roman" w:eastAsia="宋体" w:cs="Times New Roman"/>
                <w:color w:val="auto"/>
                <w:sz w:val="21"/>
                <w:szCs w:val="21"/>
                <w:lang w:val="en-US" w:eastAsia="zh-CN"/>
              </w:rPr>
              <w:t>预测</w:t>
            </w:r>
            <w:r>
              <w:rPr>
                <w:rFonts w:hint="default" w:ascii="Times New Roman" w:hAnsi="Times New Roman" w:cs="Times New Roman"/>
                <w:color w:val="auto"/>
                <w:sz w:val="21"/>
                <w:szCs w:val="21"/>
                <w:highlight w:val="none"/>
              </w:rPr>
              <w:t>超标</w:t>
            </w:r>
            <w:r>
              <w:rPr>
                <w:rFonts w:hint="eastAsia" w:ascii="Times New Roman" w:hAnsi="Times New Roman" w:cs="Times New Roman"/>
                <w:color w:val="auto"/>
                <w:sz w:val="21"/>
                <w:szCs w:val="21"/>
                <w:highlight w:val="none"/>
                <w:lang w:val="en-US" w:eastAsia="zh-CN"/>
              </w:rPr>
              <w:t>但</w:t>
            </w:r>
            <w:r>
              <w:rPr>
                <w:rFonts w:hint="default" w:ascii="Times New Roman" w:hAnsi="Times New Roman" w:cs="Times New Roman"/>
                <w:color w:val="auto"/>
                <w:sz w:val="21"/>
                <w:szCs w:val="21"/>
                <w:lang w:val="en-US" w:eastAsia="zh-CN"/>
              </w:rPr>
              <w:t>未安装隔声屏</w:t>
            </w:r>
            <w:r>
              <w:rPr>
                <w:rFonts w:hint="eastAsia" w:ascii="Times New Roman" w:hAnsi="Times New Roman" w:cs="Times New Roman"/>
                <w:color w:val="auto"/>
                <w:sz w:val="21"/>
                <w:szCs w:val="21"/>
                <w:highlight w:val="none"/>
                <w:lang w:val="en-US" w:eastAsia="zh-CN"/>
              </w:rPr>
              <w:t>的声环境敏感目标</w:t>
            </w:r>
            <w:r>
              <w:rPr>
                <w:rFonts w:hint="default" w:ascii="Times New Roman" w:hAnsi="Times New Roman" w:cs="Times New Roman"/>
                <w:color w:val="auto"/>
                <w:sz w:val="21"/>
                <w:szCs w:val="21"/>
                <w:lang w:val="en-US" w:eastAsia="zh-CN"/>
              </w:rPr>
              <w:t>需补充安装</w:t>
            </w:r>
            <w:r>
              <w:rPr>
                <w:rFonts w:hint="eastAsia" w:ascii="Times New Roman" w:hAnsi="Times New Roman" w:cs="Times New Roman"/>
                <w:color w:val="auto"/>
                <w:sz w:val="21"/>
                <w:szCs w:val="21"/>
                <w:lang w:val="en-US" w:eastAsia="zh-CN"/>
              </w:rPr>
              <w:t>365</w:t>
            </w:r>
            <w:r>
              <w:rPr>
                <w:rFonts w:hint="default" w:ascii="Times New Roman" w:hAnsi="Times New Roman" w:cs="Times New Roman"/>
                <w:color w:val="auto"/>
                <w:sz w:val="21"/>
                <w:szCs w:val="21"/>
                <w:lang w:val="en-US" w:eastAsia="zh-CN"/>
              </w:rPr>
              <w:t>m的隔声屏</w:t>
            </w:r>
            <w:r>
              <w:rPr>
                <w:rFonts w:hint="default" w:ascii="Times New Roman" w:hAnsi="Times New Roman" w:eastAsia="宋体" w:cs="Times New Roman"/>
                <w:color w:val="auto"/>
                <w:sz w:val="21"/>
                <w:szCs w:val="21"/>
                <w:highlight w:val="none"/>
                <w:lang w:val="en-US" w:eastAsia="zh-CN"/>
              </w:rPr>
              <w:t>。</w:t>
            </w:r>
          </w:p>
        </w:tc>
        <w:tc>
          <w:tcPr>
            <w:tcW w:w="1058" w:type="dxa"/>
            <w:tcBorders>
              <w:tl2br w:val="nil"/>
              <w:tr2bl w:val="nil"/>
            </w:tcBorders>
            <w:noWrap w:val="0"/>
            <w:vAlign w:val="center"/>
          </w:tcPr>
          <w:p w14:paraId="24953D3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桂花村吊脚楼居民点、大田村华家屋基居民点、1#斑竹村长五间居民点</w:t>
            </w:r>
            <w:r>
              <w:rPr>
                <w:rFonts w:hint="eastAsia" w:cs="Times New Roman"/>
                <w:snapToGrid w:val="0"/>
                <w:color w:val="auto"/>
                <w:kern w:val="0"/>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K7</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50</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K7</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50</w:t>
            </w:r>
            <w:r>
              <w:rPr>
                <w:rFonts w:hint="eastAsia" w:cs="Times New Roman"/>
                <w:color w:val="auto"/>
                <w:sz w:val="21"/>
                <w:szCs w:val="21"/>
                <w:highlight w:val="none"/>
                <w:lang w:val="en-US" w:eastAsia="zh-CN"/>
              </w:rPr>
              <w:t>）</w:t>
            </w:r>
            <w:r>
              <w:rPr>
                <w:rFonts w:hint="eastAsia" w:ascii="Times New Roman" w:hAnsi="Times New Roman" w:eastAsia="宋体"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p>
        </w:tc>
        <w:tc>
          <w:tcPr>
            <w:tcW w:w="1545" w:type="dxa"/>
            <w:vMerge w:val="continue"/>
            <w:tcBorders>
              <w:tl2br w:val="nil"/>
              <w:tr2bl w:val="nil"/>
            </w:tcBorders>
            <w:noWrap w:val="0"/>
            <w:vAlign w:val="center"/>
          </w:tcPr>
          <w:p w14:paraId="79B1DA5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913" w:type="dxa"/>
            <w:tcBorders>
              <w:tl2br w:val="nil"/>
              <w:tr2bl w:val="nil"/>
            </w:tcBorders>
            <w:noWrap w:val="0"/>
            <w:vAlign w:val="center"/>
          </w:tcPr>
          <w:p w14:paraId="3CD21DC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548" w:type="dxa"/>
            <w:vMerge w:val="continue"/>
            <w:tcBorders>
              <w:tl2br w:val="nil"/>
              <w:tr2bl w:val="nil"/>
            </w:tcBorders>
            <w:noWrap w:val="0"/>
            <w:vAlign w:val="center"/>
          </w:tcPr>
          <w:p w14:paraId="5E3CA56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46" w:type="dxa"/>
            <w:gridSpan w:val="2"/>
            <w:tcBorders>
              <w:tl2br w:val="nil"/>
              <w:tr2bl w:val="nil"/>
            </w:tcBorders>
            <w:noWrap w:val="0"/>
            <w:vAlign w:val="center"/>
          </w:tcPr>
          <w:p w14:paraId="3AAA523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采取预留资金和跟踪监测的方式，对因车流量增加而产生的环境影响采取相应措施</w:t>
            </w:r>
          </w:p>
        </w:tc>
      </w:tr>
      <w:tr w14:paraId="222273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4" w:hRule="atLeast"/>
        </w:trPr>
        <w:tc>
          <w:tcPr>
            <w:tcW w:w="678" w:type="dxa"/>
            <w:vMerge w:val="continue"/>
            <w:tcBorders>
              <w:tl2br w:val="nil"/>
              <w:tr2bl w:val="nil"/>
            </w:tcBorders>
            <w:noWrap w:val="0"/>
            <w:vAlign w:val="center"/>
          </w:tcPr>
          <w:p w14:paraId="4F4FD6F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vMerge w:val="continue"/>
            <w:tcBorders>
              <w:bottom w:val="single" w:color="auto" w:sz="4" w:space="0"/>
              <w:tl2br w:val="nil"/>
              <w:tr2bl w:val="nil"/>
            </w:tcBorders>
            <w:noWrap w:val="0"/>
            <w:vAlign w:val="center"/>
          </w:tcPr>
          <w:p w14:paraId="4083516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128" w:type="dxa"/>
            <w:tcBorders>
              <w:bottom w:val="single" w:color="auto" w:sz="4" w:space="0"/>
              <w:tl2br w:val="nil"/>
              <w:tr2bl w:val="nil"/>
            </w:tcBorders>
            <w:noWrap w:val="0"/>
            <w:vAlign w:val="center"/>
          </w:tcPr>
          <w:p w14:paraId="04F754E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对</w:t>
            </w:r>
            <w:r>
              <w:rPr>
                <w:rFonts w:hint="default" w:ascii="Times New Roman" w:hAnsi="Times New Roman" w:eastAsia="宋体" w:cs="Times New Roman"/>
                <w:color w:val="auto"/>
                <w:sz w:val="21"/>
                <w:szCs w:val="21"/>
                <w:highlight w:val="none"/>
              </w:rPr>
              <w:t>运营近期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中期</w:t>
            </w:r>
            <w:r>
              <w:rPr>
                <w:rFonts w:hint="default" w:ascii="Times New Roman" w:hAnsi="Times New Roman" w:eastAsia="宋体" w:cs="Times New Roman"/>
                <w:color w:val="auto"/>
                <w:sz w:val="21"/>
                <w:szCs w:val="21"/>
                <w:highlight w:val="none"/>
              </w:rPr>
              <w:t>未超标，但是远期</w:t>
            </w:r>
            <w:r>
              <w:rPr>
                <w:rFonts w:hint="eastAsia" w:ascii="Times New Roman" w:hAnsi="Times New Roman" w:eastAsia="宋体" w:cs="Times New Roman"/>
                <w:color w:val="auto"/>
                <w:sz w:val="21"/>
                <w:szCs w:val="21"/>
                <w:highlight w:val="none"/>
                <w:lang w:val="en-US" w:eastAsia="zh-CN"/>
              </w:rPr>
              <w:t>预测</w:t>
            </w:r>
            <w:r>
              <w:rPr>
                <w:rFonts w:hint="default" w:ascii="Times New Roman" w:hAnsi="Times New Roman" w:eastAsia="宋体" w:cs="Times New Roman"/>
                <w:color w:val="auto"/>
                <w:sz w:val="21"/>
                <w:szCs w:val="21"/>
                <w:highlight w:val="none"/>
              </w:rPr>
              <w:t>超标的敏感目标采取运营期跟踪监测，预留噪声治理费用</w:t>
            </w:r>
            <w:r>
              <w:rPr>
                <w:rFonts w:hint="eastAsia" w:ascii="Times New Roman" w:hAnsi="Times New Roman" w:eastAsia="宋体" w:cs="Times New Roman"/>
                <w:color w:val="auto"/>
                <w:sz w:val="21"/>
                <w:szCs w:val="21"/>
                <w:highlight w:val="none"/>
                <w:lang w:eastAsia="zh-CN"/>
              </w:rPr>
              <w:t>。</w:t>
            </w:r>
          </w:p>
        </w:tc>
        <w:tc>
          <w:tcPr>
            <w:tcW w:w="1058" w:type="dxa"/>
            <w:tcBorders>
              <w:bottom w:val="single" w:color="auto" w:sz="4" w:space="0"/>
              <w:tl2br w:val="nil"/>
              <w:tr2bl w:val="nil"/>
            </w:tcBorders>
            <w:noWrap w:val="0"/>
            <w:vAlign w:val="center"/>
          </w:tcPr>
          <w:p w14:paraId="21C858D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bidi="ar-SA"/>
              </w:rPr>
              <w:t>桂花村蒋家石桥居民点、桂花村庙子湾居民点、桂花村桂花桥居民点、1#桂花村油竹湾居民点、2#桂花村油竹湾居民点、1#响水村陈家坝居民点、大田村小屋基居民点、大田村柏树园居民点</w:t>
            </w:r>
          </w:p>
        </w:tc>
        <w:tc>
          <w:tcPr>
            <w:tcW w:w="1545" w:type="dxa"/>
            <w:vMerge w:val="continue"/>
            <w:tcBorders>
              <w:bottom w:val="single" w:color="auto" w:sz="4" w:space="0"/>
              <w:tl2br w:val="nil"/>
              <w:tr2bl w:val="nil"/>
            </w:tcBorders>
            <w:noWrap w:val="0"/>
            <w:vAlign w:val="center"/>
          </w:tcPr>
          <w:p w14:paraId="68E1E979">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913" w:type="dxa"/>
            <w:tcBorders>
              <w:bottom w:val="single" w:color="auto" w:sz="4" w:space="0"/>
              <w:tl2br w:val="nil"/>
              <w:tr2bl w:val="nil"/>
            </w:tcBorders>
            <w:noWrap w:val="0"/>
            <w:vAlign w:val="center"/>
          </w:tcPr>
          <w:p w14:paraId="47D9C009">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00</w:t>
            </w:r>
          </w:p>
        </w:tc>
        <w:tc>
          <w:tcPr>
            <w:tcW w:w="548" w:type="dxa"/>
            <w:vMerge w:val="continue"/>
            <w:tcBorders>
              <w:bottom w:val="single" w:color="auto" w:sz="4" w:space="0"/>
              <w:tl2br w:val="nil"/>
              <w:tr2bl w:val="nil"/>
            </w:tcBorders>
            <w:noWrap w:val="0"/>
            <w:vAlign w:val="center"/>
          </w:tcPr>
          <w:p w14:paraId="7D4B09F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46" w:type="dxa"/>
            <w:gridSpan w:val="2"/>
            <w:tcBorders>
              <w:bottom w:val="single" w:color="auto" w:sz="4" w:space="0"/>
              <w:tl2br w:val="nil"/>
              <w:tr2bl w:val="nil"/>
            </w:tcBorders>
            <w:noWrap w:val="0"/>
            <w:vAlign w:val="center"/>
          </w:tcPr>
          <w:p w14:paraId="3BACEB9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采取预留资金和跟踪监测的方式，对因车流量增加而产生的环境影响采取相应措施</w:t>
            </w:r>
          </w:p>
        </w:tc>
      </w:tr>
      <w:tr w14:paraId="196489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4" w:hRule="atLeast"/>
        </w:trPr>
        <w:tc>
          <w:tcPr>
            <w:tcW w:w="678" w:type="dxa"/>
            <w:vMerge w:val="continue"/>
            <w:tcBorders>
              <w:tl2br w:val="nil"/>
              <w:tr2bl w:val="nil"/>
            </w:tcBorders>
            <w:noWrap w:val="0"/>
            <w:vAlign w:val="center"/>
          </w:tcPr>
          <w:p w14:paraId="6A0C805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tcBorders>
              <w:top w:val="single" w:color="auto" w:sz="4" w:space="0"/>
              <w:tl2br w:val="nil"/>
              <w:tr2bl w:val="nil"/>
            </w:tcBorders>
            <w:noWrap w:val="0"/>
            <w:vAlign w:val="center"/>
          </w:tcPr>
          <w:p w14:paraId="4CD9CE7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2128" w:type="dxa"/>
            <w:tcBorders>
              <w:top w:val="single" w:color="auto" w:sz="4" w:space="0"/>
              <w:tl2br w:val="nil"/>
              <w:tr2bl w:val="nil"/>
            </w:tcBorders>
            <w:noWrap w:val="0"/>
            <w:vAlign w:val="center"/>
          </w:tcPr>
          <w:p w14:paraId="4D97F5A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运营期</w:t>
            </w:r>
            <w:r>
              <w:rPr>
                <w:rFonts w:hint="default" w:ascii="Times New Roman" w:hAnsi="Times New Roman" w:eastAsia="宋体" w:cs="Times New Roman"/>
                <w:color w:val="auto"/>
                <w:sz w:val="21"/>
                <w:szCs w:val="21"/>
                <w:highlight w:val="none"/>
                <w:lang w:val="en-US" w:eastAsia="zh-CN"/>
              </w:rPr>
              <w:t>1处</w:t>
            </w:r>
            <w:r>
              <w:rPr>
                <w:rFonts w:hint="default" w:ascii="Times New Roman" w:hAnsi="Times New Roman" w:eastAsia="宋体" w:cs="Times New Roman"/>
                <w:color w:val="auto"/>
                <w:sz w:val="21"/>
                <w:szCs w:val="21"/>
                <w:highlight w:val="none"/>
              </w:rPr>
              <w:t>收费站</w:t>
            </w:r>
            <w:r>
              <w:rPr>
                <w:rFonts w:hint="default" w:ascii="Times New Roman" w:hAnsi="Times New Roman" w:eastAsia="宋体" w:cs="Times New Roman"/>
                <w:color w:val="auto"/>
                <w:sz w:val="21"/>
                <w:szCs w:val="21"/>
                <w:highlight w:val="none"/>
                <w:lang w:eastAsia="zh-CN"/>
              </w:rPr>
              <w:t>等</w:t>
            </w:r>
            <w:r>
              <w:rPr>
                <w:rFonts w:hint="default" w:ascii="Times New Roman" w:hAnsi="Times New Roman" w:eastAsia="宋体" w:cs="Times New Roman"/>
                <w:color w:val="auto"/>
                <w:sz w:val="21"/>
                <w:szCs w:val="21"/>
                <w:highlight w:val="none"/>
              </w:rPr>
              <w:t>服务设施设置</w:t>
            </w:r>
            <w:r>
              <w:rPr>
                <w:rFonts w:hint="default" w:ascii="Times New Roman" w:hAnsi="Times New Roman" w:eastAsia="宋体" w:cs="Times New Roman"/>
                <w:color w:val="auto"/>
                <w:sz w:val="21"/>
                <w:szCs w:val="21"/>
                <w:highlight w:val="none"/>
                <w:lang w:val="en-US" w:eastAsia="zh-CN"/>
              </w:rPr>
              <w:t>有5m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/d的</w:t>
            </w:r>
            <w:r>
              <w:rPr>
                <w:rFonts w:hint="default" w:ascii="Times New Roman" w:hAnsi="Times New Roman" w:eastAsia="宋体" w:cs="Times New Roman"/>
                <w:color w:val="auto"/>
                <w:sz w:val="21"/>
                <w:szCs w:val="21"/>
                <w:highlight w:val="none"/>
              </w:rPr>
              <w:t>一体化污水处理设施</w:t>
            </w:r>
            <w:r>
              <w:rPr>
                <w:rFonts w:hint="default" w:ascii="Times New Roman" w:hAnsi="Times New Roman" w:eastAsia="宋体" w:cs="Times New Roman"/>
                <w:color w:val="auto"/>
                <w:sz w:val="21"/>
                <w:szCs w:val="21"/>
                <w:highlight w:val="none"/>
                <w:lang w:val="en-US" w:eastAsia="zh-CN"/>
              </w:rPr>
              <w:t>（工艺为调节+厌氧+缺氧+好氧+沉淀）</w:t>
            </w:r>
            <w:r>
              <w:rPr>
                <w:rFonts w:hint="default" w:ascii="Times New Roman" w:hAnsi="Times New Roman" w:eastAsia="宋体" w:cs="Times New Roman"/>
                <w:color w:val="auto"/>
                <w:sz w:val="21"/>
                <w:szCs w:val="21"/>
                <w:highlight w:val="none"/>
              </w:rPr>
              <w:t>，生活污水处理后</w:t>
            </w:r>
            <w:r>
              <w:rPr>
                <w:rFonts w:hint="default" w:ascii="Times New Roman" w:hAnsi="Times New Roman" w:eastAsia="宋体" w:cs="Times New Roman"/>
                <w:color w:val="auto"/>
                <w:sz w:val="21"/>
                <w:szCs w:val="21"/>
                <w:highlight w:val="none"/>
                <w:lang w:val="en-US" w:eastAsia="zh-CN"/>
              </w:rPr>
              <w:t>回用于场地绿化和道路边坡绿化用水，不外排</w:t>
            </w:r>
          </w:p>
        </w:tc>
        <w:tc>
          <w:tcPr>
            <w:tcW w:w="1058" w:type="dxa"/>
            <w:tcBorders>
              <w:top w:val="single" w:color="auto" w:sz="4" w:space="0"/>
              <w:tl2br w:val="nil"/>
              <w:tr2bl w:val="nil"/>
            </w:tcBorders>
            <w:noWrap w:val="0"/>
            <w:vAlign w:val="center"/>
          </w:tcPr>
          <w:p w14:paraId="263012D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收费站</w:t>
            </w:r>
          </w:p>
        </w:tc>
        <w:tc>
          <w:tcPr>
            <w:tcW w:w="1545" w:type="dxa"/>
            <w:tcBorders>
              <w:top w:val="single" w:color="auto" w:sz="4" w:space="0"/>
              <w:tl2br w:val="nil"/>
              <w:tr2bl w:val="nil"/>
            </w:tcBorders>
            <w:noWrap w:val="0"/>
            <w:vAlign w:val="center"/>
          </w:tcPr>
          <w:p w14:paraId="7515A16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c>
          <w:tcPr>
            <w:tcW w:w="913" w:type="dxa"/>
            <w:tcBorders>
              <w:top w:val="single" w:color="auto" w:sz="4" w:space="0"/>
              <w:tl2br w:val="nil"/>
              <w:tr2bl w:val="nil"/>
            </w:tcBorders>
            <w:noWrap w:val="0"/>
            <w:vAlign w:val="center"/>
          </w:tcPr>
          <w:p w14:paraId="0BB5BFC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30</w:t>
            </w:r>
          </w:p>
        </w:tc>
        <w:tc>
          <w:tcPr>
            <w:tcW w:w="548" w:type="dxa"/>
            <w:tcBorders>
              <w:top w:val="single" w:color="auto" w:sz="4" w:space="0"/>
              <w:tl2br w:val="nil"/>
              <w:tr2bl w:val="nil"/>
            </w:tcBorders>
            <w:noWrap w:val="0"/>
            <w:vAlign w:val="center"/>
          </w:tcPr>
          <w:p w14:paraId="0F45AAB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p>
          <w:p w14:paraId="5FAC07A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46" w:type="dxa"/>
            <w:gridSpan w:val="2"/>
            <w:tcBorders>
              <w:top w:val="single" w:color="auto" w:sz="4" w:space="0"/>
              <w:tl2br w:val="nil"/>
              <w:tr2bl w:val="nil"/>
            </w:tcBorders>
            <w:noWrap w:val="0"/>
            <w:vAlign w:val="center"/>
          </w:tcPr>
          <w:p w14:paraId="04DC865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52B9A7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24" w:type="dxa"/>
          <w:trHeight w:val="90" w:hRule="atLeast"/>
        </w:trPr>
        <w:tc>
          <w:tcPr>
            <w:tcW w:w="678" w:type="dxa"/>
            <w:vMerge w:val="continue"/>
            <w:tcBorders>
              <w:tl2br w:val="nil"/>
              <w:tr2bl w:val="nil"/>
            </w:tcBorders>
            <w:noWrap w:val="0"/>
            <w:vAlign w:val="center"/>
          </w:tcPr>
          <w:p w14:paraId="62C8A87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tcBorders>
              <w:tl2br w:val="nil"/>
              <w:tr2bl w:val="nil"/>
            </w:tcBorders>
            <w:noWrap w:val="0"/>
            <w:vAlign w:val="center"/>
          </w:tcPr>
          <w:p w14:paraId="0942E43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2128" w:type="dxa"/>
            <w:tcBorders>
              <w:tl2br w:val="nil"/>
              <w:tr2bl w:val="nil"/>
            </w:tcBorders>
            <w:noWrap w:val="0"/>
            <w:vAlign w:val="center"/>
          </w:tcPr>
          <w:p w14:paraId="3F7D278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收费站</w:t>
            </w:r>
            <w:r>
              <w:rPr>
                <w:rFonts w:hint="default" w:ascii="Times New Roman" w:hAnsi="Times New Roman" w:eastAsia="宋体" w:cs="Times New Roman"/>
                <w:color w:val="auto"/>
                <w:sz w:val="21"/>
                <w:szCs w:val="21"/>
                <w:highlight w:val="none"/>
              </w:rPr>
              <w:t>设置生活垃圾收集点，对垃圾进行分类收集，收集后交由当地的环卫部门送往附近的城市垃圾处理场进行处理处置</w:t>
            </w:r>
          </w:p>
        </w:tc>
        <w:tc>
          <w:tcPr>
            <w:tcW w:w="1058" w:type="dxa"/>
            <w:tcBorders>
              <w:tl2br w:val="nil"/>
              <w:tr2bl w:val="nil"/>
            </w:tcBorders>
            <w:noWrap w:val="0"/>
            <w:vAlign w:val="center"/>
          </w:tcPr>
          <w:p w14:paraId="1D03DFB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收费站</w:t>
            </w:r>
          </w:p>
        </w:tc>
        <w:tc>
          <w:tcPr>
            <w:tcW w:w="1545" w:type="dxa"/>
            <w:tcBorders>
              <w:tl2br w:val="nil"/>
              <w:tr2bl w:val="nil"/>
            </w:tcBorders>
            <w:noWrap w:val="0"/>
            <w:vAlign w:val="center"/>
          </w:tcPr>
          <w:p w14:paraId="68BFA16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合法处置，处置率100%</w:t>
            </w:r>
          </w:p>
        </w:tc>
        <w:tc>
          <w:tcPr>
            <w:tcW w:w="913" w:type="dxa"/>
            <w:tcBorders>
              <w:tl2br w:val="nil"/>
              <w:tr2bl w:val="nil"/>
            </w:tcBorders>
            <w:noWrap w:val="0"/>
            <w:vAlign w:val="center"/>
          </w:tcPr>
          <w:p w14:paraId="70356A0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p>
        </w:tc>
        <w:tc>
          <w:tcPr>
            <w:tcW w:w="548" w:type="dxa"/>
            <w:tcBorders>
              <w:tl2br w:val="nil"/>
              <w:tr2bl w:val="nil"/>
            </w:tcBorders>
            <w:noWrap w:val="0"/>
            <w:vAlign w:val="center"/>
          </w:tcPr>
          <w:p w14:paraId="113A9EF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p>
          <w:p w14:paraId="2AD95A5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22" w:type="dxa"/>
            <w:tcBorders>
              <w:tl2br w:val="nil"/>
              <w:tr2bl w:val="nil"/>
            </w:tcBorders>
            <w:noWrap w:val="0"/>
            <w:vAlign w:val="center"/>
          </w:tcPr>
          <w:p w14:paraId="20D3CCD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064146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24" w:type="dxa"/>
          <w:trHeight w:val="1092" w:hRule="atLeast"/>
        </w:trPr>
        <w:tc>
          <w:tcPr>
            <w:tcW w:w="678" w:type="dxa"/>
            <w:vMerge w:val="continue"/>
            <w:tcBorders>
              <w:tl2br w:val="nil"/>
              <w:tr2bl w:val="nil"/>
            </w:tcBorders>
            <w:noWrap w:val="0"/>
            <w:vAlign w:val="center"/>
          </w:tcPr>
          <w:p w14:paraId="0BEDC55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tcBorders>
              <w:tl2br w:val="nil"/>
              <w:tr2bl w:val="nil"/>
            </w:tcBorders>
            <w:noWrap w:val="0"/>
            <w:vAlign w:val="center"/>
          </w:tcPr>
          <w:p w14:paraId="36FE4FF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2128" w:type="dxa"/>
            <w:tcBorders>
              <w:tl2br w:val="nil"/>
              <w:tr2bl w:val="nil"/>
            </w:tcBorders>
            <w:noWrap w:val="0"/>
            <w:vAlign w:val="center"/>
          </w:tcPr>
          <w:p w14:paraId="53D34C1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景观绿化</w:t>
            </w:r>
          </w:p>
        </w:tc>
        <w:tc>
          <w:tcPr>
            <w:tcW w:w="1058" w:type="dxa"/>
            <w:tcBorders>
              <w:tl2br w:val="nil"/>
              <w:tr2bl w:val="nil"/>
            </w:tcBorders>
            <w:noWrap w:val="0"/>
            <w:vAlign w:val="center"/>
          </w:tcPr>
          <w:p w14:paraId="701CB86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沿线中央分</w:t>
            </w:r>
          </w:p>
          <w:p w14:paraId="3DCFA9DA">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隔带、立交、</w:t>
            </w:r>
          </w:p>
          <w:p w14:paraId="59A1291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边坡</w:t>
            </w:r>
          </w:p>
        </w:tc>
        <w:tc>
          <w:tcPr>
            <w:tcW w:w="1545" w:type="dxa"/>
            <w:tcBorders>
              <w:tl2br w:val="nil"/>
              <w:tr2bl w:val="nil"/>
            </w:tcBorders>
            <w:noWrap w:val="0"/>
            <w:vAlign w:val="center"/>
          </w:tcPr>
          <w:p w14:paraId="177FC41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美化景观、水土保 持</w:t>
            </w:r>
          </w:p>
        </w:tc>
        <w:tc>
          <w:tcPr>
            <w:tcW w:w="913" w:type="dxa"/>
            <w:tcBorders>
              <w:tl2br w:val="nil"/>
              <w:tr2bl w:val="nil"/>
            </w:tcBorders>
            <w:noWrap w:val="0"/>
            <w:vAlign w:val="center"/>
          </w:tcPr>
          <w:p w14:paraId="5823473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1251</w:t>
            </w:r>
          </w:p>
        </w:tc>
        <w:tc>
          <w:tcPr>
            <w:tcW w:w="548" w:type="dxa"/>
            <w:tcBorders>
              <w:tl2br w:val="nil"/>
              <w:tr2bl w:val="nil"/>
            </w:tcBorders>
            <w:noWrap w:val="0"/>
            <w:vAlign w:val="center"/>
          </w:tcPr>
          <w:p w14:paraId="3D2AD82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p>
          <w:p w14:paraId="6645FEF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22" w:type="dxa"/>
            <w:tcBorders>
              <w:tl2br w:val="nil"/>
              <w:tr2bl w:val="nil"/>
            </w:tcBorders>
            <w:noWrap w:val="0"/>
            <w:vAlign w:val="center"/>
          </w:tcPr>
          <w:p w14:paraId="7FE9D5FA">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5BD4F4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24" w:type="dxa"/>
          <w:trHeight w:val="1087" w:hRule="atLeast"/>
        </w:trPr>
        <w:tc>
          <w:tcPr>
            <w:tcW w:w="678" w:type="dxa"/>
            <w:vMerge w:val="continue"/>
            <w:tcBorders>
              <w:tl2br w:val="nil"/>
              <w:tr2bl w:val="nil"/>
            </w:tcBorders>
            <w:noWrap w:val="0"/>
            <w:vAlign w:val="center"/>
          </w:tcPr>
          <w:p w14:paraId="0123A8E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vMerge w:val="restart"/>
            <w:tcBorders>
              <w:tl2br w:val="nil"/>
              <w:tr2bl w:val="nil"/>
            </w:tcBorders>
            <w:noWrap w:val="0"/>
            <w:vAlign w:val="center"/>
          </w:tcPr>
          <w:p w14:paraId="27E19C2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 风险</w:t>
            </w:r>
          </w:p>
        </w:tc>
        <w:tc>
          <w:tcPr>
            <w:tcW w:w="2128" w:type="dxa"/>
            <w:tcBorders>
              <w:tl2br w:val="nil"/>
              <w:tr2bl w:val="nil"/>
            </w:tcBorders>
            <w:noWrap w:val="0"/>
            <w:vAlign w:val="center"/>
          </w:tcPr>
          <w:p w14:paraId="4176403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在桥梁上设置有桥面径流收集系统、警示牌、加强防撞栏等设施。</w:t>
            </w:r>
          </w:p>
        </w:tc>
        <w:tc>
          <w:tcPr>
            <w:tcW w:w="1058" w:type="dxa"/>
            <w:tcBorders>
              <w:tl2br w:val="nil"/>
              <w:tr2bl w:val="nil"/>
            </w:tcBorders>
            <w:noWrap w:val="0"/>
            <w:vAlign w:val="center"/>
          </w:tcPr>
          <w:p w14:paraId="78D47B39">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沿线桥梁</w:t>
            </w:r>
          </w:p>
        </w:tc>
        <w:tc>
          <w:tcPr>
            <w:tcW w:w="1545" w:type="dxa"/>
            <w:tcBorders>
              <w:tl2br w:val="nil"/>
              <w:tr2bl w:val="nil"/>
            </w:tcBorders>
            <w:noWrap w:val="0"/>
            <w:vAlign w:val="center"/>
          </w:tcPr>
          <w:p w14:paraId="581327D2">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有效防止其对地表水环境造成污染和破坏。</w:t>
            </w:r>
          </w:p>
        </w:tc>
        <w:tc>
          <w:tcPr>
            <w:tcW w:w="913" w:type="dxa"/>
            <w:tcBorders>
              <w:tl2br w:val="nil"/>
              <w:tr2bl w:val="nil"/>
            </w:tcBorders>
            <w:noWrap w:val="0"/>
            <w:vAlign w:val="center"/>
          </w:tcPr>
          <w:p w14:paraId="0B6D536A">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548" w:type="dxa"/>
            <w:tcBorders>
              <w:tl2br w:val="nil"/>
              <w:tr2bl w:val="nil"/>
            </w:tcBorders>
            <w:noWrap w:val="0"/>
            <w:vAlign w:val="center"/>
          </w:tcPr>
          <w:p w14:paraId="7A73503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p>
          <w:p w14:paraId="3D79E892">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22" w:type="dxa"/>
            <w:tcBorders>
              <w:tl2br w:val="nil"/>
              <w:tr2bl w:val="nil"/>
            </w:tcBorders>
            <w:noWrap w:val="0"/>
            <w:vAlign w:val="center"/>
          </w:tcPr>
          <w:p w14:paraId="516C016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已实施</w:t>
            </w:r>
          </w:p>
        </w:tc>
      </w:tr>
      <w:tr w14:paraId="4AF89B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24" w:type="dxa"/>
          <w:trHeight w:val="820" w:hRule="atLeast"/>
        </w:trPr>
        <w:tc>
          <w:tcPr>
            <w:tcW w:w="678" w:type="dxa"/>
            <w:vMerge w:val="continue"/>
            <w:tcBorders>
              <w:tl2br w:val="nil"/>
              <w:tr2bl w:val="nil"/>
            </w:tcBorders>
            <w:noWrap w:val="0"/>
            <w:vAlign w:val="center"/>
          </w:tcPr>
          <w:p w14:paraId="6D73BF7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540" w:type="dxa"/>
            <w:gridSpan w:val="2"/>
            <w:vMerge w:val="continue"/>
            <w:tcBorders>
              <w:tl2br w:val="nil"/>
              <w:tr2bl w:val="nil"/>
            </w:tcBorders>
            <w:noWrap w:val="0"/>
            <w:vAlign w:val="center"/>
          </w:tcPr>
          <w:p w14:paraId="4254880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2128" w:type="dxa"/>
            <w:tcBorders>
              <w:tl2br w:val="nil"/>
              <w:tr2bl w:val="nil"/>
            </w:tcBorders>
            <w:noWrap w:val="0"/>
            <w:vAlign w:val="center"/>
          </w:tcPr>
          <w:p w14:paraId="002C8EB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lang w:val="en-US" w:eastAsia="zh-CN"/>
              </w:rPr>
              <w:t>环境风险应急预案和污染事故应急预案</w:t>
            </w:r>
          </w:p>
        </w:tc>
        <w:tc>
          <w:tcPr>
            <w:tcW w:w="1058" w:type="dxa"/>
            <w:tcBorders>
              <w:tl2br w:val="nil"/>
              <w:tr2bl w:val="nil"/>
            </w:tcBorders>
            <w:noWrap w:val="0"/>
            <w:vAlign w:val="center"/>
          </w:tcPr>
          <w:p w14:paraId="700C34D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沿线饮用水源保护区</w:t>
            </w:r>
          </w:p>
        </w:tc>
        <w:tc>
          <w:tcPr>
            <w:tcW w:w="1545" w:type="dxa"/>
            <w:tcBorders>
              <w:tl2br w:val="nil"/>
              <w:tr2bl w:val="nil"/>
            </w:tcBorders>
            <w:noWrap w:val="0"/>
            <w:vAlign w:val="center"/>
          </w:tcPr>
          <w:p w14:paraId="06DA53D7">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有效防止其对</w:t>
            </w:r>
            <w:r>
              <w:rPr>
                <w:rFonts w:hint="default" w:ascii="Times New Roman" w:hAnsi="Times New Roman" w:eastAsia="宋体" w:cs="Times New Roman"/>
                <w:color w:val="auto"/>
                <w:sz w:val="21"/>
                <w:szCs w:val="21"/>
                <w:highlight w:val="none"/>
                <w:lang w:val="en-US" w:eastAsia="zh-CN"/>
              </w:rPr>
              <w:t>周边环境</w:t>
            </w:r>
            <w:r>
              <w:rPr>
                <w:rFonts w:hint="default" w:ascii="Times New Roman" w:hAnsi="Times New Roman" w:eastAsia="宋体" w:cs="Times New Roman"/>
                <w:color w:val="auto"/>
                <w:sz w:val="21"/>
                <w:szCs w:val="21"/>
                <w:highlight w:val="none"/>
              </w:rPr>
              <w:t>造成污染和破坏。</w:t>
            </w:r>
          </w:p>
        </w:tc>
        <w:tc>
          <w:tcPr>
            <w:tcW w:w="913" w:type="dxa"/>
            <w:tcBorders>
              <w:tl2br w:val="nil"/>
              <w:tr2bl w:val="nil"/>
            </w:tcBorders>
            <w:noWrap w:val="0"/>
            <w:vAlign w:val="center"/>
          </w:tcPr>
          <w:p w14:paraId="2C1E249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548" w:type="dxa"/>
            <w:tcBorders>
              <w:tl2br w:val="nil"/>
              <w:tr2bl w:val="nil"/>
            </w:tcBorders>
            <w:noWrap w:val="0"/>
            <w:vAlign w:val="center"/>
          </w:tcPr>
          <w:p w14:paraId="4C706D66">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w:t>
            </w:r>
          </w:p>
          <w:p w14:paraId="0AB2A07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822" w:type="dxa"/>
            <w:tcBorders>
              <w:tl2br w:val="nil"/>
              <w:tr2bl w:val="nil"/>
            </w:tcBorders>
            <w:noWrap w:val="0"/>
            <w:vAlign w:val="center"/>
          </w:tcPr>
          <w:p w14:paraId="502E138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已实施</w:t>
            </w:r>
          </w:p>
        </w:tc>
      </w:tr>
      <w:tr w14:paraId="2A1003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24" w:type="dxa"/>
          <w:trHeight w:val="301" w:hRule="atLeast"/>
        </w:trPr>
        <w:tc>
          <w:tcPr>
            <w:tcW w:w="678" w:type="dxa"/>
            <w:tcBorders>
              <w:tl2br w:val="nil"/>
              <w:tr2bl w:val="nil"/>
            </w:tcBorders>
            <w:noWrap w:val="0"/>
            <w:vAlign w:val="center"/>
          </w:tcPr>
          <w:p w14:paraId="765750E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w:t>
            </w:r>
          </w:p>
        </w:tc>
        <w:tc>
          <w:tcPr>
            <w:tcW w:w="5271" w:type="dxa"/>
            <w:gridSpan w:val="5"/>
            <w:tcBorders>
              <w:tl2br w:val="nil"/>
              <w:tr2bl w:val="nil"/>
            </w:tcBorders>
            <w:noWrap w:val="0"/>
            <w:vAlign w:val="center"/>
          </w:tcPr>
          <w:p w14:paraId="3BF5DBC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总环保费用估算：</w:t>
            </w:r>
          </w:p>
        </w:tc>
        <w:tc>
          <w:tcPr>
            <w:tcW w:w="913" w:type="dxa"/>
            <w:tcBorders>
              <w:tl2br w:val="nil"/>
              <w:tr2bl w:val="nil"/>
            </w:tcBorders>
            <w:noWrap w:val="0"/>
            <w:vAlign w:val="center"/>
          </w:tcPr>
          <w:p w14:paraId="5B884BB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lang w:val="en-US" w:eastAsia="zh-CN"/>
              </w:rPr>
              <w:t>61.52</w:t>
            </w:r>
          </w:p>
        </w:tc>
        <w:tc>
          <w:tcPr>
            <w:tcW w:w="1370" w:type="dxa"/>
            <w:gridSpan w:val="2"/>
            <w:tcBorders>
              <w:tl2br w:val="nil"/>
              <w:tr2bl w:val="nil"/>
            </w:tcBorders>
            <w:noWrap w:val="0"/>
            <w:vAlign w:val="center"/>
          </w:tcPr>
          <w:p w14:paraId="2C8724AC">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w:t>
            </w:r>
          </w:p>
        </w:tc>
      </w:tr>
    </w:tbl>
    <w:p w14:paraId="30ACBD5C">
      <w:pPr>
        <w:spacing w:before="240"/>
        <w:ind w:firstLine="480"/>
        <w:rPr>
          <w:rFonts w:hint="default" w:ascii="Times New Roman" w:hAnsi="Times New Roman" w:cs="Times New Roman"/>
          <w:color w:val="auto"/>
          <w:szCs w:val="24"/>
        </w:rPr>
      </w:pPr>
      <w:r>
        <w:rPr>
          <w:rFonts w:hint="default" w:ascii="Times New Roman" w:hAnsi="Times New Roman" w:cs="Times New Roman"/>
          <w:color w:val="auto"/>
          <w:szCs w:val="24"/>
        </w:rPr>
        <w:t>从整个环保投资对照表来看，建设单位基本按照重新报批</w:t>
      </w:r>
      <w:r>
        <w:rPr>
          <w:rFonts w:hint="eastAsia" w:cs="Times New Roman"/>
          <w:color w:val="auto"/>
          <w:szCs w:val="24"/>
          <w:lang w:eastAsia="zh-CN"/>
        </w:rPr>
        <w:t>环评阶段</w:t>
      </w:r>
      <w:r>
        <w:rPr>
          <w:rFonts w:hint="default" w:ascii="Times New Roman" w:hAnsi="Times New Roman" w:cs="Times New Roman"/>
          <w:color w:val="auto"/>
          <w:szCs w:val="24"/>
        </w:rPr>
        <w:t>的要求落实了相关环保措施及投资，使生态环境保护、水环境、声环境等得到更好、更有效</w:t>
      </w:r>
      <w:r>
        <w:rPr>
          <w:rFonts w:hint="eastAsia" w:cs="Times New Roman"/>
          <w:color w:val="auto"/>
          <w:szCs w:val="24"/>
          <w:lang w:eastAsia="zh-CN"/>
        </w:rPr>
        <w:t>地</w:t>
      </w:r>
      <w:r>
        <w:rPr>
          <w:rFonts w:hint="default" w:ascii="Times New Roman" w:hAnsi="Times New Roman" w:cs="Times New Roman"/>
          <w:color w:val="auto"/>
          <w:szCs w:val="24"/>
        </w:rPr>
        <w:t>保护，公路建设对环境的影响得到有效控制。</w:t>
      </w:r>
    </w:p>
    <w:p w14:paraId="2D0996C8">
      <w:pPr>
        <w:rPr>
          <w:color w:val="auto"/>
        </w:rPr>
      </w:pPr>
      <w:r>
        <w:rPr>
          <w:color w:val="auto"/>
        </w:rPr>
        <w:br w:type="page"/>
      </w:r>
    </w:p>
    <w:p w14:paraId="0799B256">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eastAsia" w:ascii="Times New Roman" w:hAnsi="Times New Roman" w:eastAsia="宋体" w:cs="Times New Roman"/>
          <w:color w:val="auto"/>
          <w:sz w:val="36"/>
          <w:szCs w:val="36"/>
          <w:lang w:val="en-US" w:eastAsia="zh-CN"/>
        </w:rPr>
      </w:pPr>
      <w:bookmarkStart w:id="82" w:name="_Toc16478"/>
      <w:r>
        <w:rPr>
          <w:rFonts w:hint="eastAsia" w:ascii="Times New Roman" w:hAnsi="Times New Roman" w:eastAsia="宋体" w:cs="Times New Roman"/>
          <w:color w:val="auto"/>
          <w:sz w:val="36"/>
          <w:szCs w:val="36"/>
          <w:lang w:val="en-US" w:eastAsia="zh-CN"/>
        </w:rPr>
        <w:t>3 环境影响报告书回顾​</w:t>
      </w:r>
      <w:bookmarkEnd w:id="82"/>
    </w:p>
    <w:p w14:paraId="32F9C48F">
      <w:pPr>
        <w:pStyle w:val="3"/>
        <w:numPr>
          <w:ilvl w:val="1"/>
          <w:numId w:val="0"/>
        </w:numPr>
        <w:ind w:left="578" w:leftChars="0" w:hanging="578" w:firstLineChars="0"/>
        <w:rPr>
          <w:rFonts w:hint="eastAsia" w:ascii="Times New Roman" w:hAnsi="Times New Roman" w:cs="Times New Roman"/>
          <w:b/>
          <w:bCs/>
          <w:color w:val="auto"/>
          <w:kern w:val="2"/>
          <w:sz w:val="32"/>
          <w:szCs w:val="32"/>
          <w:lang w:val="en-US" w:eastAsia="zh-CN" w:bidi="ar-SA"/>
        </w:rPr>
      </w:pPr>
      <w:bookmarkStart w:id="83" w:name="_Toc17729"/>
      <w:r>
        <w:rPr>
          <w:rFonts w:hint="eastAsia" w:ascii="Times New Roman" w:hAnsi="Times New Roman" w:cs="Times New Roman"/>
          <w:b/>
          <w:bCs/>
          <w:color w:val="auto"/>
          <w:kern w:val="2"/>
          <w:sz w:val="32"/>
          <w:szCs w:val="32"/>
          <w:lang w:val="en-US" w:eastAsia="zh-CN" w:bidi="ar-SA"/>
        </w:rPr>
        <w:t>3.1 项目环评相关工作情况简述​</w:t>
      </w:r>
      <w:bookmarkEnd w:id="83"/>
    </w:p>
    <w:p w14:paraId="327DA9FB">
      <w:pPr>
        <w:keepNext w:val="0"/>
        <w:keepLines w:val="0"/>
        <w:pageBreakBefore w:val="0"/>
        <w:widowControl w:val="0"/>
        <w:kinsoku/>
        <w:wordWrap/>
        <w:overflowPunct/>
        <w:topLinePunct w:val="0"/>
        <w:autoSpaceDE/>
        <w:autoSpaceDN/>
        <w:bidi w:val="0"/>
        <w:adjustRightInd w:val="0"/>
        <w:snapToGrid w:val="0"/>
        <w:ind w:left="0"/>
        <w:textAlignment w:val="auto"/>
        <w:rPr>
          <w:rFonts w:hint="eastAsia"/>
          <w:color w:val="auto"/>
        </w:rPr>
      </w:pPr>
      <w:r>
        <w:rPr>
          <w:rFonts w:hint="eastAsia"/>
          <w:color w:val="auto"/>
        </w:rPr>
        <w:t>广安市过境高速公路东环线及渝广高速支线（重庆合川境）于2015年10月取得原环评批复（渝(合)环准〔2015〕152号），批复线路全长11.736km。</w:t>
      </w:r>
      <w:r>
        <w:rPr>
          <w:rFonts w:hint="eastAsia"/>
          <w:color w:val="auto"/>
          <w:lang w:val="en-US" w:eastAsia="zh-CN"/>
        </w:rPr>
        <w:t>验收调查期间，发现项目</w:t>
      </w:r>
      <w:r>
        <w:rPr>
          <w:rFonts w:hint="eastAsia"/>
          <w:color w:val="auto"/>
        </w:rPr>
        <w:t>因实际建设线路横向位移超200米的长度累计</w:t>
      </w:r>
      <w:r>
        <w:rPr>
          <w:rFonts w:hint="eastAsia"/>
          <w:color w:val="auto"/>
          <w:lang w:eastAsia="zh-CN"/>
        </w:rPr>
        <w:t>达到</w:t>
      </w:r>
      <w:r>
        <w:rPr>
          <w:rFonts w:hint="eastAsia"/>
          <w:color w:val="auto"/>
        </w:rPr>
        <w:t>原线路长度的77.96%，超出《高速公路建设项目重大变动清单（试行）》30%阈值，构成重大变动。</w:t>
      </w:r>
    </w:p>
    <w:p w14:paraId="2DCD67DE">
      <w:pPr>
        <w:keepNext w:val="0"/>
        <w:keepLines w:val="0"/>
        <w:pageBreakBefore w:val="0"/>
        <w:widowControl w:val="0"/>
        <w:kinsoku/>
        <w:wordWrap/>
        <w:overflowPunct/>
        <w:topLinePunct w:val="0"/>
        <w:autoSpaceDE/>
        <w:autoSpaceDN/>
        <w:bidi w:val="0"/>
        <w:adjustRightInd w:val="0"/>
        <w:snapToGrid w:val="0"/>
        <w:ind w:left="0"/>
        <w:textAlignment w:val="auto"/>
        <w:rPr>
          <w:rFonts w:hint="eastAsia"/>
          <w:color w:val="auto"/>
        </w:rPr>
      </w:pPr>
      <w:r>
        <w:rPr>
          <w:rFonts w:hint="eastAsia"/>
          <w:color w:val="auto"/>
        </w:rPr>
        <w:t>建设单位依法重新委托编制环境影响报告书，并于2026年取得重新报批批复（渝(合)环准〔2026〕12号）。</w:t>
      </w:r>
    </w:p>
    <w:p w14:paraId="2E9CA74E">
      <w:pPr>
        <w:pStyle w:val="3"/>
        <w:numPr>
          <w:ilvl w:val="0"/>
          <w:numId w:val="0"/>
        </w:numPr>
        <w:ind w:left="578" w:leftChars="0" w:hanging="578" w:firstLineChars="0"/>
        <w:rPr>
          <w:rFonts w:hint="default" w:ascii="Times New Roman" w:hAnsi="Times New Roman" w:cs="Times New Roman"/>
          <w:color w:val="auto"/>
        </w:rPr>
      </w:pPr>
      <w:bookmarkStart w:id="84" w:name="_Toc5184"/>
      <w:bookmarkStart w:id="85" w:name="_Toc3173"/>
      <w:r>
        <w:rPr>
          <w:rFonts w:hint="eastAsia" w:ascii="Times New Roman" w:hAnsi="Times New Roman" w:cs="Times New Roman"/>
          <w:b/>
          <w:bCs/>
          <w:color w:val="auto"/>
          <w:kern w:val="2"/>
          <w:sz w:val="32"/>
          <w:szCs w:val="32"/>
          <w:lang w:val="en-US" w:eastAsia="zh-CN" w:bidi="ar-SA"/>
        </w:rPr>
        <w:t>3.2</w:t>
      </w:r>
      <w:r>
        <w:rPr>
          <w:rFonts w:hint="default" w:ascii="Times New Roman" w:hAnsi="Times New Roman" w:cs="Times New Roman"/>
          <w:color w:val="auto"/>
        </w:rPr>
        <w:t>环境影响报告书主要内容回顾</w:t>
      </w:r>
      <w:bookmarkEnd w:id="84"/>
      <w:bookmarkEnd w:id="85"/>
    </w:p>
    <w:p w14:paraId="22BCA8EF">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3.2.1</w:t>
      </w:r>
      <w:r>
        <w:rPr>
          <w:rFonts w:hint="default" w:ascii="Times New Roman" w:hAnsi="Times New Roman" w:cs="Times New Roman"/>
          <w:color w:val="auto"/>
        </w:rPr>
        <w:t>工程概况</w:t>
      </w:r>
    </w:p>
    <w:p w14:paraId="759A8F0C">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项目总体为南北走向，起点位于重庆市合川区三汇镇斑竹院子附近（川渝界），经三汇镇桂花村、响水村、大田村、小沔镇竹湾村、石窝村，同时在小沔镇石窝村设置小沔收费站连接合川区地方公路，终点位于小沔镇石窝村。</w:t>
      </w:r>
    </w:p>
    <w:p w14:paraId="6B279DD4">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szCs w:val="24"/>
        </w:rPr>
        <w:t>工程实际主要建设内容为：主线长9.668km</w:t>
      </w:r>
      <w:r>
        <w:rPr>
          <w:rFonts w:hint="default" w:ascii="Times New Roman" w:hAnsi="Times New Roman" w:cs="Times New Roman"/>
          <w:color w:val="auto"/>
          <w:lang w:val="en-US" w:eastAsia="zh-CN"/>
        </w:rPr>
        <w:t>（加上小沔枢纽互通式立交全线共计10.979km）</w:t>
      </w:r>
      <w:r>
        <w:rPr>
          <w:rFonts w:hint="default" w:ascii="Times New Roman" w:hAnsi="Times New Roman" w:eastAsia="宋体" w:cs="Times New Roman"/>
          <w:color w:val="auto"/>
          <w:szCs w:val="24"/>
        </w:rPr>
        <w:t>，设大中桥3座（总长481m），涵洞及通道</w:t>
      </w:r>
      <w:r>
        <w:rPr>
          <w:rFonts w:hint="eastAsia" w:cs="Times New Roman"/>
          <w:color w:val="auto"/>
          <w:szCs w:val="24"/>
          <w:lang w:val="en-US" w:eastAsia="zh-CN"/>
        </w:rPr>
        <w:t>57</w:t>
      </w:r>
      <w:r>
        <w:rPr>
          <w:rFonts w:hint="default" w:ascii="Times New Roman" w:hAnsi="Times New Roman" w:eastAsia="宋体" w:cs="Times New Roman"/>
          <w:color w:val="auto"/>
          <w:szCs w:val="24"/>
        </w:rPr>
        <w:t>道，车行天桥4座；设互通式立交1处（小沔枢纽互通），匝道收费站1处（小沔收费站）。实际建设取消了原初步设计批复的省界收费站和服务区。工程无隧道。</w:t>
      </w:r>
    </w:p>
    <w:p w14:paraId="706FC910">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b w:val="0"/>
          <w:color w:val="auto"/>
          <w:sz w:val="24"/>
          <w:highlight w:val="none"/>
          <w:lang w:val="en-US" w:eastAsia="zh-CN"/>
        </w:rPr>
      </w:pPr>
      <w:r>
        <w:rPr>
          <w:rFonts w:hint="default" w:ascii="Times New Roman" w:hAnsi="Times New Roman" w:eastAsia="宋体" w:cs="Times New Roman"/>
          <w:b w:val="0"/>
          <w:color w:val="auto"/>
          <w:sz w:val="24"/>
          <w:highlight w:val="none"/>
          <w:lang w:val="en-US" w:eastAsia="zh-CN"/>
        </w:rPr>
        <w:t>项目于2018年9月开工建设，2020年12月主体及辅助工程完工并通车运行。</w:t>
      </w:r>
    </w:p>
    <w:p w14:paraId="58A99D4D">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3.2.2</w:t>
      </w:r>
      <w:r>
        <w:rPr>
          <w:rFonts w:hint="default" w:ascii="Times New Roman" w:hAnsi="Times New Roman" w:cs="Times New Roman"/>
          <w:color w:val="auto"/>
        </w:rPr>
        <w:t>环境现状</w:t>
      </w:r>
    </w:p>
    <w:p w14:paraId="358764CE">
      <w:pPr>
        <w:pStyle w:val="24"/>
        <w:ind w:firstLine="480"/>
        <w:rPr>
          <w:rFonts w:hint="eastAsia" w:cs="Times New Roman"/>
          <w:color w:val="auto"/>
          <w:szCs w:val="24"/>
          <w:lang w:val="en-US" w:eastAsia="zh-CN"/>
        </w:rPr>
      </w:pPr>
      <w:r>
        <w:rPr>
          <w:rFonts w:hint="default" w:ascii="Times New Roman" w:hAnsi="Times New Roman" w:cs="Times New Roman"/>
          <w:color w:val="auto"/>
          <w:szCs w:val="24"/>
        </w:rPr>
        <w:t>根据《2025年合川区统计公报》</w:t>
      </w:r>
      <w:r>
        <w:rPr>
          <w:rFonts w:hint="eastAsia" w:cs="Times New Roman"/>
          <w:color w:val="auto"/>
          <w:szCs w:val="24"/>
          <w:lang w:val="en-US" w:eastAsia="zh-CN"/>
        </w:rPr>
        <w:t>相关数据。</w:t>
      </w:r>
    </w:p>
    <w:p w14:paraId="64C1A95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1、环境空气质量现状</w:t>
      </w:r>
    </w:p>
    <w:p w14:paraId="63E7BEAC">
      <w:pPr>
        <w:pStyle w:val="24"/>
        <w:ind w:firstLine="480"/>
        <w:rPr>
          <w:rFonts w:hint="eastAsia" w:ascii="Times New Roman" w:hAnsi="Times New Roman" w:eastAsia="宋体" w:cs="Times New Roman"/>
          <w:color w:val="auto"/>
          <w:szCs w:val="24"/>
          <w:lang w:eastAsia="zh-CN"/>
        </w:rPr>
      </w:pPr>
      <w:r>
        <w:rPr>
          <w:rFonts w:hint="default" w:ascii="Times New Roman" w:hAnsi="Times New Roman" w:cs="Times New Roman"/>
          <w:color w:val="auto"/>
          <w:szCs w:val="24"/>
        </w:rPr>
        <w:t>空气环境（大幅改善）：空气质量优良天数较上年增加了16天；PM2.5浓度同比下降9.3%</w:t>
      </w:r>
      <w:r>
        <w:rPr>
          <w:rFonts w:hint="eastAsia" w:cs="Times New Roman"/>
          <w:color w:val="auto"/>
          <w:szCs w:val="24"/>
          <w:lang w:eastAsia="zh-CN"/>
        </w:rPr>
        <w:t>。</w:t>
      </w:r>
    </w:p>
    <w:p w14:paraId="7A80FC9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2、地表水环境质量现状</w:t>
      </w:r>
    </w:p>
    <w:p w14:paraId="792EDA3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水环境（全优）：国控考核断面、集中式饮用水水源地、水功能区水质达标率均保持在100%；嘉陵江、渠江、涪江（统称“三江”）干流水质稳定保持Ⅱ类；城市生活污水处理厂三期建成投用。</w:t>
      </w:r>
    </w:p>
    <w:p w14:paraId="6E029CA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3、声环境质量现状</w:t>
      </w:r>
    </w:p>
    <w:p w14:paraId="63B302F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由监测结果及评价标准可知，各敏感点噪声均满足《声环境质量标准》（GB3096-2008）4a及2类标准。</w:t>
      </w:r>
    </w:p>
    <w:p w14:paraId="5D65C76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4、生态环境</w:t>
      </w:r>
    </w:p>
    <w:p w14:paraId="1C8CB85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（1）植物物种、植被</w:t>
      </w:r>
    </w:p>
    <w:p w14:paraId="0D629C8D">
      <w:pPr>
        <w:bidi w:val="0"/>
        <w:rPr>
          <w:rFonts w:hint="default" w:ascii="Times New Roman" w:hAnsi="Times New Roman" w:eastAsia="宋体" w:cs="Times New Roman"/>
          <w:color w:val="auto"/>
          <w:spacing w:val="-4"/>
          <w:sz w:val="24"/>
          <w:szCs w:val="24"/>
          <w:lang w:val="en-US" w:eastAsia="zh-CN"/>
        </w:rPr>
      </w:pPr>
      <w:r>
        <w:rPr>
          <w:rFonts w:hint="default" w:ascii="Times New Roman" w:hAnsi="Times New Roman" w:eastAsia="宋体" w:cs="Times New Roman"/>
          <w:color w:val="auto"/>
          <w:lang w:eastAsia="zh-CN"/>
        </w:rPr>
        <w:t>现场调查情况，评价区地带性植物为亚热带常绿阔叶林，植被覆盖度较高，亚热带针叶林、阔叶林植被，亚热带灌丛、草丛植被</w:t>
      </w:r>
      <w:r>
        <w:rPr>
          <w:rFonts w:hint="eastAsia" w:cs="Times New Roman"/>
          <w:color w:val="auto"/>
          <w:lang w:eastAsia="zh-CN"/>
        </w:rPr>
        <w:t>较为</w:t>
      </w:r>
      <w:r>
        <w:rPr>
          <w:rFonts w:hint="default" w:ascii="Times New Roman" w:hAnsi="Times New Roman" w:eastAsia="宋体" w:cs="Times New Roman"/>
          <w:color w:val="auto"/>
          <w:lang w:val="en-US" w:eastAsia="zh-CN"/>
        </w:rPr>
        <w:t>常见</w:t>
      </w:r>
      <w:r>
        <w:rPr>
          <w:rFonts w:hint="eastAsia" w:cs="Times New Roman"/>
          <w:color w:val="auto"/>
          <w:lang w:val="en-US" w:eastAsia="zh-CN"/>
        </w:rPr>
        <w:t>，具</w:t>
      </w:r>
      <w:r>
        <w:rPr>
          <w:rFonts w:hint="default" w:ascii="Times New Roman" w:hAnsi="Times New Roman" w:eastAsia="宋体" w:cs="Times New Roman"/>
          <w:color w:val="auto"/>
          <w:lang w:eastAsia="zh-CN"/>
        </w:rPr>
        <w:t>有明显的热带特征</w:t>
      </w:r>
      <w:r>
        <w:rPr>
          <w:rFonts w:hint="default" w:ascii="Times New Roman" w:hAnsi="Times New Roman" w:eastAsia="宋体" w:cs="Times New Roman"/>
          <w:color w:val="auto"/>
          <w:spacing w:val="-2"/>
          <w:sz w:val="24"/>
          <w:szCs w:val="24"/>
          <w:lang w:eastAsia="zh-CN"/>
        </w:rPr>
        <w:t>，评价区内天然植</w:t>
      </w:r>
      <w:r>
        <w:rPr>
          <w:rFonts w:hint="default" w:ascii="Times New Roman" w:hAnsi="Times New Roman" w:eastAsia="宋体" w:cs="Times New Roman"/>
          <w:color w:val="auto"/>
          <w:spacing w:val="-2"/>
          <w:sz w:val="24"/>
          <w:szCs w:val="24"/>
          <w:lang w:val="en-US" w:eastAsia="zh-CN"/>
        </w:rPr>
        <w:t>被和人工栽植植被均广泛分布。</w:t>
      </w:r>
    </w:p>
    <w:p w14:paraId="6FBD538E">
      <w:pPr>
        <w:pStyle w:val="24"/>
        <w:ind w:firstLine="480"/>
        <w:rPr>
          <w:rFonts w:hint="default" w:ascii="Times New Roman" w:hAnsi="Times New Roman" w:cs="Times New Roman"/>
          <w:color w:val="auto"/>
          <w:szCs w:val="24"/>
          <w:lang w:val="en-US" w:eastAsia="zh-CN"/>
        </w:rPr>
      </w:pPr>
      <w:r>
        <w:rPr>
          <w:rFonts w:hint="default" w:ascii="Times New Roman" w:hAnsi="Times New Roman" w:eastAsia="宋体" w:cs="Times New Roman"/>
          <w:color w:val="auto"/>
          <w:sz w:val="24"/>
          <w:szCs w:val="24"/>
          <w:highlight w:val="none"/>
          <w:lang w:val="en-US" w:eastAsia="zh-CN"/>
        </w:rPr>
        <w:t>按照《四川植被》中的分区，评价区的植被区划属于：亚热带常绿阔叶林区——川东盆地偏湿性常绿阔叶林亚带——盆地底部丘陵低山植被地区——川东平行岭谷植被小区。原生植被已极罕见，天然次生林和人工林是主要现存的植被，自然植被组合单纯，如马尾松林、柏木林、毛竹林、黄荆灌丛和亚热带低山禾草草丛等</w:t>
      </w:r>
      <w:r>
        <w:rPr>
          <w:rFonts w:hint="default" w:ascii="Times New Roman" w:hAnsi="Times New Roman" w:cs="Times New Roman"/>
          <w:color w:val="auto"/>
          <w:szCs w:val="24"/>
          <w:lang w:val="en-US" w:eastAsia="zh-CN"/>
        </w:rPr>
        <w:t>。</w:t>
      </w:r>
    </w:p>
    <w:p w14:paraId="49C29957">
      <w:pPr>
        <w:pStyle w:val="24"/>
        <w:ind w:firstLine="480"/>
        <w:rPr>
          <w:rFonts w:hint="eastAsia" w:ascii="Times New Roman" w:hAnsi="Times New Roman" w:eastAsia="宋体" w:cs="Times New Roman"/>
          <w:color w:val="auto"/>
          <w:szCs w:val="24"/>
          <w:lang w:val="en-US" w:eastAsia="zh-CN"/>
        </w:rPr>
      </w:pPr>
      <w:r>
        <w:rPr>
          <w:rFonts w:hint="default" w:ascii="Times New Roman" w:hAnsi="Times New Roman" w:eastAsia="宋体" w:cs="Times New Roman"/>
          <w:color w:val="auto"/>
          <w:highlight w:val="none"/>
        </w:rPr>
        <w:t>按照《中国植被》的植被分类原则、单位和系统，以及野外调查、整理出的样地资料，对工程评价区的植被类型进行划分。</w:t>
      </w:r>
      <w:r>
        <w:rPr>
          <w:rFonts w:ascii="Times New Roman" w:hAnsi="Times New Roman" w:eastAsia="宋体" w:cs="Times New Roman"/>
          <w:color w:val="auto"/>
          <w:highlight w:val="none"/>
        </w:rPr>
        <w:t>结果表明，评价区植被类型可以划分成</w:t>
      </w:r>
      <w:r>
        <w:rPr>
          <w:rFonts w:hint="eastAsia" w:ascii="Times New Roman" w:hAnsi="Times New Roman" w:eastAsia="宋体" w:cs="Times New Roman"/>
          <w:color w:val="auto"/>
          <w:highlight w:val="none"/>
          <w:lang w:val="en-US" w:eastAsia="zh-CN"/>
        </w:rPr>
        <w:t>3</w:t>
      </w:r>
      <w:r>
        <w:rPr>
          <w:rFonts w:ascii="Times New Roman" w:hAnsi="Times New Roman" w:eastAsia="宋体" w:cs="Times New Roman"/>
          <w:color w:val="auto"/>
          <w:highlight w:val="none"/>
        </w:rPr>
        <w:t>个植被型</w:t>
      </w:r>
      <w:r>
        <w:rPr>
          <w:rFonts w:hint="eastAsia" w:ascii="Times New Roman" w:hAnsi="Times New Roman" w:eastAsia="宋体" w:cs="Times New Roman"/>
          <w:color w:val="auto"/>
          <w:highlight w:val="none"/>
          <w:lang w:val="en-US" w:eastAsia="zh-CN"/>
        </w:rPr>
        <w:t>组</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8</w:t>
      </w:r>
      <w:r>
        <w:rPr>
          <w:rFonts w:ascii="Times New Roman" w:hAnsi="Times New Roman" w:eastAsia="宋体" w:cs="Times New Roman"/>
          <w:color w:val="auto"/>
          <w:highlight w:val="none"/>
        </w:rPr>
        <w:t>个群系组、</w:t>
      </w:r>
      <w:r>
        <w:rPr>
          <w:rFonts w:hint="eastAsia" w:ascii="Times New Roman" w:hAnsi="Times New Roman" w:eastAsia="宋体" w:cs="Times New Roman"/>
          <w:color w:val="auto"/>
          <w:highlight w:val="none"/>
          <w:lang w:val="en-US" w:eastAsia="zh-CN"/>
        </w:rPr>
        <w:t>8</w:t>
      </w:r>
      <w:r>
        <w:rPr>
          <w:rFonts w:ascii="Times New Roman" w:hAnsi="Times New Roman" w:eastAsia="宋体" w:cs="Times New Roman"/>
          <w:color w:val="auto"/>
          <w:highlight w:val="none"/>
        </w:rPr>
        <w:t>个群系</w:t>
      </w:r>
      <w:r>
        <w:rPr>
          <w:rFonts w:hint="eastAsia" w:ascii="Times New Roman" w:hAnsi="Times New Roman" w:eastAsia="宋体" w:cs="Times New Roman"/>
          <w:color w:val="auto"/>
          <w:highlight w:val="none"/>
          <w:lang w:eastAsia="zh-CN"/>
        </w:rPr>
        <w:t>。</w:t>
      </w:r>
    </w:p>
    <w:p w14:paraId="4482F39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本次评价范围内的林地主要为人工林，区域植物种类主要为马尾松、杉木、青冈、竹类及其他常见灌草植物和经济林木等。按照现行的《中国生物多样性红色名录》、《国家重点保护野生植物名录》（国家林业和草原局农业农村部公告2021年第15号）、《重庆市重点保护野生植物名录》（渝林规范〔2023〕2号、《全国古树名木普查建档技术规定（2001）》以及相关科考资料，评价区无国家和市级重点保护、濒危、特有野生植物和古树名木等重要物种分布，另由于现已结束施工期，在施工范围内未发现名木古树、珍稀濒危野生植物，建设单位已出具了施工用地不涉及古树名木的说明（详见附件）。</w:t>
      </w:r>
    </w:p>
    <w:p w14:paraId="13C38E71">
      <w:pPr>
        <w:pStyle w:val="24"/>
        <w:ind w:firstLine="480"/>
        <w:rPr>
          <w:rFonts w:hint="default" w:ascii="Times New Roman" w:hAnsi="Times New Roman" w:cs="Times New Roman"/>
          <w:color w:val="auto"/>
          <w:szCs w:val="24"/>
        </w:rPr>
      </w:pPr>
      <w:r>
        <w:rPr>
          <w:rFonts w:hint="eastAsia" w:cs="Times New Roman"/>
          <w:color w:val="auto"/>
          <w:szCs w:val="24"/>
          <w:lang w:val="en-US" w:eastAsia="zh-CN"/>
        </w:rPr>
        <w:t>综上所述</w:t>
      </w:r>
      <w:r>
        <w:rPr>
          <w:rFonts w:hint="default" w:ascii="Times New Roman" w:hAnsi="Times New Roman" w:cs="Times New Roman"/>
          <w:color w:val="auto"/>
          <w:szCs w:val="24"/>
          <w:lang w:val="en-US" w:eastAsia="zh-CN"/>
        </w:rPr>
        <w:t>，项目沿线评价范围内没有古树名木分布。</w:t>
      </w:r>
    </w:p>
    <w:p w14:paraId="42EAFE0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（2）动物</w:t>
      </w:r>
    </w:p>
    <w:p w14:paraId="63E8C22E">
      <w:pPr>
        <w:keepNext w:val="0"/>
        <w:keepLines w:val="0"/>
        <w:pageBreakBefore w:val="0"/>
        <w:widowControl/>
        <w:kinsoku w:val="0"/>
        <w:wordWrap/>
        <w:overflowPunct/>
        <w:topLinePunct w:val="0"/>
        <w:autoSpaceDE w:val="0"/>
        <w:autoSpaceDN w:val="0"/>
        <w:bidi w:val="0"/>
        <w:adjustRightInd w:val="0"/>
        <w:snapToGrid w:val="0"/>
        <w:spacing w:line="360" w:lineRule="auto"/>
        <w:ind w:right="100" w:firstLine="480" w:firstLineChars="200"/>
        <w:textAlignment w:val="baseline"/>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经实地调查、访问并结合相关历史资料，</w:t>
      </w:r>
      <w:r>
        <w:rPr>
          <w:rFonts w:hint="default" w:ascii="Times New Roman" w:hAnsi="Times New Roman" w:eastAsia="宋体" w:cs="Times New Roman"/>
          <w:color w:val="auto"/>
          <w:sz w:val="24"/>
          <w:highlight w:val="none"/>
        </w:rPr>
        <w:t>评价区</w:t>
      </w:r>
      <w:r>
        <w:rPr>
          <w:rFonts w:hint="default" w:ascii="Times New Roman" w:hAnsi="Times New Roman" w:eastAsia="宋体" w:cs="Times New Roman"/>
          <w:color w:val="auto"/>
          <w:sz w:val="24"/>
          <w:highlight w:val="none"/>
          <w:lang w:val="en-US" w:eastAsia="zh-CN"/>
        </w:rPr>
        <w:t>及周边物种组成如下</w:t>
      </w:r>
      <w:r>
        <w:rPr>
          <w:rFonts w:hint="eastAsia" w:ascii="Times New Roman" w:hAnsi="Times New Roman" w:eastAsia="宋体" w:cs="Times New Roman"/>
          <w:color w:val="auto"/>
          <w:sz w:val="24"/>
          <w:highlight w:val="none"/>
          <w:lang w:val="en-US" w:eastAsia="zh-CN"/>
        </w:rPr>
        <w:t>：</w:t>
      </w:r>
    </w:p>
    <w:p w14:paraId="14C7855B">
      <w:pPr>
        <w:keepNext w:val="0"/>
        <w:keepLines w:val="0"/>
        <w:pageBreakBefore w:val="0"/>
        <w:widowControl/>
        <w:kinsoku w:val="0"/>
        <w:wordWrap/>
        <w:overflowPunct/>
        <w:topLinePunct w:val="0"/>
        <w:autoSpaceDE w:val="0"/>
        <w:autoSpaceDN w:val="0"/>
        <w:bidi w:val="0"/>
        <w:adjustRightInd w:val="0"/>
        <w:snapToGrid w:val="0"/>
        <w:spacing w:line="360" w:lineRule="auto"/>
        <w:ind w:right="100" w:firstLine="480" w:firstLineChars="200"/>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1）两栖类</w:t>
      </w:r>
    </w:p>
    <w:p w14:paraId="3CA6AC79">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评价区内两栖动物主要为蟾蜍科、蛙科，评价区内无国家级和市级保护两栖物种。</w:t>
      </w:r>
    </w:p>
    <w:p w14:paraId="35EFB7CB">
      <w:pPr>
        <w:keepNext w:val="0"/>
        <w:keepLines w:val="0"/>
        <w:pageBreakBefore w:val="0"/>
        <w:widowControl/>
        <w:kinsoku w:val="0"/>
        <w:wordWrap/>
        <w:overflowPunct/>
        <w:topLinePunct w:val="0"/>
        <w:autoSpaceDE w:val="0"/>
        <w:autoSpaceDN w:val="0"/>
        <w:bidi w:val="0"/>
        <w:adjustRightInd w:val="0"/>
        <w:snapToGrid w:val="0"/>
        <w:spacing w:line="360" w:lineRule="auto"/>
        <w:ind w:left="60" w:right="100" w:firstLine="482"/>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2）爬行类</w:t>
      </w:r>
    </w:p>
    <w:p w14:paraId="24DE5A91">
      <w:pPr>
        <w:keepNext w:val="0"/>
        <w:keepLines w:val="0"/>
        <w:pageBreakBefore w:val="0"/>
        <w:widowControl/>
        <w:kinsoku w:val="0"/>
        <w:wordWrap/>
        <w:overflowPunct/>
        <w:topLinePunct w:val="0"/>
        <w:autoSpaceDE w:val="0"/>
        <w:autoSpaceDN w:val="0"/>
        <w:bidi w:val="0"/>
        <w:adjustRightInd w:val="0"/>
        <w:snapToGrid w:val="0"/>
        <w:spacing w:line="360" w:lineRule="auto"/>
        <w:ind w:left="60" w:right="100" w:firstLine="482"/>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评价区主要分布游蛇科、壁虎科。有重庆市市级保护物种1种：乌梢蛇。</w:t>
      </w:r>
    </w:p>
    <w:p w14:paraId="352C490D">
      <w:pPr>
        <w:keepNext w:val="0"/>
        <w:keepLines w:val="0"/>
        <w:pageBreakBefore w:val="0"/>
        <w:widowControl/>
        <w:kinsoku w:val="0"/>
        <w:wordWrap/>
        <w:overflowPunct/>
        <w:topLinePunct w:val="0"/>
        <w:autoSpaceDE w:val="0"/>
        <w:autoSpaceDN w:val="0"/>
        <w:bidi w:val="0"/>
        <w:adjustRightInd w:val="0"/>
        <w:snapToGrid w:val="0"/>
        <w:spacing w:line="360" w:lineRule="auto"/>
        <w:ind w:left="60" w:right="100" w:firstLine="482"/>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3）鸟类</w:t>
      </w:r>
    </w:p>
    <w:p w14:paraId="2CD1E645">
      <w:pPr>
        <w:pStyle w:val="1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评价区内鸟类以雀形目为主。常见的有画眉科、鸫科等</w:t>
      </w:r>
      <w:r>
        <w:rPr>
          <w:rFonts w:hint="eastAsia" w:eastAsia="宋体"/>
          <w:color w:val="auto"/>
          <w:lang w:eastAsia="zh-CN"/>
        </w:rPr>
        <w:t>；</w:t>
      </w:r>
      <w:r>
        <w:rPr>
          <w:rFonts w:hint="default" w:ascii="Times New Roman" w:hAnsi="Times New Roman" w:eastAsia="宋体" w:cs="Times New Roman"/>
          <w:color w:val="auto"/>
          <w:sz w:val="24"/>
          <w:highlight w:val="none"/>
          <w:lang w:val="en-US" w:eastAsia="zh-CN"/>
        </w:rPr>
        <w:t>无国家级保护物种，有重庆市市级保护物种1种：四声杜鹃</w:t>
      </w:r>
      <w:r>
        <w:rPr>
          <w:rFonts w:hint="eastAsia" w:ascii="Times New Roman" w:hAnsi="Times New Roman" w:eastAsia="宋体" w:cs="Times New Roman"/>
          <w:color w:val="auto"/>
          <w:sz w:val="24"/>
          <w:highlight w:val="none"/>
          <w:lang w:val="en-US" w:eastAsia="zh-CN"/>
        </w:rPr>
        <w:t>。</w:t>
      </w:r>
    </w:p>
    <w:p w14:paraId="6FA5734C">
      <w:pPr>
        <w:keepNext w:val="0"/>
        <w:keepLines w:val="0"/>
        <w:pageBreakBefore w:val="0"/>
        <w:widowControl/>
        <w:kinsoku w:val="0"/>
        <w:wordWrap/>
        <w:overflowPunct/>
        <w:topLinePunct w:val="0"/>
        <w:autoSpaceDE w:val="0"/>
        <w:autoSpaceDN w:val="0"/>
        <w:bidi w:val="0"/>
        <w:adjustRightInd w:val="0"/>
        <w:snapToGrid w:val="0"/>
        <w:spacing w:line="360" w:lineRule="auto"/>
        <w:ind w:left="60" w:right="100" w:firstLine="482"/>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4）兽类</w:t>
      </w:r>
    </w:p>
    <w:p w14:paraId="3CAC4A22">
      <w:pPr>
        <w:pStyle w:val="24"/>
        <w:ind w:firstLine="480"/>
        <w:rPr>
          <w:rFonts w:hint="default" w:ascii="Times New Roman" w:hAnsi="Times New Roman" w:cs="Times New Roman"/>
          <w:color w:val="auto"/>
          <w:szCs w:val="24"/>
        </w:rPr>
      </w:pPr>
      <w:r>
        <w:rPr>
          <w:rFonts w:hint="default" w:ascii="Times New Roman" w:hAnsi="Times New Roman" w:eastAsia="宋体" w:cs="Times New Roman"/>
          <w:color w:val="auto"/>
          <w:sz w:val="24"/>
          <w:highlight w:val="none"/>
          <w:lang w:val="en-US" w:eastAsia="zh-CN"/>
        </w:rPr>
        <w:t>评价区兽类较少，主要为小型兽类（如兔目、啮齿目等）为主</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草兔、小家鼠等，多与人类的经济活动区重叠。有重庆市市级保护物种1种：黄鼬。</w:t>
      </w:r>
      <w:r>
        <w:rPr>
          <w:rFonts w:hint="default" w:ascii="Times New Roman" w:hAnsi="Times New Roman" w:cs="Times New Roman"/>
          <w:color w:val="auto"/>
          <w:szCs w:val="24"/>
          <w:lang w:val="en-US" w:eastAsia="zh-CN"/>
        </w:rPr>
        <w:t>项目沿线评价范围内无国家重点保护野生动物及其生境集中、成规模分布。</w:t>
      </w:r>
    </w:p>
    <w:p w14:paraId="57369AB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（3）水生生态</w:t>
      </w:r>
    </w:p>
    <w:p w14:paraId="7231458D">
      <w:pPr>
        <w:adjustRightInd w:val="0"/>
        <w:snapToGrid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项目所在区域属</w:t>
      </w:r>
      <w:r>
        <w:rPr>
          <w:rFonts w:hint="default" w:ascii="Times New Roman" w:hAnsi="Times New Roman" w:eastAsia="宋体" w:cs="Times New Roman"/>
          <w:color w:val="auto"/>
          <w:highlight w:val="none"/>
          <w:lang w:val="en-US" w:eastAsia="zh-CN"/>
        </w:rPr>
        <w:t>嘉陵江</w:t>
      </w:r>
      <w:r>
        <w:rPr>
          <w:rFonts w:hint="default" w:ascii="Times New Roman" w:hAnsi="Times New Roman" w:eastAsia="宋体" w:cs="Times New Roman"/>
          <w:color w:val="auto"/>
          <w:highlight w:val="none"/>
        </w:rPr>
        <w:t>流域，项目沿线评价范围内的河流主要有</w:t>
      </w:r>
      <w:r>
        <w:rPr>
          <w:rFonts w:hint="default" w:ascii="Times New Roman" w:hAnsi="Times New Roman" w:eastAsia="宋体" w:cs="Times New Roman"/>
          <w:color w:val="auto"/>
          <w:highlight w:val="none"/>
          <w:lang w:val="en-US" w:eastAsia="zh-CN"/>
        </w:rPr>
        <w:t>代峨溪（属于渠江一级支流）、团结水库泄流沟</w:t>
      </w:r>
      <w:r>
        <w:rPr>
          <w:rFonts w:hint="default" w:ascii="Times New Roman" w:hAnsi="Times New Roman" w:eastAsia="宋体" w:cs="Times New Roman"/>
          <w:color w:val="auto"/>
          <w:highlight w:val="none"/>
        </w:rPr>
        <w:t>，水库有</w:t>
      </w:r>
      <w:r>
        <w:rPr>
          <w:rFonts w:hint="default" w:ascii="Times New Roman" w:hAnsi="Times New Roman" w:eastAsia="宋体" w:cs="Times New Roman"/>
          <w:color w:val="auto"/>
          <w:highlight w:val="none"/>
          <w:lang w:val="en-US" w:eastAsia="zh-CN"/>
        </w:rPr>
        <w:t>石庙子</w:t>
      </w:r>
      <w:r>
        <w:rPr>
          <w:rFonts w:hint="default" w:ascii="Times New Roman" w:hAnsi="Times New Roman" w:eastAsia="宋体" w:cs="Times New Roman"/>
          <w:color w:val="auto"/>
          <w:highlight w:val="none"/>
        </w:rPr>
        <w:t>水库</w:t>
      </w:r>
      <w:r>
        <w:rPr>
          <w:rFonts w:hint="default" w:ascii="Times New Roman" w:hAnsi="Times New Roman" w:eastAsia="宋体" w:cs="Times New Roman"/>
          <w:color w:val="auto"/>
          <w:highlight w:val="none"/>
          <w:lang w:val="en-US" w:eastAsia="zh-CN"/>
        </w:rPr>
        <w:t>。</w:t>
      </w:r>
    </w:p>
    <w:p w14:paraId="43A888D3">
      <w:pPr>
        <w:pStyle w:val="24"/>
        <w:ind w:firstLine="480"/>
        <w:rPr>
          <w:rFonts w:hint="default" w:ascii="Times New Roman" w:hAnsi="Times New Roman" w:cs="Times New Roman"/>
          <w:color w:val="auto"/>
          <w:szCs w:val="24"/>
        </w:rPr>
      </w:pPr>
      <w:r>
        <w:rPr>
          <w:rFonts w:hint="default" w:ascii="Times New Roman" w:hAnsi="Times New Roman" w:eastAsia="宋体" w:cs="Times New Roman"/>
          <w:color w:val="auto"/>
          <w:highlight w:val="none"/>
        </w:rPr>
        <w:t>根据</w:t>
      </w:r>
      <w:r>
        <w:rPr>
          <w:rFonts w:hint="default" w:ascii="Times New Roman" w:hAnsi="Times New Roman" w:cs="Times New Roman"/>
          <w:color w:val="auto"/>
          <w:highlight w:val="none"/>
          <w:lang w:val="en-US" w:eastAsia="zh-CN"/>
        </w:rPr>
        <w:t>调查访问及近期相关区域的调查数据</w:t>
      </w:r>
      <w:r>
        <w:rPr>
          <w:rFonts w:hint="default" w:ascii="Times New Roman" w:hAnsi="Times New Roman" w:eastAsia="宋体" w:cs="Times New Roman"/>
          <w:color w:val="auto"/>
          <w:highlight w:val="none"/>
        </w:rPr>
        <w:t>，</w:t>
      </w:r>
      <w:r>
        <w:rPr>
          <w:rFonts w:hint="eastAsia" w:ascii="宋体" w:hAnsi="宋体" w:eastAsia="宋体" w:cs="宋体"/>
          <w:snapToGrid w:val="0"/>
          <w:color w:val="auto"/>
          <w:kern w:val="0"/>
          <w:sz w:val="24"/>
          <w:szCs w:val="24"/>
          <w:lang w:val="en-US" w:eastAsia="zh-CN" w:bidi="ar"/>
        </w:rPr>
        <w:t>参考《四川鱼类志》、《中国淡水鱼类的分布区划》等</w:t>
      </w:r>
      <w:r>
        <w:rPr>
          <w:rFonts w:hint="eastAsia" w:ascii="宋体" w:hAnsi="宋体" w:cs="宋体"/>
          <w:snapToGrid w:val="0"/>
          <w:color w:val="auto"/>
          <w:kern w:val="0"/>
          <w:sz w:val="24"/>
          <w:szCs w:val="24"/>
          <w:lang w:val="en-US" w:eastAsia="zh-CN" w:bidi="ar"/>
        </w:rPr>
        <w:t>，评价区分布有泥鳅、</w:t>
      </w:r>
      <w:r>
        <w:rPr>
          <w:rFonts w:hint="default" w:ascii="Times New Roman" w:hAnsi="Times New Roman" w:cs="Times New Roman"/>
          <w:color w:val="auto"/>
          <w:sz w:val="24"/>
          <w:szCs w:val="24"/>
          <w:highlight w:val="none"/>
        </w:rPr>
        <w:t>鲫</w:t>
      </w:r>
      <w:r>
        <w:rPr>
          <w:rFonts w:hint="eastAsia" w:ascii="Times New Roman" w:hAnsi="Times New Roman" w:cs="Times New Roman"/>
          <w:color w:val="auto"/>
          <w:sz w:val="24"/>
          <w:szCs w:val="24"/>
          <w:highlight w:val="none"/>
          <w:lang w:val="en-US" w:eastAsia="zh-CN"/>
        </w:rPr>
        <w:t>鱼</w:t>
      </w:r>
      <w:r>
        <w:rPr>
          <w:rFonts w:hint="eastAsia" w:ascii="宋体" w:hAnsi="宋体" w:cs="宋体"/>
          <w:snapToGrid w:val="0"/>
          <w:color w:val="auto"/>
          <w:kern w:val="0"/>
          <w:sz w:val="24"/>
          <w:szCs w:val="24"/>
          <w:lang w:val="en-US" w:eastAsia="zh-CN" w:bidi="ar"/>
        </w:rPr>
        <w:t>、</w:t>
      </w:r>
      <w:r>
        <w:rPr>
          <w:rFonts w:hint="default" w:ascii="Times New Roman" w:hAnsi="Times New Roman" w:cs="Times New Roman"/>
          <w:color w:val="auto"/>
          <w:sz w:val="24"/>
          <w:szCs w:val="24"/>
          <w:highlight w:val="none"/>
        </w:rPr>
        <w:t>鲤</w:t>
      </w:r>
      <w:r>
        <w:rPr>
          <w:rFonts w:hint="eastAsia" w:ascii="Times New Roman" w:hAnsi="Times New Roman" w:cs="Times New Roman"/>
          <w:color w:val="auto"/>
          <w:sz w:val="24"/>
          <w:szCs w:val="24"/>
          <w:highlight w:val="none"/>
          <w:lang w:val="en-US" w:eastAsia="zh-CN"/>
        </w:rPr>
        <w:t>鱼</w:t>
      </w:r>
      <w:r>
        <w:rPr>
          <w:rFonts w:hint="eastAsia" w:ascii="宋体" w:hAnsi="宋体" w:cs="宋体"/>
          <w:snapToGrid w:val="0"/>
          <w:color w:val="auto"/>
          <w:kern w:val="0"/>
          <w:sz w:val="24"/>
          <w:szCs w:val="24"/>
          <w:lang w:val="en-US" w:eastAsia="zh-CN" w:bidi="ar"/>
        </w:rPr>
        <w:t>等常见鱼类</w:t>
      </w:r>
      <w:r>
        <w:rPr>
          <w:rFonts w:hint="default" w:ascii="Times New Roman" w:hAnsi="Times New Roman" w:eastAsia="宋体" w:cs="Times New Roman"/>
          <w:color w:val="auto"/>
          <w:highlight w:val="none"/>
        </w:rPr>
        <w:t>，未发现珍稀保护鱼类。</w:t>
      </w:r>
      <w:r>
        <w:rPr>
          <w:rFonts w:hint="default" w:ascii="Times New Roman" w:hAnsi="Times New Roman" w:eastAsia="宋体" w:cs="Times New Roman"/>
          <w:color w:val="auto"/>
          <w:kern w:val="2"/>
          <w:highlight w:val="none"/>
        </w:rPr>
        <w:t>项目区</w:t>
      </w:r>
      <w:r>
        <w:rPr>
          <w:rFonts w:hint="eastAsia"/>
          <w:color w:val="auto"/>
          <w:lang w:val="en-US" w:eastAsia="zh-CN"/>
        </w:rPr>
        <w:t>不涉及</w:t>
      </w:r>
      <w:r>
        <w:rPr>
          <w:rFonts w:hint="eastAsia" w:ascii="宋体" w:hAnsi="宋体" w:eastAsia="宋体" w:cs="宋体"/>
          <w:snapToGrid w:val="0"/>
          <w:color w:val="auto"/>
          <w:kern w:val="0"/>
          <w:sz w:val="24"/>
          <w:szCs w:val="24"/>
          <w:lang w:val="en-US" w:eastAsia="zh-CN" w:bidi="ar"/>
        </w:rPr>
        <w:t>鱼类重要生境</w:t>
      </w:r>
      <w:r>
        <w:rPr>
          <w:rFonts w:hint="eastAsia" w:ascii="宋体" w:hAnsi="宋体" w:cs="宋体"/>
          <w:snapToGrid w:val="0"/>
          <w:color w:val="auto"/>
          <w:kern w:val="0"/>
          <w:sz w:val="24"/>
          <w:szCs w:val="24"/>
          <w:lang w:val="en-US" w:eastAsia="zh-CN" w:bidi="ar"/>
        </w:rPr>
        <w:t>、</w:t>
      </w:r>
      <w:r>
        <w:rPr>
          <w:rFonts w:hint="default" w:ascii="Times New Roman" w:hAnsi="Times New Roman" w:eastAsia="宋体" w:cs="Times New Roman"/>
          <w:color w:val="auto"/>
          <w:kern w:val="2"/>
          <w:highlight w:val="none"/>
        </w:rPr>
        <w:t>鱼类“三场”和鱼类洄游通道分布，也无国家级和重庆市级重点保护鱼类和特有鱼类分布</w:t>
      </w:r>
      <w:r>
        <w:rPr>
          <w:rFonts w:hint="default" w:ascii="Times New Roman" w:hAnsi="Times New Roman" w:cs="Times New Roman"/>
          <w:color w:val="auto"/>
          <w:szCs w:val="24"/>
          <w:lang w:val="en-US" w:eastAsia="zh-CN"/>
        </w:rPr>
        <w:t>。</w:t>
      </w:r>
    </w:p>
    <w:p w14:paraId="590330A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（4）生态系统</w:t>
      </w:r>
    </w:p>
    <w:p w14:paraId="0C0E2EF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根据野外调查，拟建公路沿线的生态系统可分为灌草丛生态系统，湿地生态系统，农田村落生态系统，城镇生态系统和道路生态系统。</w:t>
      </w:r>
    </w:p>
    <w:p w14:paraId="27F4D9A7">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3.2.3</w:t>
      </w:r>
      <w:r>
        <w:rPr>
          <w:rFonts w:hint="default" w:ascii="Times New Roman" w:hAnsi="Times New Roman" w:cs="Times New Roman"/>
          <w:color w:val="auto"/>
        </w:rPr>
        <w:t>环境影响评价结论</w:t>
      </w:r>
    </w:p>
    <w:p w14:paraId="5B75F7BF">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1、</w:t>
      </w:r>
      <w:r>
        <w:rPr>
          <w:rFonts w:hint="eastAsia" w:cs="Times New Roman"/>
          <w:color w:val="auto"/>
          <w:szCs w:val="24"/>
          <w:lang w:val="en-US" w:eastAsia="zh-CN"/>
        </w:rPr>
        <w:t>社会影响</w:t>
      </w:r>
    </w:p>
    <w:p w14:paraId="78032DDA">
      <w:pPr>
        <w:pStyle w:val="24"/>
        <w:ind w:firstLine="480"/>
        <w:rPr>
          <w:rFonts w:hint="default" w:ascii="Times New Roman" w:hAnsi="Times New Roman" w:cs="Times New Roman"/>
          <w:snapToGrid w:val="0"/>
          <w:color w:val="auto"/>
          <w:szCs w:val="24"/>
        </w:rPr>
      </w:pPr>
      <w:r>
        <w:rPr>
          <w:rFonts w:hint="default" w:ascii="Times New Roman" w:hAnsi="Times New Roman" w:cs="Times New Roman"/>
          <w:snapToGrid w:val="0"/>
          <w:color w:val="auto"/>
          <w:szCs w:val="24"/>
          <w:lang w:val="en-US" w:eastAsia="zh-CN"/>
        </w:rPr>
        <w:t>项目建</w:t>
      </w:r>
      <w:r>
        <w:rPr>
          <w:rFonts w:hint="eastAsia" w:cs="Times New Roman"/>
          <w:snapToGrid w:val="0"/>
          <w:color w:val="auto"/>
          <w:szCs w:val="24"/>
          <w:lang w:val="en-US" w:eastAsia="zh-CN"/>
        </w:rPr>
        <w:t>成后</w:t>
      </w:r>
      <w:r>
        <w:rPr>
          <w:rFonts w:hint="default" w:ascii="Times New Roman" w:hAnsi="Times New Roman" w:cs="Times New Roman"/>
          <w:snapToGrid w:val="0"/>
          <w:color w:val="auto"/>
          <w:szCs w:val="24"/>
          <w:lang w:val="en-US" w:eastAsia="zh-CN"/>
        </w:rPr>
        <w:t>将直接加强广安市华岳前经济圈与渝广达发展带的联系</w:t>
      </w:r>
      <w:r>
        <w:rPr>
          <w:rFonts w:hint="eastAsia" w:cs="Times New Roman"/>
          <w:snapToGrid w:val="0"/>
          <w:color w:val="auto"/>
          <w:szCs w:val="24"/>
          <w:lang w:val="en-US" w:eastAsia="zh-CN"/>
        </w:rPr>
        <w:t>，</w:t>
      </w:r>
      <w:r>
        <w:rPr>
          <w:rFonts w:hint="default" w:ascii="Times New Roman" w:hAnsi="Times New Roman" w:cs="Times New Roman"/>
          <w:snapToGrid w:val="0"/>
          <w:color w:val="auto"/>
          <w:szCs w:val="24"/>
          <w:lang w:val="en-US" w:eastAsia="zh-CN"/>
        </w:rPr>
        <w:t>增强广安作为成渝北环线快速通达重要节点的带动作用，有利于合川</w:t>
      </w:r>
      <w:r>
        <w:rPr>
          <w:rFonts w:hint="eastAsia" w:ascii="Times New Roman" w:hAnsi="Times New Roman" w:cs="Times New Roman"/>
          <w:snapToGrid w:val="0"/>
          <w:color w:val="auto"/>
          <w:szCs w:val="24"/>
          <w:lang w:val="en-US" w:eastAsia="zh-CN"/>
        </w:rPr>
        <w:t>区</w:t>
      </w:r>
      <w:r>
        <w:rPr>
          <w:rFonts w:hint="default" w:ascii="Times New Roman" w:hAnsi="Times New Roman" w:cs="Times New Roman"/>
          <w:snapToGrid w:val="0"/>
          <w:color w:val="auto"/>
          <w:szCs w:val="24"/>
          <w:lang w:val="en-US" w:eastAsia="zh-CN"/>
        </w:rPr>
        <w:t>为</w:t>
      </w:r>
      <w:r>
        <w:rPr>
          <w:rFonts w:hint="eastAsia" w:cs="Times New Roman"/>
          <w:snapToGrid w:val="0"/>
          <w:color w:val="auto"/>
          <w:szCs w:val="24"/>
          <w:lang w:val="en-US" w:eastAsia="zh-CN"/>
        </w:rPr>
        <w:t>重庆西</w:t>
      </w:r>
      <w:r>
        <w:rPr>
          <w:rFonts w:hint="default" w:ascii="Times New Roman" w:hAnsi="Times New Roman" w:cs="Times New Roman"/>
          <w:snapToGrid w:val="0"/>
          <w:color w:val="auto"/>
          <w:szCs w:val="24"/>
          <w:lang w:val="en-US" w:eastAsia="zh-CN"/>
        </w:rPr>
        <w:t>向开放前沿阵地功能的发挥，强化和支撑成渝经济区渝广达发展带的产业布局和社会经济发展。</w:t>
      </w:r>
    </w:p>
    <w:p w14:paraId="62B9E16F">
      <w:pPr>
        <w:pStyle w:val="24"/>
        <w:ind w:firstLine="480"/>
        <w:rPr>
          <w:rFonts w:hint="default" w:ascii="Times New Roman" w:hAnsi="Times New Roman" w:cs="Times New Roman"/>
          <w:snapToGrid w:val="0"/>
          <w:color w:val="auto"/>
          <w:szCs w:val="24"/>
        </w:rPr>
      </w:pPr>
      <w:r>
        <w:rPr>
          <w:rFonts w:hint="default" w:ascii="Times New Roman" w:hAnsi="Times New Roman" w:cs="Times New Roman"/>
          <w:snapToGrid w:val="0"/>
          <w:color w:val="auto"/>
          <w:szCs w:val="24"/>
          <w:lang w:val="en-US" w:eastAsia="zh-CN"/>
        </w:rPr>
        <w:t>本项目的建设，有利于合川与广安各经济走廊的联系，打通与</w:t>
      </w:r>
      <w:r>
        <w:rPr>
          <w:rFonts w:hint="eastAsia" w:cs="Times New Roman"/>
          <w:snapToGrid w:val="0"/>
          <w:color w:val="auto"/>
          <w:szCs w:val="24"/>
          <w:lang w:val="en-US" w:eastAsia="zh-CN"/>
        </w:rPr>
        <w:t>四川</w:t>
      </w:r>
      <w:r>
        <w:rPr>
          <w:rFonts w:hint="default" w:ascii="Times New Roman" w:hAnsi="Times New Roman" w:cs="Times New Roman"/>
          <w:snapToGrid w:val="0"/>
          <w:color w:val="auto"/>
          <w:szCs w:val="24"/>
          <w:lang w:val="en-US" w:eastAsia="zh-CN"/>
        </w:rPr>
        <w:t>的连接通道，能加快广安市融入重庆经济圈，承接重庆的产业转移，实现川渝合作新局面。</w:t>
      </w:r>
    </w:p>
    <w:p w14:paraId="7E7611D0">
      <w:pPr>
        <w:pStyle w:val="24"/>
        <w:ind w:firstLine="480"/>
        <w:rPr>
          <w:rFonts w:hint="default" w:ascii="Times New Roman" w:hAnsi="Times New Roman" w:cs="Times New Roman"/>
          <w:snapToGrid w:val="0"/>
          <w:color w:val="auto"/>
          <w:szCs w:val="24"/>
        </w:rPr>
      </w:pPr>
      <w:r>
        <w:rPr>
          <w:rFonts w:hint="default" w:ascii="Times New Roman" w:hAnsi="Times New Roman" w:cs="Times New Roman"/>
          <w:snapToGrid w:val="0"/>
          <w:color w:val="auto"/>
          <w:szCs w:val="24"/>
          <w:lang w:val="en-US" w:eastAsia="zh-CN"/>
        </w:rPr>
        <w:t>本项目符合</w:t>
      </w:r>
      <w:r>
        <w:rPr>
          <w:rFonts w:hint="eastAsia" w:cs="Times New Roman"/>
          <w:snapToGrid w:val="0"/>
          <w:color w:val="auto"/>
          <w:szCs w:val="24"/>
          <w:lang w:val="en-US" w:eastAsia="zh-CN"/>
        </w:rPr>
        <w:t>重庆</w:t>
      </w:r>
      <w:r>
        <w:rPr>
          <w:rFonts w:hint="default" w:ascii="Times New Roman" w:hAnsi="Times New Roman" w:cs="Times New Roman"/>
          <w:snapToGrid w:val="0"/>
          <w:color w:val="auto"/>
          <w:szCs w:val="24"/>
          <w:lang w:val="en-US" w:eastAsia="zh-CN"/>
        </w:rPr>
        <w:t>市</w:t>
      </w:r>
      <w:r>
        <w:rPr>
          <w:rFonts w:hint="eastAsia" w:cs="Times New Roman"/>
          <w:snapToGrid w:val="0"/>
          <w:color w:val="auto"/>
          <w:szCs w:val="24"/>
          <w:lang w:val="en-US" w:eastAsia="zh-CN"/>
        </w:rPr>
        <w:t>西</w:t>
      </w:r>
      <w:r>
        <w:rPr>
          <w:rFonts w:hint="default" w:ascii="Times New Roman" w:hAnsi="Times New Roman" w:cs="Times New Roman"/>
          <w:snapToGrid w:val="0"/>
          <w:color w:val="auto"/>
          <w:szCs w:val="24"/>
          <w:lang w:val="en-US" w:eastAsia="zh-CN"/>
        </w:rPr>
        <w:t>扩、跨江发展思路，有利于改善</w:t>
      </w:r>
      <w:r>
        <w:rPr>
          <w:rFonts w:hint="eastAsia" w:cs="Times New Roman"/>
          <w:snapToGrid w:val="0"/>
          <w:color w:val="auto"/>
          <w:szCs w:val="24"/>
          <w:lang w:val="en-US" w:eastAsia="zh-CN"/>
        </w:rPr>
        <w:t>合川</w:t>
      </w:r>
      <w:r>
        <w:rPr>
          <w:rFonts w:hint="default" w:ascii="Times New Roman" w:hAnsi="Times New Roman" w:cs="Times New Roman"/>
          <w:snapToGrid w:val="0"/>
          <w:color w:val="auto"/>
          <w:szCs w:val="24"/>
          <w:lang w:val="en-US" w:eastAsia="zh-CN"/>
        </w:rPr>
        <w:t>各重要经济组团的交通及出行条件，带动</w:t>
      </w:r>
      <w:r>
        <w:rPr>
          <w:rFonts w:hint="eastAsia" w:cs="Times New Roman"/>
          <w:snapToGrid w:val="0"/>
          <w:color w:val="auto"/>
          <w:szCs w:val="24"/>
          <w:lang w:val="en-US" w:eastAsia="zh-CN"/>
        </w:rPr>
        <w:t>合川区</w:t>
      </w:r>
      <w:r>
        <w:rPr>
          <w:rFonts w:hint="default" w:ascii="Times New Roman" w:hAnsi="Times New Roman" w:cs="Times New Roman"/>
          <w:snapToGrid w:val="0"/>
          <w:color w:val="auto"/>
          <w:szCs w:val="24"/>
          <w:lang w:val="en-US" w:eastAsia="zh-CN"/>
        </w:rPr>
        <w:t>社会经济发展，挖掘经济发展潜力，缩小与</w:t>
      </w:r>
      <w:r>
        <w:rPr>
          <w:rFonts w:hint="eastAsia" w:cs="Times New Roman"/>
          <w:snapToGrid w:val="0"/>
          <w:color w:val="auto"/>
          <w:szCs w:val="24"/>
          <w:lang w:val="en-US" w:eastAsia="zh-CN"/>
        </w:rPr>
        <w:t>重庆</w:t>
      </w:r>
      <w:r>
        <w:rPr>
          <w:rFonts w:hint="default" w:ascii="Times New Roman" w:hAnsi="Times New Roman" w:cs="Times New Roman"/>
          <w:snapToGrid w:val="0"/>
          <w:color w:val="auto"/>
          <w:szCs w:val="24"/>
          <w:lang w:val="en-US" w:eastAsia="zh-CN"/>
        </w:rPr>
        <w:t>其他经济区域间的发展差距。</w:t>
      </w:r>
    </w:p>
    <w:p w14:paraId="72796F82">
      <w:pPr>
        <w:pStyle w:val="24"/>
        <w:ind w:firstLine="480"/>
        <w:rPr>
          <w:rFonts w:hint="default" w:ascii="Times New Roman" w:hAnsi="Times New Roman" w:cs="Times New Roman"/>
          <w:snapToGrid w:val="0"/>
          <w:color w:val="auto"/>
          <w:szCs w:val="24"/>
        </w:rPr>
      </w:pPr>
      <w:r>
        <w:rPr>
          <w:rFonts w:hint="default" w:ascii="Times New Roman" w:hAnsi="Times New Roman" w:cs="Times New Roman"/>
          <w:snapToGrid w:val="0"/>
          <w:color w:val="auto"/>
          <w:szCs w:val="24"/>
          <w:lang w:val="en-US" w:eastAsia="zh-CN"/>
        </w:rPr>
        <w:t>本项目的建设能屏蔽</w:t>
      </w:r>
      <w:r>
        <w:rPr>
          <w:rFonts w:hint="eastAsia" w:cs="Times New Roman"/>
          <w:snapToGrid w:val="0"/>
          <w:color w:val="auto"/>
          <w:szCs w:val="24"/>
          <w:lang w:val="en-US" w:eastAsia="zh-CN"/>
        </w:rPr>
        <w:t>合川</w:t>
      </w:r>
      <w:r>
        <w:rPr>
          <w:rFonts w:hint="default" w:ascii="Times New Roman" w:hAnsi="Times New Roman" w:cs="Times New Roman"/>
          <w:snapToGrid w:val="0"/>
          <w:color w:val="auto"/>
          <w:szCs w:val="24"/>
          <w:lang w:val="en-US" w:eastAsia="zh-CN"/>
        </w:rPr>
        <w:t>主城区过境交通、方便各组团快速接入高速公路路网、构建</w:t>
      </w:r>
      <w:r>
        <w:rPr>
          <w:rFonts w:hint="eastAsia" w:cs="Times New Roman"/>
          <w:snapToGrid w:val="0"/>
          <w:color w:val="auto"/>
          <w:szCs w:val="24"/>
          <w:lang w:val="en-US" w:eastAsia="zh-CN"/>
        </w:rPr>
        <w:t>合川</w:t>
      </w:r>
      <w:r>
        <w:rPr>
          <w:rFonts w:hint="default" w:ascii="Times New Roman" w:hAnsi="Times New Roman" w:cs="Times New Roman"/>
          <w:snapToGrid w:val="0"/>
          <w:color w:val="auto"/>
          <w:szCs w:val="24"/>
          <w:lang w:val="en-US" w:eastAsia="zh-CN"/>
        </w:rPr>
        <w:t>区域性次级交通枢纽。</w:t>
      </w:r>
    </w:p>
    <w:p w14:paraId="1A4C5133">
      <w:pPr>
        <w:pStyle w:val="24"/>
        <w:ind w:firstLine="480"/>
        <w:rPr>
          <w:rFonts w:hint="default" w:ascii="Times New Roman" w:hAnsi="Times New Roman" w:cs="Times New Roman"/>
          <w:snapToGrid w:val="0"/>
          <w:color w:val="auto"/>
          <w:szCs w:val="24"/>
        </w:rPr>
      </w:pPr>
      <w:r>
        <w:rPr>
          <w:rFonts w:hint="default" w:ascii="Times New Roman" w:hAnsi="Times New Roman" w:cs="Times New Roman"/>
          <w:snapToGrid w:val="0"/>
          <w:color w:val="auto"/>
          <w:szCs w:val="24"/>
          <w:lang w:val="en-US" w:eastAsia="zh-CN"/>
        </w:rPr>
        <w:t>本项目的建设将重点改善革命老区的交通基础设施，为革命老区的经济发展提供基础条件；整合区域特色资源，大力发展红色旅游业和绿色农业；打造经济通道，带动沿线相关产业发展，促进革命老区经济建设，进一步实现区域协调发展。</w:t>
      </w:r>
    </w:p>
    <w:p w14:paraId="1496FC9E">
      <w:pPr>
        <w:spacing w:line="360" w:lineRule="auto"/>
        <w:rPr>
          <w:rFonts w:hint="default" w:ascii="Times New Roman" w:hAnsi="Times New Roman" w:eastAsia="宋体" w:cs="Times New Roman"/>
          <w:color w:val="auto"/>
          <w:spacing w:val="0"/>
          <w:w w:val="100"/>
          <w:kern w:val="0"/>
          <w:position w:val="0"/>
          <w:sz w:val="24"/>
          <w:szCs w:val="24"/>
          <w:lang w:eastAsia="zh-CN"/>
        </w:rPr>
      </w:pPr>
      <w:r>
        <w:rPr>
          <w:rFonts w:hint="eastAsia" w:ascii="Times New Roman" w:hAnsi="Times New Roman" w:eastAsia="宋体" w:cs="Times New Roman"/>
          <w:b w:val="0"/>
          <w:color w:val="auto"/>
          <w:sz w:val="24"/>
          <w:highlight w:val="none"/>
          <w:lang w:val="en-US" w:eastAsia="zh-CN"/>
        </w:rPr>
        <w:t>根据重新报批回顾性分析</w:t>
      </w:r>
      <w:r>
        <w:rPr>
          <w:rFonts w:hint="eastAsia" w:ascii="Times New Roman" w:hAnsi="Times New Roman" w:eastAsia="宋体" w:cs="Times New Roman"/>
          <w:b w:val="0"/>
          <w:color w:val="auto"/>
          <w:sz w:val="24"/>
          <w:szCs w:val="24"/>
          <w:highlight w:val="none"/>
          <w:lang w:val="en-US" w:eastAsia="zh-CN"/>
        </w:rPr>
        <w:t>，</w:t>
      </w:r>
      <w:r>
        <w:rPr>
          <w:rFonts w:hint="default" w:ascii="Times New Roman" w:hAnsi="Times New Roman" w:eastAsia="宋体" w:cs="Times New Roman"/>
          <w:color w:val="auto"/>
          <w:spacing w:val="0"/>
          <w:w w:val="100"/>
          <w:kern w:val="0"/>
          <w:position w:val="0"/>
          <w:sz w:val="24"/>
          <w:szCs w:val="24"/>
          <w:highlight w:val="none"/>
          <w:lang w:eastAsia="zh-CN"/>
        </w:rPr>
        <w:t>本项目总</w:t>
      </w:r>
      <w:r>
        <w:rPr>
          <w:rFonts w:hint="default" w:ascii="Times New Roman" w:hAnsi="Times New Roman" w:eastAsia="宋体" w:cs="Times New Roman"/>
          <w:color w:val="auto"/>
          <w:spacing w:val="0"/>
          <w:w w:val="100"/>
          <w:kern w:val="0"/>
          <w:position w:val="0"/>
          <w:sz w:val="24"/>
          <w:szCs w:val="24"/>
          <w:highlight w:val="none"/>
        </w:rPr>
        <w:t>占地</w:t>
      </w:r>
      <w:r>
        <w:rPr>
          <w:rFonts w:hint="default" w:ascii="Times New Roman" w:hAnsi="Times New Roman" w:eastAsia="宋体" w:cs="Times New Roman"/>
          <w:color w:val="auto"/>
          <w:spacing w:val="0"/>
          <w:w w:val="100"/>
          <w:kern w:val="0"/>
          <w:position w:val="0"/>
          <w:sz w:val="24"/>
          <w:szCs w:val="24"/>
          <w:highlight w:val="none"/>
          <w:lang w:eastAsia="zh-CN"/>
        </w:rPr>
        <w:t>面积为</w:t>
      </w:r>
      <w:r>
        <w:rPr>
          <w:rFonts w:hint="default" w:ascii="Times New Roman" w:hAnsi="Times New Roman" w:eastAsia="宋体" w:cs="Times New Roman"/>
          <w:color w:val="auto"/>
          <w:spacing w:val="0"/>
          <w:w w:val="100"/>
          <w:kern w:val="0"/>
          <w:position w:val="0"/>
          <w:sz w:val="24"/>
          <w:szCs w:val="24"/>
          <w:highlight w:val="none"/>
          <w:lang w:val="en-US" w:eastAsia="zh-CN"/>
        </w:rPr>
        <w:t>72.62hm</w:t>
      </w:r>
      <w:r>
        <w:rPr>
          <w:rFonts w:hint="default" w:ascii="Times New Roman" w:hAnsi="Times New Roman" w:eastAsia="宋体" w:cs="Times New Roman"/>
          <w:color w:val="auto"/>
          <w:spacing w:val="0"/>
          <w:w w:val="100"/>
          <w:kern w:val="0"/>
          <w:position w:val="0"/>
          <w:sz w:val="24"/>
          <w:szCs w:val="24"/>
          <w:highlight w:val="none"/>
          <w:vertAlign w:val="superscript"/>
        </w:rPr>
        <w:t>2</w:t>
      </w:r>
      <w:r>
        <w:rPr>
          <w:rFonts w:hint="default" w:ascii="Times New Roman" w:hAnsi="Times New Roman" w:eastAsia="宋体" w:cs="Times New Roman"/>
          <w:color w:val="auto"/>
          <w:spacing w:val="0"/>
          <w:w w:val="100"/>
          <w:kern w:val="0"/>
          <w:position w:val="0"/>
          <w:sz w:val="24"/>
          <w:szCs w:val="24"/>
          <w:highlight w:val="none"/>
        </w:rPr>
        <w:t>，其中永久占地</w:t>
      </w:r>
      <w:r>
        <w:rPr>
          <w:rFonts w:hint="default" w:ascii="Times New Roman" w:hAnsi="Times New Roman" w:eastAsia="宋体" w:cs="Times New Roman"/>
          <w:color w:val="auto"/>
          <w:spacing w:val="0"/>
          <w:w w:val="100"/>
          <w:kern w:val="0"/>
          <w:position w:val="0"/>
          <w:sz w:val="24"/>
          <w:szCs w:val="24"/>
          <w:highlight w:val="none"/>
          <w:lang w:val="en-US" w:eastAsia="zh-CN"/>
        </w:rPr>
        <w:t>66.98</w:t>
      </w:r>
      <w:r>
        <w:rPr>
          <w:rFonts w:hint="default" w:ascii="Times New Roman" w:hAnsi="Times New Roman" w:eastAsia="宋体" w:cs="Times New Roman"/>
          <w:color w:val="auto"/>
          <w:spacing w:val="0"/>
          <w:w w:val="100"/>
          <w:kern w:val="0"/>
          <w:position w:val="0"/>
          <w:sz w:val="24"/>
          <w:szCs w:val="24"/>
          <w:highlight w:val="none"/>
        </w:rPr>
        <w:t>hm</w:t>
      </w:r>
      <w:r>
        <w:rPr>
          <w:rFonts w:hint="default" w:ascii="Times New Roman" w:hAnsi="Times New Roman" w:eastAsia="宋体" w:cs="Times New Roman"/>
          <w:color w:val="auto"/>
          <w:spacing w:val="0"/>
          <w:w w:val="100"/>
          <w:kern w:val="0"/>
          <w:position w:val="0"/>
          <w:sz w:val="24"/>
          <w:szCs w:val="24"/>
          <w:highlight w:val="none"/>
          <w:vertAlign w:val="superscript"/>
        </w:rPr>
        <w:t>2</w:t>
      </w:r>
      <w:r>
        <w:rPr>
          <w:rFonts w:hint="default" w:ascii="Times New Roman" w:hAnsi="Times New Roman" w:eastAsia="宋体" w:cs="Times New Roman"/>
          <w:color w:val="auto"/>
          <w:spacing w:val="0"/>
          <w:w w:val="100"/>
          <w:kern w:val="0"/>
          <w:position w:val="0"/>
          <w:sz w:val="24"/>
          <w:szCs w:val="24"/>
          <w:highlight w:val="none"/>
        </w:rPr>
        <w:t>，</w:t>
      </w:r>
      <w:r>
        <w:rPr>
          <w:rFonts w:hint="default" w:ascii="Times New Roman" w:hAnsi="Times New Roman" w:eastAsia="宋体" w:cs="Times New Roman"/>
          <w:color w:val="auto"/>
          <w:spacing w:val="0"/>
          <w:w w:val="100"/>
          <w:kern w:val="0"/>
          <w:position w:val="0"/>
          <w:sz w:val="24"/>
          <w:szCs w:val="24"/>
        </w:rPr>
        <w:t>临时占地</w:t>
      </w:r>
      <w:r>
        <w:rPr>
          <w:rFonts w:hint="default" w:ascii="Times New Roman" w:hAnsi="Times New Roman" w:cs="Times New Roman"/>
          <w:color w:val="auto"/>
          <w:spacing w:val="0"/>
          <w:w w:val="100"/>
          <w:kern w:val="0"/>
          <w:position w:val="0"/>
          <w:sz w:val="24"/>
          <w:szCs w:val="24"/>
          <w:lang w:val="en-US" w:eastAsia="zh-CN"/>
        </w:rPr>
        <w:t>5.64hm</w:t>
      </w:r>
      <w:r>
        <w:rPr>
          <w:rFonts w:hint="default" w:ascii="Times New Roman" w:hAnsi="Times New Roman" w:eastAsia="宋体" w:cs="Times New Roman"/>
          <w:color w:val="auto"/>
          <w:spacing w:val="0"/>
          <w:w w:val="100"/>
          <w:kern w:val="0"/>
          <w:position w:val="0"/>
          <w:sz w:val="24"/>
          <w:szCs w:val="24"/>
          <w:vertAlign w:val="superscript"/>
        </w:rPr>
        <w:t>2</w:t>
      </w:r>
      <w:r>
        <w:rPr>
          <w:rFonts w:hint="default" w:ascii="Times New Roman" w:hAnsi="Times New Roman" w:eastAsia="宋体" w:cs="Times New Roman"/>
          <w:color w:val="auto"/>
          <w:spacing w:val="0"/>
          <w:w w:val="100"/>
          <w:kern w:val="0"/>
          <w:position w:val="0"/>
          <w:sz w:val="24"/>
          <w:szCs w:val="24"/>
          <w:vertAlign w:val="baseline"/>
          <w:lang w:eastAsia="zh-CN"/>
        </w:rPr>
        <w:t>，</w:t>
      </w:r>
      <w:r>
        <w:rPr>
          <w:rFonts w:hint="default" w:ascii="Times New Roman" w:hAnsi="Times New Roman" w:eastAsia="宋体" w:cs="Times New Roman"/>
          <w:color w:val="auto"/>
          <w:spacing w:val="0"/>
          <w:w w:val="100"/>
          <w:kern w:val="0"/>
          <w:position w:val="0"/>
          <w:sz w:val="24"/>
          <w:szCs w:val="24"/>
          <w:highlight w:val="none"/>
          <w:lang w:eastAsia="zh-CN"/>
        </w:rPr>
        <w:t>涉及</w:t>
      </w:r>
      <w:r>
        <w:rPr>
          <w:rFonts w:hint="default" w:ascii="Times New Roman" w:hAnsi="Times New Roman" w:eastAsia="宋体" w:cs="Times New Roman"/>
          <w:color w:val="auto"/>
          <w:spacing w:val="0"/>
          <w:w w:val="100"/>
          <w:kern w:val="0"/>
          <w:position w:val="0"/>
          <w:sz w:val="24"/>
          <w:szCs w:val="24"/>
          <w:highlight w:val="none"/>
          <w:lang w:val="en-US" w:eastAsia="zh-CN"/>
        </w:rPr>
        <w:t>合川区三汇</w:t>
      </w:r>
      <w:r>
        <w:rPr>
          <w:rFonts w:hint="default" w:ascii="Times New Roman" w:hAnsi="Times New Roman" w:eastAsia="宋体" w:cs="Times New Roman"/>
          <w:color w:val="auto"/>
          <w:spacing w:val="0"/>
          <w:w w:val="100"/>
          <w:kern w:val="0"/>
          <w:position w:val="0"/>
          <w:sz w:val="24"/>
          <w:szCs w:val="24"/>
          <w:highlight w:val="none"/>
          <w:lang w:eastAsia="zh-CN"/>
        </w:rPr>
        <w:t>镇和</w:t>
      </w:r>
      <w:r>
        <w:rPr>
          <w:rFonts w:hint="default" w:ascii="Times New Roman" w:hAnsi="Times New Roman" w:eastAsia="宋体" w:cs="Times New Roman"/>
          <w:color w:val="auto"/>
          <w:spacing w:val="0"/>
          <w:w w:val="100"/>
          <w:kern w:val="0"/>
          <w:position w:val="0"/>
          <w:sz w:val="24"/>
          <w:szCs w:val="24"/>
          <w:highlight w:val="none"/>
          <w:lang w:val="en-US" w:eastAsia="zh-CN"/>
        </w:rPr>
        <w:t>小沔</w:t>
      </w:r>
      <w:r>
        <w:rPr>
          <w:rFonts w:hint="default" w:ascii="Times New Roman" w:hAnsi="Times New Roman" w:eastAsia="宋体" w:cs="Times New Roman"/>
          <w:color w:val="auto"/>
          <w:spacing w:val="0"/>
          <w:w w:val="100"/>
          <w:kern w:val="0"/>
          <w:position w:val="0"/>
          <w:sz w:val="24"/>
          <w:szCs w:val="24"/>
          <w:highlight w:val="none"/>
          <w:lang w:eastAsia="zh-CN"/>
        </w:rPr>
        <w:t>镇，</w:t>
      </w:r>
      <w:r>
        <w:rPr>
          <w:rFonts w:hint="default" w:ascii="Times New Roman" w:hAnsi="Times New Roman" w:eastAsia="宋体" w:cs="Times New Roman"/>
          <w:color w:val="auto"/>
          <w:spacing w:val="0"/>
          <w:w w:val="100"/>
          <w:kern w:val="0"/>
          <w:position w:val="0"/>
          <w:sz w:val="24"/>
          <w:szCs w:val="24"/>
          <w:highlight w:val="none"/>
          <w:lang w:val="en-US" w:eastAsia="zh-CN"/>
        </w:rPr>
        <w:t>主要占地类型包括耕地、林地、</w:t>
      </w:r>
      <w:r>
        <w:rPr>
          <w:rFonts w:hint="default" w:ascii="Times New Roman" w:hAnsi="Times New Roman" w:eastAsia="宋体" w:cs="Times New Roman"/>
          <w:snapToGrid w:val="0"/>
          <w:color w:val="auto"/>
          <w:kern w:val="0"/>
          <w:sz w:val="24"/>
          <w:szCs w:val="24"/>
          <w:lang w:val="en-US" w:eastAsia="zh-CN" w:bidi="ar-SA"/>
        </w:rPr>
        <w:t>水域及水利设施用地、</w:t>
      </w:r>
      <w:r>
        <w:rPr>
          <w:rFonts w:hint="default" w:ascii="Times New Roman" w:hAnsi="Times New Roman" w:eastAsia="宋体" w:cs="Times New Roman"/>
          <w:snapToGrid w:val="0"/>
          <w:color w:val="auto"/>
          <w:kern w:val="0"/>
          <w:sz w:val="24"/>
          <w:szCs w:val="24"/>
          <w:lang w:val="en-US" w:eastAsia="en-US" w:bidi="ar-SA"/>
        </w:rPr>
        <w:t>住宅用地</w:t>
      </w:r>
      <w:r>
        <w:rPr>
          <w:rFonts w:hint="default" w:ascii="Times New Roman" w:hAnsi="Times New Roman" w:eastAsia="宋体" w:cs="Times New Roman"/>
          <w:snapToGrid w:val="0"/>
          <w:color w:val="auto"/>
          <w:kern w:val="0"/>
          <w:sz w:val="24"/>
          <w:szCs w:val="24"/>
          <w:lang w:val="en-US" w:eastAsia="zh-CN" w:bidi="ar-SA"/>
        </w:rPr>
        <w:t>以及</w:t>
      </w:r>
      <w:r>
        <w:rPr>
          <w:rFonts w:hint="default" w:ascii="Times New Roman" w:hAnsi="Times New Roman" w:eastAsia="宋体" w:cs="Times New Roman"/>
          <w:snapToGrid w:val="0"/>
          <w:color w:val="auto"/>
          <w:kern w:val="0"/>
          <w:sz w:val="24"/>
          <w:szCs w:val="24"/>
          <w:lang w:val="en-US" w:eastAsia="en-US" w:bidi="ar-SA"/>
        </w:rPr>
        <w:t>交通用地</w:t>
      </w:r>
      <w:r>
        <w:rPr>
          <w:rFonts w:hint="default" w:ascii="Times New Roman" w:hAnsi="Times New Roman" w:eastAsia="宋体" w:cs="Times New Roman"/>
          <w:color w:val="auto"/>
          <w:spacing w:val="0"/>
          <w:w w:val="100"/>
          <w:kern w:val="0"/>
          <w:position w:val="0"/>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主</w:t>
      </w:r>
      <w:r>
        <w:rPr>
          <w:rFonts w:hint="default" w:ascii="Times New Roman" w:hAnsi="Times New Roman" w:eastAsia="宋体" w:cs="Times New Roman"/>
          <w:color w:val="auto"/>
          <w:highlight w:val="none"/>
          <w:lang w:val="en-US" w:eastAsia="zh-CN"/>
        </w:rPr>
        <w:t>体、辅助工程永久占地</w:t>
      </w:r>
      <w:r>
        <w:rPr>
          <w:rFonts w:hint="default" w:ascii="Times New Roman" w:hAnsi="Times New Roman" w:cs="Times New Roman"/>
          <w:color w:val="auto"/>
          <w:highlight w:val="none"/>
        </w:rPr>
        <w:t>包括路基工程、桥梁工程、互通立交、沿线设施、改移工程等</w:t>
      </w:r>
      <w:r>
        <w:rPr>
          <w:rFonts w:hint="default" w:ascii="Times New Roman" w:hAnsi="Times New Roman" w:eastAsia="宋体" w:cs="Times New Roman"/>
          <w:color w:val="auto"/>
          <w:spacing w:val="0"/>
          <w:w w:val="100"/>
          <w:kern w:val="0"/>
          <w:position w:val="0"/>
          <w:sz w:val="24"/>
          <w:szCs w:val="24"/>
          <w:lang w:eastAsia="zh-CN"/>
        </w:rPr>
        <w:t>；</w:t>
      </w:r>
      <w:r>
        <w:rPr>
          <w:rFonts w:hint="default" w:ascii="Times New Roman" w:hAnsi="Times New Roman" w:eastAsia="宋体" w:cs="Times New Roman"/>
          <w:color w:val="auto"/>
          <w:spacing w:val="0"/>
          <w:w w:val="100"/>
          <w:kern w:val="0"/>
          <w:position w:val="0"/>
          <w:sz w:val="24"/>
          <w:szCs w:val="24"/>
        </w:rPr>
        <w:t>临时占地</w:t>
      </w:r>
      <w:r>
        <w:rPr>
          <w:rFonts w:hint="default" w:ascii="Times New Roman" w:hAnsi="Times New Roman" w:eastAsia="宋体" w:cs="Times New Roman"/>
          <w:color w:val="auto"/>
          <w:spacing w:val="0"/>
          <w:w w:val="100"/>
          <w:kern w:val="0"/>
          <w:position w:val="0"/>
          <w:sz w:val="24"/>
          <w:szCs w:val="24"/>
          <w:vertAlign w:val="baseline"/>
          <w:lang w:eastAsia="zh-CN"/>
        </w:rPr>
        <w:t>主要为弃土场、施工便道等</w:t>
      </w:r>
      <w:r>
        <w:rPr>
          <w:rFonts w:hint="eastAsia" w:ascii="Times New Roman" w:hAnsi="Times New Roman" w:eastAsia="宋体" w:cs="Times New Roman"/>
          <w:color w:val="auto"/>
          <w:spacing w:val="0"/>
          <w:w w:val="100"/>
          <w:kern w:val="0"/>
          <w:position w:val="0"/>
          <w:sz w:val="24"/>
          <w:szCs w:val="24"/>
          <w:vertAlign w:val="baseline"/>
          <w:lang w:eastAsia="zh-CN"/>
        </w:rPr>
        <w:t>；</w:t>
      </w:r>
      <w:r>
        <w:rPr>
          <w:rFonts w:hint="default" w:ascii="Times New Roman" w:hAnsi="Times New Roman" w:eastAsia="宋体" w:cs="Times New Roman"/>
          <w:color w:val="auto"/>
          <w:highlight w:val="none"/>
          <w:lang w:val="en-US" w:eastAsia="zh-CN"/>
        </w:rPr>
        <w:t>2020年10月，重庆市人民政府以文件（</w:t>
      </w:r>
      <w:r>
        <w:rPr>
          <w:rFonts w:hint="default" w:ascii="Times New Roman" w:hAnsi="Times New Roman" w:eastAsia="宋体" w:cs="Times New Roman"/>
          <w:color w:val="auto"/>
          <w:lang w:val="en-US" w:eastAsia="zh-CN"/>
        </w:rPr>
        <w:t>渝府地〔2020〕</w:t>
      </w:r>
      <w:r>
        <w:rPr>
          <w:rFonts w:hint="default" w:ascii="Times New Roman" w:hAnsi="Times New Roman" w:cs="Times New Roman"/>
          <w:color w:val="auto"/>
          <w:lang w:val="en-US" w:eastAsia="zh-CN"/>
        </w:rPr>
        <w:t>1091</w:t>
      </w:r>
      <w:r>
        <w:rPr>
          <w:rFonts w:hint="default" w:ascii="Times New Roman" w:hAnsi="Times New Roman" w:eastAsia="宋体" w:cs="Times New Roman"/>
          <w:color w:val="auto"/>
          <w:lang w:val="en-US" w:eastAsia="zh-CN"/>
        </w:rPr>
        <w:t>号</w:t>
      </w:r>
      <w:r>
        <w:rPr>
          <w:rFonts w:hint="default" w:ascii="Times New Roman" w:hAnsi="Times New Roman" w:eastAsia="宋体" w:cs="Times New Roman"/>
          <w:color w:val="auto"/>
          <w:highlight w:val="none"/>
          <w:lang w:val="en-US" w:eastAsia="zh-CN"/>
        </w:rPr>
        <w:t>）和2020年9月重庆市林业局以文件（渝林许可地临〔2020〕320号）批复了项目建设用地，原农用地、林地等用地现已经转变为交通用地；项目临时占地也已经签订了用地协议（详见附件）</w:t>
      </w:r>
      <w:r>
        <w:rPr>
          <w:rFonts w:hint="default" w:ascii="Times New Roman" w:hAnsi="Times New Roman" w:eastAsia="宋体" w:cs="Times New Roman"/>
          <w:color w:val="auto"/>
          <w:spacing w:val="0"/>
          <w:w w:val="100"/>
          <w:kern w:val="0"/>
          <w:position w:val="0"/>
          <w:sz w:val="24"/>
          <w:szCs w:val="24"/>
          <w:lang w:eastAsia="zh-CN"/>
        </w:rPr>
        <w:t>。</w:t>
      </w:r>
    </w:p>
    <w:p w14:paraId="18B51DAA">
      <w:pPr>
        <w:spacing w:line="360" w:lineRule="auto"/>
        <w:rPr>
          <w:rFonts w:hint="default" w:ascii="Times New Roman" w:hAnsi="Times New Roman" w:cs="Times New Roman"/>
          <w:color w:val="auto"/>
          <w:spacing w:val="0"/>
          <w:w w:val="100"/>
          <w:kern w:val="0"/>
          <w:position w:val="0"/>
          <w:sz w:val="24"/>
          <w:szCs w:val="24"/>
          <w:lang w:val="en-US" w:eastAsia="zh-CN"/>
        </w:rPr>
      </w:pPr>
      <w:r>
        <w:rPr>
          <w:rFonts w:hint="default" w:ascii="Times New Roman" w:hAnsi="Times New Roman" w:cs="Times New Roman"/>
          <w:color w:val="auto"/>
          <w:spacing w:val="0"/>
          <w:w w:val="100"/>
          <w:kern w:val="0"/>
          <w:position w:val="0"/>
          <w:sz w:val="24"/>
          <w:szCs w:val="24"/>
          <w:lang w:val="en-US" w:eastAsia="zh-CN"/>
        </w:rPr>
        <w:t>项目建设过程中拆除了位于道路工程占地范围内的房屋，共拆迁94户，拆迁各类房屋建筑面积约18200.4m</w:t>
      </w:r>
      <w:r>
        <w:rPr>
          <w:rFonts w:hint="default" w:ascii="Times New Roman" w:hAnsi="Times New Roman" w:cs="Times New Roman"/>
          <w:color w:val="auto"/>
          <w:spacing w:val="0"/>
          <w:w w:val="100"/>
          <w:kern w:val="0"/>
          <w:position w:val="0"/>
          <w:sz w:val="24"/>
          <w:szCs w:val="24"/>
          <w:vertAlign w:val="superscript"/>
          <w:lang w:val="en-US" w:eastAsia="zh-CN"/>
        </w:rPr>
        <w:t>2</w:t>
      </w:r>
      <w:r>
        <w:rPr>
          <w:rFonts w:hint="default" w:ascii="Times New Roman" w:hAnsi="Times New Roman" w:cs="Times New Roman"/>
          <w:color w:val="auto"/>
          <w:spacing w:val="0"/>
          <w:w w:val="100"/>
          <w:kern w:val="0"/>
          <w:position w:val="0"/>
          <w:sz w:val="24"/>
          <w:szCs w:val="24"/>
          <w:lang w:val="en-US" w:eastAsia="zh-CN"/>
        </w:rPr>
        <w:t>，包括砖混平房308m</w:t>
      </w:r>
      <w:r>
        <w:rPr>
          <w:rFonts w:hint="default" w:ascii="Times New Roman" w:hAnsi="Times New Roman" w:cs="Times New Roman"/>
          <w:color w:val="auto"/>
          <w:spacing w:val="0"/>
          <w:w w:val="100"/>
          <w:kern w:val="0"/>
          <w:position w:val="0"/>
          <w:sz w:val="24"/>
          <w:szCs w:val="24"/>
          <w:vertAlign w:val="superscript"/>
          <w:lang w:val="en-US" w:eastAsia="zh-CN"/>
        </w:rPr>
        <w:t>2</w:t>
      </w:r>
      <w:r>
        <w:rPr>
          <w:rFonts w:hint="default" w:ascii="Times New Roman" w:hAnsi="Times New Roman" w:cs="Times New Roman"/>
          <w:color w:val="auto"/>
          <w:spacing w:val="0"/>
          <w:w w:val="100"/>
          <w:kern w:val="0"/>
          <w:position w:val="0"/>
          <w:sz w:val="24"/>
          <w:szCs w:val="24"/>
          <w:lang w:val="en-US" w:eastAsia="zh-CN"/>
        </w:rPr>
        <w:t>，土墙瓦房1294m</w:t>
      </w:r>
      <w:r>
        <w:rPr>
          <w:rFonts w:hint="default" w:ascii="Times New Roman" w:hAnsi="Times New Roman" w:cs="Times New Roman"/>
          <w:color w:val="auto"/>
          <w:spacing w:val="0"/>
          <w:w w:val="100"/>
          <w:kern w:val="0"/>
          <w:position w:val="0"/>
          <w:sz w:val="24"/>
          <w:szCs w:val="24"/>
          <w:vertAlign w:val="superscript"/>
          <w:lang w:val="en-US" w:eastAsia="zh-CN"/>
        </w:rPr>
        <w:t>2</w:t>
      </w:r>
      <w:r>
        <w:rPr>
          <w:rFonts w:hint="default" w:ascii="Times New Roman" w:hAnsi="Times New Roman" w:cs="Times New Roman"/>
          <w:color w:val="auto"/>
          <w:spacing w:val="0"/>
          <w:w w:val="100"/>
          <w:kern w:val="0"/>
          <w:position w:val="0"/>
          <w:sz w:val="24"/>
          <w:szCs w:val="24"/>
          <w:lang w:val="en-US" w:eastAsia="zh-CN"/>
        </w:rPr>
        <w:t>，砖混楼房17698.4m</w:t>
      </w:r>
      <w:r>
        <w:rPr>
          <w:rFonts w:hint="default" w:ascii="Times New Roman" w:hAnsi="Times New Roman" w:cs="Times New Roman"/>
          <w:color w:val="auto"/>
          <w:spacing w:val="0"/>
          <w:w w:val="100"/>
          <w:kern w:val="0"/>
          <w:position w:val="0"/>
          <w:sz w:val="24"/>
          <w:szCs w:val="24"/>
          <w:vertAlign w:val="superscript"/>
          <w:lang w:val="en-US" w:eastAsia="zh-CN"/>
        </w:rPr>
        <w:t>2</w:t>
      </w:r>
      <w:r>
        <w:rPr>
          <w:rFonts w:hint="default" w:ascii="Times New Roman" w:hAnsi="Times New Roman" w:cs="Times New Roman"/>
          <w:color w:val="auto"/>
          <w:spacing w:val="0"/>
          <w:w w:val="100"/>
          <w:kern w:val="0"/>
          <w:position w:val="0"/>
          <w:sz w:val="24"/>
          <w:szCs w:val="24"/>
          <w:lang w:val="en-US" w:eastAsia="zh-CN"/>
        </w:rPr>
        <w:t>。迁建电力线路5.04km（其中10kV高压线1.65km，220V</w:t>
      </w:r>
      <w:r>
        <w:rPr>
          <w:rFonts w:hint="eastAsia" w:cs="Times New Roman"/>
          <w:color w:val="auto"/>
          <w:spacing w:val="0"/>
          <w:w w:val="100"/>
          <w:kern w:val="0"/>
          <w:position w:val="0"/>
          <w:sz w:val="24"/>
          <w:szCs w:val="24"/>
          <w:lang w:val="en-US" w:eastAsia="zh-CN"/>
        </w:rPr>
        <w:t>～</w:t>
      </w:r>
      <w:r>
        <w:rPr>
          <w:rFonts w:hint="default" w:ascii="Times New Roman" w:hAnsi="Times New Roman" w:cs="Times New Roman"/>
          <w:color w:val="auto"/>
          <w:spacing w:val="0"/>
          <w:w w:val="100"/>
          <w:kern w:val="0"/>
          <w:position w:val="0"/>
          <w:sz w:val="24"/>
          <w:szCs w:val="24"/>
          <w:lang w:val="en-US" w:eastAsia="zh-CN"/>
        </w:rPr>
        <w:t>380V照明线3.39km），迁建通信线、电视光纤等线路0.51km；采取了货币安置及线路迁改的方式进行补偿。</w:t>
      </w:r>
    </w:p>
    <w:p w14:paraId="5A860205">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2、</w:t>
      </w:r>
      <w:r>
        <w:rPr>
          <w:rFonts w:hint="eastAsia" w:cs="Times New Roman"/>
          <w:color w:val="auto"/>
          <w:szCs w:val="24"/>
          <w:lang w:val="en-US" w:eastAsia="zh-CN"/>
        </w:rPr>
        <w:t>生态环境</w:t>
      </w:r>
    </w:p>
    <w:p w14:paraId="1BFB494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由于桥梁沿线群落植物种类均为区域常见和广布种，且沿线绝大部分地区为农业生态区，植被的次生性较强，因此工程施工对沿线植物多样性的影响相对较小。工程施工对植物的干扰和影响只体现在工程施工局部地段，除了永久性占用植被的破坏程度是长期的、不可恢复的外，临时用地是短期的、可恢复的。</w:t>
      </w:r>
    </w:p>
    <w:p w14:paraId="0B25823E">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公路沿线评价范围内无野生的国家重点保护植物分布。</w:t>
      </w:r>
    </w:p>
    <w:p w14:paraId="7EA0D48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评价区内的两栖类主要生活在农田、溪流及附近的草丛及灌丛中，施工区与其</w:t>
      </w:r>
      <w:r>
        <w:rPr>
          <w:rFonts w:hint="eastAsia" w:cs="Times New Roman"/>
          <w:color w:val="auto"/>
          <w:szCs w:val="24"/>
          <w:lang w:val="en-US" w:eastAsia="zh-CN"/>
        </w:rPr>
        <w:t>邻近</w:t>
      </w:r>
      <w:r>
        <w:rPr>
          <w:rFonts w:hint="default" w:ascii="Times New Roman" w:hAnsi="Times New Roman" w:cs="Times New Roman"/>
          <w:color w:val="auto"/>
          <w:szCs w:val="24"/>
          <w:lang w:val="en-US" w:eastAsia="zh-CN"/>
        </w:rPr>
        <w:t>区域的植被、生境相同，它们会迁移到非施工区，对其种群的生存不会造成大的威胁。爬行类将由原来的生境转移到远离施工区的相似生境的生活，拟建公路在施工期对其影响是暂时的。鸟类具</w:t>
      </w:r>
      <w:r>
        <w:rPr>
          <w:rFonts w:hint="eastAsia" w:cs="Times New Roman"/>
          <w:color w:val="auto"/>
          <w:szCs w:val="24"/>
          <w:lang w:val="en-US" w:eastAsia="zh-CN"/>
        </w:rPr>
        <w:t>有很</w:t>
      </w:r>
      <w:r>
        <w:rPr>
          <w:rFonts w:hint="default" w:ascii="Times New Roman" w:hAnsi="Times New Roman" w:cs="Times New Roman"/>
          <w:color w:val="auto"/>
          <w:szCs w:val="24"/>
          <w:lang w:val="en-US" w:eastAsia="zh-CN"/>
        </w:rPr>
        <w:t>强的迁移能力，无论对食物的寻觅，饮水的获得，公路的修建对它们都没有太大的影响。在公路的线路及附近区域有许多兽类的替代生境，且兽类的活动能力较强，可以比较容易</w:t>
      </w:r>
      <w:r>
        <w:rPr>
          <w:rFonts w:hint="eastAsia" w:cs="Times New Roman"/>
          <w:color w:val="auto"/>
          <w:szCs w:val="24"/>
          <w:lang w:val="en-US" w:eastAsia="zh-CN"/>
        </w:rPr>
        <w:t>地</w:t>
      </w:r>
      <w:r>
        <w:rPr>
          <w:rFonts w:hint="default" w:ascii="Times New Roman" w:hAnsi="Times New Roman" w:cs="Times New Roman"/>
          <w:color w:val="auto"/>
          <w:szCs w:val="24"/>
          <w:lang w:val="en-US" w:eastAsia="zh-CN"/>
        </w:rPr>
        <w:t>在评价区周围找到相似生境，施工活动不会对其生存有大的影响，加之这些种的分布范围较广，繁殖力也较强，且均具有较强的适应性，因此本公路工程的施工对其影响有限。</w:t>
      </w:r>
    </w:p>
    <w:p w14:paraId="61D2C37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项目沿线评价范围内无国家重点保护野生动物及其生境集中、成规模分布。</w:t>
      </w:r>
    </w:p>
    <w:p w14:paraId="20C1A774">
      <w:pPr>
        <w:pStyle w:val="24"/>
        <w:ind w:firstLine="480"/>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3、声环境</w:t>
      </w:r>
    </w:p>
    <w:p w14:paraId="5B19FC56">
      <w:pPr>
        <w:pStyle w:val="24"/>
        <w:ind w:firstLine="480"/>
        <w:rPr>
          <w:rFonts w:hint="default" w:ascii="Times New Roman" w:hAnsi="Times New Roman" w:cs="Times New Roman"/>
          <w:color w:val="auto"/>
          <w:szCs w:val="24"/>
        </w:rPr>
      </w:pPr>
      <w:r>
        <w:rPr>
          <w:rFonts w:hint="eastAsia" w:cs="Times New Roman"/>
          <w:color w:val="auto"/>
          <w:szCs w:val="24"/>
          <w:lang w:val="en-US" w:eastAsia="zh-CN"/>
        </w:rPr>
        <w:t>（1）</w:t>
      </w:r>
      <w:r>
        <w:rPr>
          <w:rFonts w:hint="default" w:ascii="Times New Roman" w:hAnsi="Times New Roman" w:cs="Times New Roman"/>
          <w:color w:val="auto"/>
          <w:szCs w:val="24"/>
          <w:lang w:val="en-US" w:eastAsia="zh-CN"/>
        </w:rPr>
        <w:t>现状噪声监测显示，本项</w:t>
      </w:r>
      <w:r>
        <w:rPr>
          <w:rFonts w:hint="eastAsia" w:cs="Times New Roman"/>
          <w:color w:val="auto"/>
          <w:szCs w:val="24"/>
          <w:lang w:val="en-US" w:eastAsia="zh-CN"/>
        </w:rPr>
        <w:t>目</w:t>
      </w:r>
      <w:r>
        <w:rPr>
          <w:rFonts w:hint="default" w:ascii="Times New Roman" w:hAnsi="Times New Roman" w:cs="Times New Roman"/>
          <w:color w:val="auto"/>
          <w:szCs w:val="24"/>
          <w:lang w:val="en-US" w:eastAsia="zh-CN"/>
        </w:rPr>
        <w:t>监测点</w:t>
      </w:r>
      <w:r>
        <w:rPr>
          <w:rFonts w:hint="eastAsia" w:cs="Times New Roman"/>
          <w:color w:val="auto"/>
          <w:szCs w:val="24"/>
          <w:lang w:val="en-US" w:eastAsia="zh-CN"/>
        </w:rPr>
        <w:t>位</w:t>
      </w:r>
      <w:r>
        <w:rPr>
          <w:rFonts w:hint="default" w:ascii="Times New Roman" w:hAnsi="Times New Roman" w:cs="Times New Roman"/>
          <w:color w:val="auto"/>
          <w:szCs w:val="24"/>
          <w:lang w:val="en-US" w:eastAsia="zh-CN"/>
        </w:rPr>
        <w:t>昼间、夜间声环境质量现状满足2类</w:t>
      </w:r>
      <w:r>
        <w:rPr>
          <w:rFonts w:hint="eastAsia" w:cs="Times New Roman"/>
          <w:color w:val="auto"/>
          <w:szCs w:val="24"/>
          <w:lang w:val="en-US" w:eastAsia="zh-CN"/>
        </w:rPr>
        <w:t>、4a类</w:t>
      </w:r>
      <w:r>
        <w:rPr>
          <w:rFonts w:hint="default" w:ascii="Times New Roman" w:hAnsi="Times New Roman" w:cs="Times New Roman"/>
          <w:color w:val="auto"/>
          <w:szCs w:val="24"/>
          <w:lang w:val="en-US" w:eastAsia="zh-CN"/>
        </w:rPr>
        <w:t>标准，总体来说，声环境质量良好。</w:t>
      </w:r>
    </w:p>
    <w:p w14:paraId="54F8453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交通噪声衰减断面监测结果显示。交通噪声的衰减规律：距离路肩的距离增加一倍，交通噪声衰减量在3-6dB左右；在不考虑降噪措施的情况下，距离路肩</w:t>
      </w:r>
      <w:r>
        <w:rPr>
          <w:rFonts w:hint="eastAsia" w:cs="Times New Roman"/>
          <w:color w:val="auto"/>
          <w:szCs w:val="24"/>
          <w:lang w:val="en-US" w:eastAsia="zh-CN"/>
        </w:rPr>
        <w:t>40</w:t>
      </w:r>
      <w:r>
        <w:rPr>
          <w:rFonts w:hint="default" w:ascii="Times New Roman" w:hAnsi="Times New Roman" w:cs="Times New Roman"/>
          <w:color w:val="auto"/>
          <w:szCs w:val="24"/>
          <w:lang w:val="en-US" w:eastAsia="zh-CN"/>
        </w:rPr>
        <w:t>米左右，声环境昼间、夜间基本上可满足2类标准要求。</w:t>
      </w:r>
    </w:p>
    <w:p w14:paraId="6411A222">
      <w:pPr>
        <w:pStyle w:val="24"/>
        <w:ind w:firstLine="480"/>
        <w:rPr>
          <w:rFonts w:hint="default" w:ascii="Times New Roman" w:hAnsi="Times New Roman" w:cs="Times New Roman"/>
          <w:color w:val="auto"/>
          <w:szCs w:val="24"/>
        </w:rPr>
      </w:pPr>
      <w:r>
        <w:rPr>
          <w:rFonts w:hint="eastAsia" w:cs="Times New Roman"/>
          <w:color w:val="auto"/>
          <w:szCs w:val="24"/>
          <w:lang w:val="en-US" w:eastAsia="zh-CN"/>
        </w:rPr>
        <w:t>（2）</w:t>
      </w:r>
      <w:r>
        <w:rPr>
          <w:rFonts w:hint="default" w:ascii="Times New Roman" w:hAnsi="Times New Roman" w:cs="Times New Roman"/>
          <w:color w:val="auto"/>
          <w:szCs w:val="24"/>
          <w:lang w:val="en-US" w:eastAsia="zh-CN"/>
        </w:rPr>
        <w:t>施工噪声将对沿线声环境质量产生一定的影响，这种影响昼间主要出现在距施工场地130m的范围内，夜间将出现在距施工场地220m的范围内。从具体工程构筑物施工场地来说，路基施工在</w:t>
      </w:r>
      <w:r>
        <w:rPr>
          <w:rFonts w:hint="eastAsia" w:cs="Times New Roman"/>
          <w:color w:val="auto"/>
          <w:szCs w:val="24"/>
          <w:lang w:val="en-US" w:eastAsia="zh-CN"/>
        </w:rPr>
        <w:t>昼间</w:t>
      </w:r>
      <w:r>
        <w:rPr>
          <w:rFonts w:hint="default" w:ascii="Times New Roman" w:hAnsi="Times New Roman" w:cs="Times New Roman"/>
          <w:color w:val="auto"/>
          <w:szCs w:val="24"/>
          <w:lang w:val="en-US" w:eastAsia="zh-CN"/>
        </w:rPr>
        <w:t>距施工场地40m以外可基本达到标准限值，夜间在200m处基本达到标准限值。桥梁施工打桩时影响较远，昼间在130m处才能达标。</w:t>
      </w:r>
    </w:p>
    <w:p w14:paraId="210819D4">
      <w:pPr>
        <w:pStyle w:val="24"/>
        <w:ind w:firstLine="480"/>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（3</w:t>
      </w:r>
      <w:r>
        <w:rPr>
          <w:rFonts w:hint="eastAsia" w:ascii="Times New Roman" w:hAnsi="Times New Roman" w:eastAsia="宋体" w:cs="Times New Roman"/>
          <w:color w:val="auto"/>
          <w:szCs w:val="24"/>
          <w:lang w:val="en-US" w:eastAsia="zh-CN"/>
        </w:rPr>
        <w:t>）根据验收期间监测，项目敏感点均能满足2类、4a类标准</w:t>
      </w:r>
      <w:r>
        <w:rPr>
          <w:rFonts w:hint="default" w:ascii="Times New Roman" w:hAnsi="Times New Roman" w:eastAsia="宋体" w:cs="Times New Roman"/>
          <w:color w:val="auto"/>
          <w:szCs w:val="24"/>
          <w:lang w:val="en-US" w:eastAsia="zh-CN"/>
        </w:rPr>
        <w:t>。通过绿化降噪、安装隔声窗、设置声屏障等措施缓解本项目营运期交通噪声的影响。</w:t>
      </w:r>
    </w:p>
    <w:p w14:paraId="6FA46529">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eastAsia="宋体" w:cs="Times New Roman"/>
          <w:color w:val="auto"/>
          <w:szCs w:val="24"/>
          <w:lang w:val="en-US" w:eastAsia="zh-CN"/>
        </w:rPr>
        <w:t>根据现场调查，目前建设单位已建设有3m高直立式声屏障</w:t>
      </w:r>
      <w:r>
        <w:rPr>
          <w:rFonts w:hint="eastAsia" w:ascii="Times New Roman" w:hAnsi="Times New Roman" w:eastAsia="宋体" w:cs="Times New Roman"/>
          <w:color w:val="auto"/>
          <w:szCs w:val="24"/>
          <w:lang w:val="en-US" w:eastAsia="zh-CN"/>
        </w:rPr>
        <w:t>7处，</w:t>
      </w:r>
      <w:r>
        <w:rPr>
          <w:rFonts w:hint="default" w:ascii="Times New Roman" w:hAnsi="Times New Roman" w:eastAsia="宋体" w:cs="Times New Roman"/>
          <w:color w:val="auto"/>
          <w:szCs w:val="24"/>
          <w:lang w:val="en-US" w:eastAsia="zh-CN"/>
        </w:rPr>
        <w:t>声屏障</w:t>
      </w:r>
      <w:r>
        <w:rPr>
          <w:rFonts w:hint="eastAsia" w:ascii="Times New Roman" w:hAnsi="Times New Roman" w:eastAsia="宋体" w:cs="Times New Roman"/>
          <w:color w:val="auto"/>
          <w:szCs w:val="24"/>
          <w:lang w:val="en-US" w:eastAsia="zh-CN"/>
        </w:rPr>
        <w:t>合计</w:t>
      </w:r>
      <w:r>
        <w:rPr>
          <w:rFonts w:hint="default" w:ascii="Times New Roman" w:hAnsi="Times New Roman" w:eastAsia="宋体" w:cs="Times New Roman"/>
          <w:color w:val="auto"/>
          <w:szCs w:val="24"/>
          <w:lang w:val="en-US" w:eastAsia="zh-CN"/>
        </w:rPr>
        <w:t>1058m</w:t>
      </w:r>
      <w:r>
        <w:rPr>
          <w:rFonts w:hint="eastAsia" w:ascii="Times New Roman" w:hAnsi="Times New Roman" w:eastAsia="宋体" w:cs="Times New Roman"/>
          <w:color w:val="auto"/>
          <w:szCs w:val="24"/>
          <w:lang w:val="en-US" w:eastAsia="zh-CN"/>
        </w:rPr>
        <w:t>，投资</w:t>
      </w:r>
      <w:r>
        <w:rPr>
          <w:rFonts w:hint="eastAsia" w:cs="Times New Roman"/>
          <w:color w:val="auto"/>
          <w:szCs w:val="24"/>
          <w:lang w:val="en-US" w:eastAsia="zh-CN"/>
        </w:rPr>
        <w:t>225</w:t>
      </w:r>
      <w:r>
        <w:rPr>
          <w:rFonts w:hint="eastAsia" w:ascii="Times New Roman" w:hAnsi="Times New Roman" w:eastAsia="宋体" w:cs="Times New Roman"/>
          <w:color w:val="auto"/>
          <w:szCs w:val="24"/>
          <w:lang w:val="en-US" w:eastAsia="zh-CN"/>
        </w:rPr>
        <w:t>万；运营近期、中期预测超标但未安装隔声屏的声环境敏感目标需补充安装365m的隔声屏，投资</w:t>
      </w:r>
      <w:r>
        <w:rPr>
          <w:rFonts w:hint="eastAsia" w:cs="Times New Roman"/>
          <w:color w:val="auto"/>
          <w:szCs w:val="24"/>
          <w:lang w:val="en-US" w:eastAsia="zh-CN"/>
        </w:rPr>
        <w:t>75</w:t>
      </w:r>
      <w:r>
        <w:rPr>
          <w:rFonts w:hint="eastAsia" w:ascii="Times New Roman" w:hAnsi="Times New Roman" w:eastAsia="宋体" w:cs="Times New Roman"/>
          <w:color w:val="auto"/>
          <w:szCs w:val="24"/>
          <w:lang w:val="en-US" w:eastAsia="zh-CN"/>
        </w:rPr>
        <w:t>万</w:t>
      </w:r>
      <w:r>
        <w:rPr>
          <w:rFonts w:hint="default" w:ascii="Times New Roman" w:hAnsi="Times New Roman" w:eastAsia="宋体" w:cs="Times New Roman"/>
          <w:color w:val="auto"/>
          <w:szCs w:val="24"/>
          <w:lang w:val="en-US" w:eastAsia="zh-CN"/>
        </w:rPr>
        <w:t>。对运营近期、中期未超标，</w:t>
      </w:r>
      <w:r>
        <w:rPr>
          <w:rFonts w:hint="eastAsia" w:cs="Times New Roman"/>
          <w:color w:val="auto"/>
          <w:szCs w:val="24"/>
          <w:lang w:val="en-US" w:eastAsia="zh-CN"/>
        </w:rPr>
        <w:t>但</w:t>
      </w:r>
      <w:r>
        <w:rPr>
          <w:rFonts w:hint="default" w:ascii="Times New Roman" w:hAnsi="Times New Roman" w:eastAsia="宋体" w:cs="Times New Roman"/>
          <w:color w:val="auto"/>
          <w:szCs w:val="24"/>
          <w:lang w:val="en-US" w:eastAsia="zh-CN"/>
        </w:rPr>
        <w:t>远期预测超标的敏感目标采取运营期跟踪监测，预留噪声治理费用</w:t>
      </w:r>
      <w:r>
        <w:rPr>
          <w:rFonts w:hint="eastAsia" w:ascii="Times New Roman" w:hAnsi="Times New Roman" w:eastAsia="宋体" w:cs="Times New Roman"/>
          <w:color w:val="auto"/>
          <w:szCs w:val="24"/>
          <w:lang w:val="en-US" w:eastAsia="zh-CN"/>
        </w:rPr>
        <w:t>100</w:t>
      </w:r>
      <w:r>
        <w:rPr>
          <w:rFonts w:hint="eastAsia" w:cs="Times New Roman"/>
          <w:color w:val="auto"/>
          <w:szCs w:val="24"/>
          <w:lang w:val="en-US" w:eastAsia="zh-CN"/>
        </w:rPr>
        <w:t>万元</w:t>
      </w:r>
      <w:r>
        <w:rPr>
          <w:rFonts w:hint="default" w:ascii="Times New Roman" w:hAnsi="Times New Roman" w:eastAsia="宋体" w:cs="Times New Roman"/>
          <w:color w:val="auto"/>
          <w:szCs w:val="24"/>
          <w:lang w:val="en-US" w:eastAsia="zh-CN"/>
        </w:rPr>
        <w:t>。</w:t>
      </w:r>
    </w:p>
    <w:p w14:paraId="3D53BC92">
      <w:pPr>
        <w:pStyle w:val="24"/>
        <w:ind w:firstLine="480"/>
        <w:rPr>
          <w:rFonts w:hint="default" w:ascii="Times New Roman" w:hAnsi="Times New Roman" w:cs="Times New Roman"/>
          <w:color w:val="auto"/>
          <w:szCs w:val="24"/>
        </w:rPr>
      </w:pPr>
      <w:r>
        <w:rPr>
          <w:rFonts w:hint="eastAsia" w:cs="Times New Roman"/>
          <w:color w:val="auto"/>
          <w:szCs w:val="24"/>
          <w:lang w:val="en-US" w:eastAsia="zh-CN"/>
        </w:rPr>
        <w:t>（4）</w:t>
      </w:r>
      <w:r>
        <w:rPr>
          <w:rFonts w:hint="default" w:ascii="Times New Roman" w:hAnsi="Times New Roman" w:cs="Times New Roman"/>
          <w:color w:val="auto"/>
          <w:szCs w:val="24"/>
          <w:lang w:val="en-US" w:eastAsia="zh-CN"/>
        </w:rPr>
        <w:t>做好和严格执行好公路两侧土地使用规划，搞好公路两侧新建各种民用建筑物的噪声防治工作。在本项目路中心线两侧100m范围内不宜批准修建学校、医院等对声环境质量要求高的建筑物，如果一定要建，则其声环境保护措施应由建设单位自行解决。</w:t>
      </w:r>
    </w:p>
    <w:p w14:paraId="5940059E">
      <w:pPr>
        <w:pStyle w:val="24"/>
        <w:ind w:firstLine="480"/>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4、水环境</w:t>
      </w:r>
    </w:p>
    <w:p w14:paraId="7C4D213C">
      <w:pPr>
        <w:pStyle w:val="24"/>
        <w:ind w:firstLine="480"/>
        <w:rPr>
          <w:rFonts w:hint="default" w:ascii="Times New Roman" w:hAnsi="Times New Roman" w:cs="Times New Roman"/>
          <w:snapToGrid w:val="0"/>
          <w:color w:val="auto"/>
          <w:szCs w:val="24"/>
        </w:rPr>
      </w:pPr>
      <w:r>
        <w:rPr>
          <w:rFonts w:hint="eastAsia" w:cs="Times New Roman"/>
          <w:snapToGrid w:val="0"/>
          <w:color w:val="auto"/>
          <w:szCs w:val="24"/>
          <w:lang w:val="en-US" w:eastAsia="zh-CN"/>
        </w:rPr>
        <w:t>（1）</w:t>
      </w:r>
      <w:r>
        <w:rPr>
          <w:rFonts w:hint="default" w:ascii="Times New Roman" w:hAnsi="Times New Roman" w:eastAsia="宋体" w:cs="Times New Roman"/>
          <w:color w:val="auto"/>
          <w:spacing w:val="0"/>
          <w:w w:val="100"/>
          <w:kern w:val="0"/>
          <w:position w:val="0"/>
          <w:sz w:val="24"/>
          <w:szCs w:val="24"/>
          <w:lang w:val="en-US" w:eastAsia="zh-CN"/>
        </w:rPr>
        <w:t>根据现状代峨溪监测数据，</w:t>
      </w:r>
      <w:r>
        <w:rPr>
          <w:rFonts w:hint="eastAsia"/>
          <w:color w:val="auto"/>
          <w:lang w:val="en-US" w:eastAsia="zh-CN"/>
        </w:rPr>
        <w:t>代峨溪除</w:t>
      </w:r>
      <w:r>
        <w:rPr>
          <w:rFonts w:hint="default" w:ascii="Times New Roman" w:hAnsi="Times New Roman" w:eastAsia="宋体" w:cs="Times New Roman"/>
          <w:color w:val="auto"/>
          <w:highlight w:val="none"/>
          <w:lang w:val="en-US" w:eastAsia="zh-CN"/>
        </w:rPr>
        <w:t>总氮、总磷</w:t>
      </w:r>
      <w:r>
        <w:rPr>
          <w:rFonts w:hint="eastAsia"/>
          <w:color w:val="auto"/>
          <w:lang w:val="en-US" w:eastAsia="zh-CN"/>
        </w:rPr>
        <w:t>因子外，</w:t>
      </w:r>
      <w:r>
        <w:rPr>
          <w:rFonts w:hint="default" w:ascii="Times New Roman" w:hAnsi="Times New Roman" w:eastAsia="宋体" w:cs="Times New Roman"/>
          <w:snapToGrid/>
          <w:color w:val="auto"/>
          <w:kern w:val="2"/>
          <w:sz w:val="24"/>
          <w:szCs w:val="24"/>
          <w:lang w:val="en-US" w:eastAsia="zh-CN" w:bidi="ar-SA"/>
        </w:rPr>
        <w:t>化学需氧量、五日生化需氧量、氨氮、高锰酸盐指数、石油类</w:t>
      </w:r>
      <w:r>
        <w:rPr>
          <w:rFonts w:hint="eastAsia"/>
          <w:color w:val="auto"/>
          <w:lang w:val="en-US" w:eastAsia="zh-CN"/>
        </w:rPr>
        <w:t>因子能够满足</w:t>
      </w:r>
      <w:r>
        <w:rPr>
          <w:rFonts w:hint="default" w:ascii="Times New Roman" w:hAnsi="Times New Roman" w:eastAsia="宋体" w:cs="Times New Roman"/>
          <w:color w:val="auto"/>
          <w:spacing w:val="0"/>
          <w:w w:val="100"/>
          <w:kern w:val="0"/>
          <w:position w:val="0"/>
          <w:sz w:val="24"/>
          <w:szCs w:val="24"/>
          <w:highlight w:val="none"/>
          <w:lang w:val="en-US" w:eastAsia="zh-CN"/>
        </w:rPr>
        <w:t>《地表水环境质量标准》（GB3838-2002）中III类水域水质标准要求</w:t>
      </w:r>
      <w:r>
        <w:rPr>
          <w:rFonts w:hint="eastAsia"/>
          <w:color w:val="auto"/>
          <w:lang w:val="en-US" w:eastAsia="zh-CN"/>
        </w:rPr>
        <w:t>。</w:t>
      </w:r>
      <w:r>
        <w:rPr>
          <w:rFonts w:hint="default" w:ascii="Times New Roman" w:hAnsi="Times New Roman" w:eastAsia="宋体" w:cs="Times New Roman"/>
          <w:color w:val="auto"/>
          <w:highlight w:val="none"/>
          <w:lang w:val="en-US" w:eastAsia="zh-CN"/>
        </w:rPr>
        <w:t>总氮、总磷</w:t>
      </w:r>
      <w:r>
        <w:rPr>
          <w:rFonts w:hint="eastAsia"/>
          <w:color w:val="auto"/>
          <w:lang w:val="en-US" w:eastAsia="zh-CN"/>
        </w:rPr>
        <w:t>超标的原因为</w:t>
      </w:r>
      <w:r>
        <w:rPr>
          <w:rFonts w:hint="default" w:ascii="Times New Roman" w:hAnsi="Times New Roman" w:eastAsia="宋体" w:cs="Times New Roman"/>
          <w:color w:val="auto"/>
          <w:spacing w:val="0"/>
          <w:w w:val="100"/>
          <w:kern w:val="0"/>
          <w:position w:val="0"/>
          <w:sz w:val="24"/>
          <w:szCs w:val="24"/>
          <w:lang w:val="en-US" w:eastAsia="zh-CN"/>
        </w:rPr>
        <w:t>代峨溪</w:t>
      </w:r>
      <w:r>
        <w:rPr>
          <w:rFonts w:hint="default" w:ascii="Times New Roman" w:hAnsi="Times New Roman" w:eastAsia="宋体" w:cs="Times New Roman"/>
          <w:color w:val="auto"/>
          <w:highlight w:val="none"/>
          <w:lang w:val="en-US" w:eastAsia="zh-CN"/>
        </w:rPr>
        <w:t>周边农田分布较多，受农村面源污染影响</w:t>
      </w:r>
      <w:r>
        <w:rPr>
          <w:rFonts w:hint="eastAsia" w:ascii="Times New Roman" w:hAnsi="Times New Roman" w:eastAsia="宋体" w:cs="Times New Roman"/>
          <w:color w:val="auto"/>
          <w:highlight w:val="none"/>
          <w:lang w:val="en-US" w:eastAsia="zh-CN"/>
        </w:rPr>
        <w:t>所致</w:t>
      </w:r>
      <w:r>
        <w:rPr>
          <w:rFonts w:hint="default" w:ascii="Times New Roman" w:hAnsi="Times New Roman" w:eastAsia="宋体" w:cs="Times New Roman"/>
          <w:color w:val="auto"/>
          <w:spacing w:val="0"/>
          <w:w w:val="100"/>
          <w:kern w:val="0"/>
          <w:position w:val="0"/>
          <w:sz w:val="24"/>
          <w:szCs w:val="24"/>
          <w:lang w:val="en-US" w:eastAsia="zh-CN"/>
        </w:rPr>
        <w:t>。</w:t>
      </w:r>
    </w:p>
    <w:p w14:paraId="6C82F8F1">
      <w:pPr>
        <w:pStyle w:val="24"/>
        <w:ind w:firstLine="480"/>
        <w:rPr>
          <w:rFonts w:hint="default" w:ascii="Times New Roman" w:hAnsi="Times New Roman" w:cs="Times New Roman"/>
          <w:snapToGrid w:val="0"/>
          <w:color w:val="auto"/>
          <w:szCs w:val="24"/>
        </w:rPr>
      </w:pPr>
      <w:r>
        <w:rPr>
          <w:rFonts w:hint="eastAsia" w:cs="Times New Roman"/>
          <w:snapToGrid w:val="0"/>
          <w:color w:val="auto"/>
          <w:szCs w:val="24"/>
          <w:lang w:val="en-US" w:eastAsia="zh-CN"/>
        </w:rPr>
        <w:t>（2）</w:t>
      </w:r>
      <w:r>
        <w:rPr>
          <w:rFonts w:hint="default" w:ascii="Times New Roman" w:hAnsi="Times New Roman" w:cs="Times New Roman"/>
          <w:snapToGrid w:val="0"/>
          <w:color w:val="auto"/>
          <w:szCs w:val="24"/>
          <w:lang w:val="en-US" w:eastAsia="zh-CN"/>
        </w:rPr>
        <w:t>本项目施工期间水环境影响主要有：桥梁在下部结构施工时可能导致钻渣污染河流水质，施工机械跑、冒、滴、漏的污油及露天机械被雨水等冲刷后产生油污染，施工驻地的生活污水、生活垃圾管理不当也会对周围水体造成一定的污染，临河路段进行路基开挖、填筑时若防护不当会有土石进入河流，堆放的建筑材料管理防护不当被雨水冲刷；营运期间的水环境影响主要有：初期雨污水在无防护措施的情</w:t>
      </w:r>
      <w:r>
        <w:rPr>
          <w:rFonts w:hint="eastAsia" w:cs="Times New Roman"/>
          <w:snapToGrid w:val="0"/>
          <w:color w:val="auto"/>
          <w:szCs w:val="24"/>
          <w:lang w:val="en-US" w:eastAsia="zh-CN"/>
        </w:rPr>
        <w:t>况下</w:t>
      </w:r>
      <w:r>
        <w:rPr>
          <w:rFonts w:hint="default" w:ascii="Times New Roman" w:hAnsi="Times New Roman" w:cs="Times New Roman"/>
          <w:snapToGrid w:val="0"/>
          <w:color w:val="auto"/>
          <w:szCs w:val="24"/>
          <w:lang w:val="en-US" w:eastAsia="zh-CN"/>
        </w:rPr>
        <w:t>污染水体，危化品运输事故污染水体。</w:t>
      </w:r>
    </w:p>
    <w:p w14:paraId="2257D68D">
      <w:pPr>
        <w:pStyle w:val="24"/>
        <w:ind w:firstLine="480"/>
        <w:rPr>
          <w:rFonts w:hint="default" w:ascii="Times New Roman" w:hAnsi="Times New Roman" w:cs="Times New Roman"/>
          <w:snapToGrid w:val="0"/>
          <w:color w:val="auto"/>
          <w:szCs w:val="24"/>
        </w:rPr>
      </w:pPr>
      <w:r>
        <w:rPr>
          <w:rFonts w:hint="eastAsia" w:cs="Times New Roman"/>
          <w:snapToGrid w:val="0"/>
          <w:color w:val="auto"/>
          <w:szCs w:val="24"/>
          <w:lang w:val="en-US" w:eastAsia="zh-CN"/>
        </w:rPr>
        <w:t>（3）</w:t>
      </w:r>
      <w:r>
        <w:rPr>
          <w:rFonts w:hint="default" w:ascii="Times New Roman" w:hAnsi="Times New Roman" w:cs="Times New Roman"/>
          <w:snapToGrid w:val="0"/>
          <w:color w:val="auto"/>
          <w:szCs w:val="24"/>
          <w:lang w:val="en-US" w:eastAsia="zh-CN"/>
        </w:rPr>
        <w:t>施工期间驻地采用租用当地民房，利用现有化粪池或</w:t>
      </w:r>
      <w:r>
        <w:rPr>
          <w:rFonts w:hint="eastAsia" w:cs="Times New Roman"/>
          <w:snapToGrid w:val="0"/>
          <w:color w:val="auto"/>
          <w:szCs w:val="24"/>
          <w:lang w:val="en-US" w:eastAsia="zh-CN"/>
        </w:rPr>
        <w:t>旱</w:t>
      </w:r>
      <w:r>
        <w:rPr>
          <w:rFonts w:hint="default" w:ascii="Times New Roman" w:hAnsi="Times New Roman" w:cs="Times New Roman"/>
          <w:snapToGrid w:val="0"/>
          <w:color w:val="auto"/>
          <w:szCs w:val="24"/>
          <w:lang w:val="en-US" w:eastAsia="zh-CN"/>
        </w:rPr>
        <w:t>厕处理后</w:t>
      </w:r>
      <w:r>
        <w:rPr>
          <w:rFonts w:hint="eastAsia" w:cs="Times New Roman"/>
          <w:snapToGrid w:val="0"/>
          <w:color w:val="auto"/>
          <w:szCs w:val="24"/>
          <w:lang w:val="en-US" w:eastAsia="zh-CN"/>
        </w:rPr>
        <w:t>用作</w:t>
      </w:r>
      <w:r>
        <w:rPr>
          <w:rFonts w:hint="default" w:ascii="Times New Roman" w:hAnsi="Times New Roman" w:cs="Times New Roman"/>
          <w:snapToGrid w:val="0"/>
          <w:color w:val="auto"/>
          <w:szCs w:val="24"/>
          <w:lang w:val="en-US" w:eastAsia="zh-CN"/>
        </w:rPr>
        <w:t>农肥，影响较小。对施工期沿河及跨河路段产生的拌和废水和油污水进行单独收集、并设置沉淀池处理后回用。</w:t>
      </w:r>
    </w:p>
    <w:p w14:paraId="302633EE">
      <w:pPr>
        <w:rPr>
          <w:rFonts w:hint="default" w:ascii="Times New Roman" w:hAnsi="Times New Roman" w:eastAsia="宋体" w:cs="Times New Roman"/>
          <w:color w:val="auto"/>
          <w:sz w:val="24"/>
          <w:highlight w:val="none"/>
          <w:lang w:val="en-US" w:eastAsia="zh-CN"/>
        </w:rPr>
      </w:pPr>
      <w:r>
        <w:rPr>
          <w:rFonts w:hint="eastAsia" w:cs="Times New Roman"/>
          <w:snapToGrid w:val="0"/>
          <w:color w:val="auto"/>
          <w:szCs w:val="24"/>
          <w:lang w:val="en-US" w:eastAsia="zh-CN"/>
        </w:rPr>
        <w:t>（4）营运期间</w:t>
      </w:r>
      <w:r>
        <w:rPr>
          <w:rFonts w:hint="default" w:ascii="Times New Roman" w:hAnsi="Times New Roman" w:eastAsia="宋体" w:cs="Times New Roman"/>
          <w:color w:val="auto"/>
          <w:sz w:val="24"/>
          <w:highlight w:val="none"/>
          <w:lang w:val="en-US" w:eastAsia="zh-CN"/>
        </w:rPr>
        <w:t>项目沿线辅助设施的规模、污水产生量、沿线水体的要求以及辅助设施周围的环境状况等因素，项目服务设施生活污水经一体化生活污水处理装置处理后，回用于收费站场地绿化和道路边坡绿化用水</w:t>
      </w:r>
      <w:r>
        <w:rPr>
          <w:rFonts w:hint="eastAsia" w:ascii="Times New Roman" w:hAnsi="Times New Roman" w:eastAsia="宋体" w:cs="Times New Roman"/>
          <w:color w:val="auto"/>
          <w:sz w:val="24"/>
          <w:highlight w:val="none"/>
          <w:lang w:val="en-US" w:eastAsia="zh-CN"/>
        </w:rPr>
        <w:t>、道路清扫</w:t>
      </w:r>
      <w:r>
        <w:rPr>
          <w:rFonts w:hint="default" w:ascii="Times New Roman" w:hAnsi="Times New Roman" w:eastAsia="宋体" w:cs="Times New Roman"/>
          <w:color w:val="auto"/>
          <w:sz w:val="24"/>
          <w:highlight w:val="none"/>
          <w:lang w:val="en-US" w:eastAsia="zh-CN"/>
        </w:rPr>
        <w:t>，不外排。采取以上措施后，本工程服务设施生活污水对水环境影响很小。</w:t>
      </w:r>
    </w:p>
    <w:p w14:paraId="6283AF1E">
      <w:pPr>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4"/>
          <w:highlight w:val="none"/>
          <w:lang w:val="en-US" w:eastAsia="zh-CN"/>
        </w:rPr>
        <w:t>在降雨初期，路面径流通过降水稀释、边坡的吸附等作用。路面径流从公路边沟、雨水管出口进入周边水体后，将在径流落水点附近的局部小范围内造成污染物浓度的瞬时升高，但随着水体的湍流混合，污染物迅速在整个断面上混合均匀，其对受纳水体污染物浓度升高的贡献微乎其微，基本不会对沿线水体水质造成影响。</w:t>
      </w:r>
    </w:p>
    <w:p w14:paraId="5588888B">
      <w:pP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综上所述，</w:t>
      </w:r>
      <w:r>
        <w:rPr>
          <w:rFonts w:hint="eastAsia" w:cs="Times New Roman"/>
          <w:snapToGrid w:val="0"/>
          <w:color w:val="auto"/>
          <w:szCs w:val="24"/>
          <w:lang w:val="en-US" w:eastAsia="zh-CN"/>
        </w:rPr>
        <w:t>营运期间</w:t>
      </w:r>
      <w:r>
        <w:rPr>
          <w:rFonts w:hint="default" w:ascii="Times New Roman" w:hAnsi="Times New Roman" w:eastAsia="宋体" w:cs="Times New Roman"/>
          <w:color w:val="auto"/>
          <w:sz w:val="24"/>
          <w:highlight w:val="none"/>
          <w:lang w:val="en-US" w:eastAsia="zh-CN"/>
        </w:rPr>
        <w:t>项目对周边水环境影响较小。</w:t>
      </w:r>
    </w:p>
    <w:p w14:paraId="149C0863">
      <w:pPr>
        <w:pStyle w:val="24"/>
        <w:ind w:firstLine="480"/>
        <w:rPr>
          <w:rFonts w:hint="default" w:ascii="Times New Roman" w:hAnsi="Times New Roman" w:cs="Times New Roman"/>
          <w:snapToGrid w:val="0"/>
          <w:color w:val="auto"/>
          <w:szCs w:val="24"/>
        </w:rPr>
      </w:pPr>
      <w:r>
        <w:rPr>
          <w:rFonts w:hint="eastAsia" w:cs="Times New Roman"/>
          <w:snapToGrid w:val="0"/>
          <w:color w:val="auto"/>
          <w:szCs w:val="24"/>
          <w:lang w:val="en-US" w:eastAsia="zh-CN"/>
        </w:rPr>
        <w:t>5、环境空气</w:t>
      </w:r>
    </w:p>
    <w:p w14:paraId="49D4F2E8">
      <w:pPr>
        <w:pStyle w:val="24"/>
        <w:ind w:firstLine="480"/>
        <w:rPr>
          <w:rFonts w:hint="default" w:ascii="Times New Roman" w:hAnsi="Times New Roman" w:cs="Times New Roman"/>
          <w:snapToGrid w:val="0"/>
          <w:color w:val="auto"/>
          <w:szCs w:val="24"/>
        </w:rPr>
      </w:pPr>
      <w:r>
        <w:rPr>
          <w:rFonts w:hint="eastAsia" w:ascii="Times New Roman" w:hAnsi="Times New Roman" w:cs="Times New Roman"/>
          <w:snapToGrid w:val="0"/>
          <w:color w:val="auto"/>
          <w:szCs w:val="24"/>
          <w:lang w:val="en-US" w:eastAsia="zh-CN"/>
        </w:rPr>
        <w:t>（1）</w:t>
      </w:r>
      <w:r>
        <w:rPr>
          <w:rFonts w:hint="default" w:ascii="Times New Roman" w:hAnsi="Times New Roman" w:eastAsia="宋体" w:cs="Times New Roman"/>
          <w:color w:val="auto"/>
          <w:spacing w:val="-7"/>
          <w:sz w:val="24"/>
          <w:szCs w:val="24"/>
          <w:lang w:val="en-US" w:eastAsia="zh-CN"/>
        </w:rPr>
        <w:t>根据《2024年重庆市生态环境状况公报》，本项目所在的合川区环境空气基本因子PM</w:t>
      </w:r>
      <w:r>
        <w:rPr>
          <w:rFonts w:hint="default" w:ascii="Times New Roman" w:hAnsi="Times New Roman" w:eastAsia="宋体" w:cs="Times New Roman"/>
          <w:color w:val="auto"/>
          <w:spacing w:val="-7"/>
          <w:sz w:val="24"/>
          <w:szCs w:val="24"/>
          <w:vertAlign w:val="subscript"/>
          <w:lang w:val="en-US" w:eastAsia="zh-CN"/>
        </w:rPr>
        <w:t>2.5</w:t>
      </w:r>
      <w:r>
        <w:rPr>
          <w:rFonts w:hint="default" w:ascii="Times New Roman" w:hAnsi="Times New Roman" w:eastAsia="宋体" w:cs="Times New Roman"/>
          <w:color w:val="auto"/>
          <w:spacing w:val="-7"/>
          <w:sz w:val="24"/>
          <w:szCs w:val="24"/>
          <w:lang w:val="en-US" w:eastAsia="zh-CN"/>
        </w:rPr>
        <w:t>、O</w:t>
      </w:r>
      <w:r>
        <w:rPr>
          <w:rFonts w:hint="default" w:ascii="Times New Roman" w:hAnsi="Times New Roman" w:eastAsia="宋体" w:cs="Times New Roman"/>
          <w:color w:val="auto"/>
          <w:spacing w:val="-7"/>
          <w:sz w:val="24"/>
          <w:szCs w:val="24"/>
          <w:vertAlign w:val="subscript"/>
          <w:lang w:val="en-US" w:eastAsia="zh-CN"/>
        </w:rPr>
        <w:t xml:space="preserve">3 </w:t>
      </w:r>
      <w:r>
        <w:rPr>
          <w:rFonts w:hint="default" w:ascii="Times New Roman" w:hAnsi="Times New Roman" w:eastAsia="宋体" w:cs="Times New Roman"/>
          <w:color w:val="auto"/>
          <w:spacing w:val="-7"/>
          <w:sz w:val="24"/>
          <w:szCs w:val="24"/>
          <w:vertAlign w:val="baseline"/>
          <w:lang w:val="en-US" w:eastAsia="zh-CN"/>
        </w:rPr>
        <w:t>不</w:t>
      </w:r>
      <w:r>
        <w:rPr>
          <w:rFonts w:hint="default" w:ascii="Times New Roman" w:hAnsi="Times New Roman" w:eastAsia="宋体" w:cs="Times New Roman"/>
          <w:color w:val="auto"/>
          <w:spacing w:val="-7"/>
          <w:sz w:val="24"/>
          <w:szCs w:val="24"/>
          <w:lang w:val="en-US" w:eastAsia="zh-CN"/>
        </w:rPr>
        <w:t>满足《环境空气质量标准》（GB3095-2012）中二级标准，本项目所在区域为环境空气不达标区</w:t>
      </w:r>
      <w:r>
        <w:rPr>
          <w:rFonts w:hint="default" w:ascii="Times New Roman" w:hAnsi="Times New Roman" w:cs="Times New Roman"/>
          <w:snapToGrid w:val="0"/>
          <w:color w:val="auto"/>
          <w:szCs w:val="24"/>
          <w:lang w:val="en-US" w:eastAsia="zh-CN"/>
        </w:rPr>
        <w:t>。</w:t>
      </w:r>
    </w:p>
    <w:p w14:paraId="41796832">
      <w:pPr>
        <w:pStyle w:val="24"/>
        <w:ind w:firstLine="480"/>
        <w:rPr>
          <w:rFonts w:hint="default" w:ascii="Times New Roman" w:hAnsi="Times New Roman" w:cs="Times New Roman"/>
          <w:snapToGrid w:val="0"/>
          <w:color w:val="auto"/>
          <w:szCs w:val="24"/>
        </w:rPr>
      </w:pPr>
      <w:r>
        <w:rPr>
          <w:rFonts w:hint="eastAsia" w:ascii="Times New Roman" w:hAnsi="Times New Roman" w:cs="Times New Roman"/>
          <w:snapToGrid w:val="0"/>
          <w:color w:val="auto"/>
          <w:szCs w:val="24"/>
          <w:lang w:val="en-US" w:eastAsia="zh-CN"/>
        </w:rPr>
        <w:t>（2）</w:t>
      </w:r>
      <w:r>
        <w:rPr>
          <w:rFonts w:hint="default" w:ascii="Times New Roman" w:hAnsi="Times New Roman" w:cs="Times New Roman"/>
          <w:snapToGrid w:val="0"/>
          <w:color w:val="auto"/>
          <w:szCs w:val="24"/>
          <w:lang w:val="en-US" w:eastAsia="zh-CN"/>
        </w:rPr>
        <w:t>施工期的环境空气污染主要是TSP，但时间是短暂的。采用施工现场定期洒水，合理设置施工场地位置，运输筑路材料的车辆加盖</w:t>
      </w:r>
      <w:r>
        <w:rPr>
          <w:rFonts w:hint="eastAsia" w:cs="Times New Roman"/>
          <w:snapToGrid w:val="0"/>
          <w:color w:val="auto"/>
          <w:szCs w:val="24"/>
          <w:lang w:val="en-US" w:eastAsia="zh-CN"/>
        </w:rPr>
        <w:t>篷布</w:t>
      </w:r>
      <w:r>
        <w:rPr>
          <w:rFonts w:hint="default" w:ascii="Times New Roman" w:hAnsi="Times New Roman" w:cs="Times New Roman"/>
          <w:snapToGrid w:val="0"/>
          <w:color w:val="auto"/>
          <w:szCs w:val="24"/>
          <w:lang w:val="en-US" w:eastAsia="zh-CN"/>
        </w:rPr>
        <w:t>，料场远离居民点并掩盖等措施，可以减轻其影响程度。</w:t>
      </w:r>
    </w:p>
    <w:p w14:paraId="2CCA9B0A">
      <w:pPr>
        <w:ind w:left="0" w:leftChars="0" w:firstLine="480" w:firstLineChars="0"/>
        <w:rPr>
          <w:rFonts w:hint="default" w:ascii="Times New Roman" w:hAnsi="Times New Roman" w:eastAsia="宋体" w:cs="Times New Roman"/>
          <w:color w:val="auto"/>
          <w:sz w:val="24"/>
          <w:highlight w:val="none"/>
          <w:lang w:val="en-US" w:eastAsia="zh-CN"/>
        </w:rPr>
      </w:pPr>
      <w:r>
        <w:rPr>
          <w:rFonts w:hint="eastAsia" w:cs="Times New Roman"/>
          <w:color w:val="auto"/>
          <w:spacing w:val="0"/>
          <w:w w:val="100"/>
          <w:kern w:val="0"/>
          <w:position w:val="0"/>
          <w:sz w:val="24"/>
          <w:szCs w:val="24"/>
          <w:lang w:val="en-US" w:eastAsia="zh-CN"/>
        </w:rPr>
        <w:t>（3）</w:t>
      </w:r>
      <w:r>
        <w:rPr>
          <w:rFonts w:hint="default" w:ascii="Times New Roman" w:hAnsi="Times New Roman" w:eastAsia="宋体" w:cs="Times New Roman"/>
          <w:color w:val="auto"/>
          <w:sz w:val="24"/>
          <w:highlight w:val="none"/>
          <w:lang w:val="en-US" w:eastAsia="zh-CN"/>
        </w:rPr>
        <w:t>项目运营期主要环境空气影响是汽车尾气排放对周边环境的影响，而且随着我国执行单车排放标准的不断提高，单车尾气的排放量将会不断降低，汽车尾气对沿线环境空气质量带来的影响将逐渐降低，汽车尾气NO</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对环境空气的影响较小。</w:t>
      </w:r>
    </w:p>
    <w:p w14:paraId="25CD5D2D">
      <w:pPr>
        <w:ind w:left="0" w:leftChars="0" w:firstLine="480" w:firstLineChars="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综上所述，营运期项目对沿线空气质量带来的影响较小。</w:t>
      </w:r>
    </w:p>
    <w:p w14:paraId="3CA58FAA">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3.2.4</w:t>
      </w:r>
      <w:r>
        <w:rPr>
          <w:rFonts w:hint="default" w:ascii="Times New Roman" w:hAnsi="Times New Roman" w:cs="Times New Roman"/>
          <w:color w:val="auto"/>
        </w:rPr>
        <w:t>环境风险分析结论</w:t>
      </w:r>
    </w:p>
    <w:p w14:paraId="2918B18B">
      <w:pPr>
        <w:keepNext w:val="0"/>
        <w:keepLines w:val="0"/>
        <w:widowControl/>
        <w:suppressLineNumbers w:val="0"/>
        <w:jc w:val="left"/>
        <w:rPr>
          <w:rFonts w:hint="default" w:ascii="Times New Roman" w:hAnsi="Times New Roman" w:cs="Times New Roman"/>
          <w:color w:val="auto"/>
          <w:szCs w:val="24"/>
        </w:rPr>
      </w:pPr>
      <w:r>
        <w:rPr>
          <w:rFonts w:hint="eastAsia" w:ascii="宋体" w:hAnsi="宋体" w:eastAsia="宋体" w:cs="宋体"/>
          <w:color w:val="auto"/>
          <w:kern w:val="0"/>
          <w:sz w:val="24"/>
          <w:szCs w:val="24"/>
          <w:lang w:val="en-US" w:eastAsia="zh-CN" w:bidi="ar"/>
        </w:rPr>
        <w:t>本项目涉及地表水体或桥梁路</w:t>
      </w:r>
      <w:r>
        <w:rPr>
          <w:rFonts w:hint="eastAsia" w:ascii="宋体" w:hAnsi="宋体" w:cs="宋体"/>
          <w:color w:val="auto"/>
          <w:kern w:val="0"/>
          <w:sz w:val="24"/>
          <w:szCs w:val="24"/>
          <w:lang w:val="en-US" w:eastAsia="zh-CN" w:bidi="ar"/>
        </w:rPr>
        <w:t>段</w:t>
      </w:r>
      <w:r>
        <w:rPr>
          <w:rFonts w:hint="eastAsia" w:ascii="宋体" w:hAnsi="宋体" w:eastAsia="宋体" w:cs="宋体"/>
          <w:color w:val="auto"/>
          <w:kern w:val="0"/>
          <w:sz w:val="24"/>
          <w:szCs w:val="24"/>
          <w:lang w:val="en-US" w:eastAsia="zh-CN" w:bidi="ar"/>
        </w:rPr>
        <w:t>危险品运输（石化产品、矿建材料和农药化肥）的车辆平均发生概率小。但是只要发生危险化学品（主要是石化产品、矿建材料和农药化肥）风险事故，对敏感路域环境都将可能造成严重的污染和破坏。通过制定应急预案和设置相应的警示、防撞、收集处理设施后，因交通事故而污染桥下水体的情况能够得到有效控制。</w:t>
      </w:r>
    </w:p>
    <w:p w14:paraId="22FE40A5">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3.2.5</w:t>
      </w:r>
      <w:r>
        <w:rPr>
          <w:rFonts w:hint="default" w:ascii="Times New Roman" w:hAnsi="Times New Roman" w:cs="Times New Roman"/>
          <w:color w:val="auto"/>
        </w:rPr>
        <w:t>综合评价结论</w:t>
      </w:r>
    </w:p>
    <w:p w14:paraId="1CE570F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val="en-US" w:eastAsia="zh-CN"/>
        </w:rPr>
        <w:t>项目是带动区域社会经济发展，强化成渝经济区渝广达发展带的需要；是加快广安融入重庆经济圈，实现川渝合作的需要；是改善川东北经济区发展条件，促进四川五大经济区域协调发展的需要</w:t>
      </w:r>
      <w:r>
        <w:rPr>
          <w:rFonts w:hint="eastAsia" w:cs="Times New Roman"/>
          <w:color w:val="auto"/>
          <w:szCs w:val="24"/>
          <w:lang w:val="en-US" w:eastAsia="zh-CN"/>
        </w:rPr>
        <w:t>；是</w:t>
      </w:r>
      <w:r>
        <w:rPr>
          <w:rFonts w:hint="default" w:ascii="Times New Roman" w:hAnsi="Times New Roman" w:cs="Times New Roman"/>
          <w:color w:val="auto"/>
          <w:szCs w:val="24"/>
          <w:lang w:val="en-US" w:eastAsia="zh-CN"/>
        </w:rPr>
        <w:t>构建广安区域性次级交通枢纽，完善区域综合运输系统的需要</w:t>
      </w:r>
      <w:r>
        <w:rPr>
          <w:rFonts w:hint="eastAsia" w:cs="Times New Roman"/>
          <w:color w:val="auto"/>
          <w:szCs w:val="24"/>
          <w:lang w:val="en-US" w:eastAsia="zh-CN"/>
        </w:rPr>
        <w:t>；是</w:t>
      </w:r>
      <w:r>
        <w:rPr>
          <w:rFonts w:hint="default" w:ascii="Times New Roman" w:hAnsi="Times New Roman" w:cs="Times New Roman"/>
          <w:color w:val="auto"/>
          <w:szCs w:val="24"/>
          <w:lang w:val="en-US" w:eastAsia="zh-CN"/>
        </w:rPr>
        <w:t>加快广安革命老区发展，实现区域协调发展的需要；是积极承接产业转移，实现产业结构优化升级的需要。</w:t>
      </w:r>
    </w:p>
    <w:p w14:paraId="26B46ADB">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本项目施工期对环境的影响已通过全过程环境管理得到有效控制。建设单位在施工阶段严格落实了环境保护责任制，通过强化施工队伍环保教育、实施文明施工考核及合同履约管理，确保了污染防治措施的执行到位。经核实，工程承包商在承接合同中均明确了施工期环保责任条款，并按约定全面落实了各项生态保护与污染防治义务。</w:t>
      </w:r>
    </w:p>
    <w:p w14:paraId="2FD4AFF6">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结合前期环境比选成果，工可推荐路线方案的实施未引发不可接受的环境影响。建设过程中，工程设计确定的环境保护方案及环评报告提出的各项对策措施均已全部落实，经跟踪监测与效果评估，工程建设产生的不利环境影响已控制在可接受范围内。</w:t>
      </w:r>
    </w:p>
    <w:p w14:paraId="158EAEE5">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根据项目建设期间开展的公众参与工作记录，沿线地方政府、群众及受影响居民对项目建设的支持态度明确，未收到因环境问题引发的群体性投诉或反对意见。</w:t>
      </w:r>
    </w:p>
    <w:p w14:paraId="0BB0BD01">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施工期内，工程监理单位严格依据环评报告及其批复文件、设计文件、施工合同及监理规范，编制并实施了环境监理专项方案，实现了对施工全过程的环境监管。同步开展的环境监测计划（含定期与不定期监测）数据表明，各项环保措施落实到位，主要污染物达标排放，生态保护目标未受显著影响。</w:t>
      </w:r>
    </w:p>
    <w:p w14:paraId="2E5C8C83">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针对跨越渠江路段，设计单位在后续施工图阶段进一步优化了桥梁方案及施工工艺，通过采用环境友好型施工方式，已将桥梁建设对地表水环境的影响降至最低程度，相关优化措施已纳入工程竣工档案。</w:t>
      </w:r>
    </w:p>
    <w:p w14:paraId="3CEA64F5">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综上所述，广安市过境高速公路东环线及渝广高速支线（</w:t>
      </w:r>
      <w:r>
        <w:rPr>
          <w:rFonts w:hint="eastAsia" w:ascii="Times New Roman" w:hAnsi="Times New Roman" w:cs="Times New Roman"/>
          <w:color w:val="auto"/>
          <w:szCs w:val="24"/>
          <w:lang w:val="en-US" w:eastAsia="zh-CN"/>
        </w:rPr>
        <w:t>重庆合川</w:t>
      </w:r>
      <w:r>
        <w:rPr>
          <w:rFonts w:hint="default" w:ascii="Times New Roman" w:hAnsi="Times New Roman" w:cs="Times New Roman"/>
          <w:color w:val="auto"/>
          <w:szCs w:val="24"/>
          <w:lang w:val="en-US" w:eastAsia="zh-CN"/>
        </w:rPr>
        <w:t>境）的建设从环境保护的角度而言是可行的。</w:t>
      </w:r>
    </w:p>
    <w:p w14:paraId="093BDF46">
      <w:pPr>
        <w:pStyle w:val="3"/>
        <w:numPr>
          <w:ilvl w:val="0"/>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86" w:name="_Toc3205"/>
      <w:bookmarkStart w:id="87" w:name="_Toc14999"/>
      <w:bookmarkStart w:id="88" w:name="_Toc26152"/>
      <w:bookmarkStart w:id="89" w:name="_Toc419186381"/>
      <w:bookmarkStart w:id="90" w:name="_Toc7941"/>
      <w:bookmarkStart w:id="91" w:name="_Toc419185806"/>
      <w:bookmarkStart w:id="92" w:name="_Toc1216"/>
      <w:r>
        <w:rPr>
          <w:rFonts w:hint="eastAsia" w:ascii="Times New Roman" w:hAnsi="Times New Roman" w:eastAsia="宋体" w:cs="Times New Roman"/>
          <w:b/>
          <w:bCs/>
          <w:color w:val="auto"/>
          <w:kern w:val="2"/>
          <w:sz w:val="32"/>
          <w:szCs w:val="32"/>
          <w:lang w:val="en-US" w:eastAsia="zh-CN" w:bidi="ar-SA"/>
        </w:rPr>
        <w:t>3.3</w:t>
      </w:r>
      <w:r>
        <w:rPr>
          <w:rFonts w:hint="default" w:ascii="Times New Roman" w:hAnsi="Times New Roman" w:eastAsia="宋体" w:cs="Times New Roman"/>
          <w:b/>
          <w:bCs/>
          <w:color w:val="auto"/>
          <w:kern w:val="2"/>
          <w:sz w:val="32"/>
          <w:szCs w:val="32"/>
          <w:lang w:val="en-US" w:eastAsia="zh-CN" w:bidi="ar-SA"/>
        </w:rPr>
        <w:t>环境影响报告书批复</w:t>
      </w:r>
      <w:bookmarkEnd w:id="86"/>
      <w:bookmarkEnd w:id="87"/>
      <w:bookmarkEnd w:id="88"/>
      <w:bookmarkEnd w:id="89"/>
      <w:bookmarkEnd w:id="90"/>
      <w:bookmarkEnd w:id="91"/>
      <w:bookmarkEnd w:id="92"/>
    </w:p>
    <w:p w14:paraId="1EBC8163">
      <w:pPr>
        <w:pStyle w:val="4"/>
        <w:pageBreakBefore w:val="0"/>
        <w:numPr>
          <w:ilvl w:val="2"/>
          <w:numId w:val="0"/>
        </w:numPr>
        <w:kinsoku/>
        <w:wordWrap/>
        <w:overflowPunct/>
        <w:topLinePunct w:val="0"/>
        <w:autoSpaceDE/>
        <w:autoSpaceDN/>
        <w:bidi w:val="0"/>
        <w:adjustRightInd w:val="0"/>
        <w:snapToGrid w:val="0"/>
        <w:spacing w:beforeAutospacing="0" w:afterAutospacing="0"/>
        <w:ind w:left="720" w:leftChars="0" w:hanging="720" w:firstLineChars="0"/>
        <w:textAlignment w:val="auto"/>
        <w:rPr>
          <w:rFonts w:hint="eastAsia" w:cs="Times New Roman"/>
          <w:b/>
          <w:bCs/>
          <w:color w:val="auto"/>
          <w:kern w:val="2"/>
          <w:sz w:val="30"/>
          <w:szCs w:val="30"/>
          <w:lang w:val="en-US" w:eastAsia="zh-CN" w:bidi="ar-SA"/>
        </w:rPr>
      </w:pPr>
      <w:r>
        <w:rPr>
          <w:rFonts w:hint="eastAsia" w:cs="Times New Roman"/>
          <w:b/>
          <w:bCs/>
          <w:color w:val="auto"/>
          <w:kern w:val="2"/>
          <w:sz w:val="30"/>
          <w:szCs w:val="30"/>
          <w:lang w:val="en-US" w:eastAsia="zh-CN" w:bidi="ar-SA"/>
        </w:rPr>
        <w:t>3.3.1 批复内容</w:t>
      </w:r>
    </w:p>
    <w:p w14:paraId="3E60E34D">
      <w:pPr>
        <w:ind w:left="0" w:leftChars="0" w:firstLine="480" w:firstLineChars="0"/>
        <w:rPr>
          <w:rFonts w:hint="default" w:ascii="Times New Roman" w:hAnsi="Times New Roman" w:cs="Times New Roman"/>
          <w:color w:val="auto"/>
          <w:szCs w:val="24"/>
        </w:rPr>
      </w:pPr>
      <w:r>
        <w:rPr>
          <w:rFonts w:hint="eastAsia" w:ascii="Times New Roman" w:hAnsi="Times New Roman" w:eastAsia="宋体" w:cs="Times New Roman"/>
          <w:color w:val="auto"/>
          <w:szCs w:val="24"/>
          <w:lang w:val="en-US" w:eastAsia="zh-CN"/>
        </w:rPr>
        <w:t>2026年3月3日重庆市合川区生态环境局以渝</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合</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环准〔2026〕12号对《广安市过境高速公路东环线及渝广高速支线项目</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重庆合川境</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重新报批</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项目编码：2017-500117-54-02-009910</w:t>
      </w:r>
      <w:r>
        <w:rPr>
          <w:rFonts w:hint="eastAsia" w:cs="Times New Roman"/>
          <w:color w:val="auto"/>
          <w:szCs w:val="24"/>
          <w:lang w:val="en-US" w:eastAsia="zh-CN"/>
        </w:rPr>
        <w:t>）</w:t>
      </w:r>
      <w:r>
        <w:rPr>
          <w:rFonts w:hint="eastAsia" w:ascii="Times New Roman" w:hAnsi="Times New Roman" w:eastAsia="宋体" w:cs="Times New Roman"/>
          <w:color w:val="auto"/>
          <w:szCs w:val="24"/>
          <w:lang w:val="en-US" w:eastAsia="zh-CN"/>
        </w:rPr>
        <w:t>进行了批复；</w:t>
      </w:r>
      <w:r>
        <w:rPr>
          <w:rFonts w:hint="default" w:ascii="Times New Roman" w:hAnsi="Times New Roman" w:cs="Times New Roman"/>
          <w:color w:val="auto"/>
          <w:szCs w:val="24"/>
        </w:rPr>
        <w:t>批复意见如下：</w:t>
      </w:r>
    </w:p>
    <w:p w14:paraId="11A0BFDF">
      <w:pPr>
        <w:ind w:left="0" w:leftChars="0" w:firstLine="480" w:firstLineChars="0"/>
        <w:rPr>
          <w:rFonts w:hint="default" w:ascii="Times New Roman" w:hAnsi="Times New Roman" w:cs="Times New Roman"/>
          <w:color w:val="auto"/>
          <w:szCs w:val="24"/>
          <w:lang w:val="en-US" w:eastAsia="zh-CN"/>
        </w:rPr>
      </w:pPr>
      <w:r>
        <w:rPr>
          <w:color w:val="auto"/>
          <w:spacing w:val="-4"/>
        </w:rPr>
        <w:t>一、项目主要建设内容：该项目位于重庆市合川区，建设单</w:t>
      </w:r>
      <w:r>
        <w:rPr>
          <w:color w:val="auto"/>
          <w:spacing w:val="27"/>
        </w:rPr>
        <w:t>位于2015年10月16日取得环评批复，批准书文号为渝</w:t>
      </w:r>
      <w:r>
        <w:rPr>
          <w:rFonts w:hint="eastAsia"/>
          <w:color w:val="auto"/>
          <w:spacing w:val="27"/>
          <w:lang w:eastAsia="zh-CN"/>
        </w:rPr>
        <w:t>（</w:t>
      </w:r>
      <w:r>
        <w:rPr>
          <w:color w:val="auto"/>
          <w:spacing w:val="27"/>
        </w:rPr>
        <w:t>合</w:t>
      </w:r>
      <w:r>
        <w:rPr>
          <w:rFonts w:hint="eastAsia"/>
          <w:color w:val="auto"/>
          <w:spacing w:val="27"/>
          <w:lang w:eastAsia="zh-CN"/>
        </w:rPr>
        <w:t>）</w:t>
      </w:r>
      <w:r>
        <w:rPr>
          <w:color w:val="auto"/>
          <w:spacing w:val="3"/>
        </w:rPr>
        <w:t>环准〔2015〕152号，在建设过程中，项目</w:t>
      </w:r>
      <w:r>
        <w:rPr>
          <w:color w:val="auto"/>
          <w:spacing w:val="2"/>
        </w:rPr>
        <w:t>所涉及的线位走向和</w:t>
      </w:r>
      <w:r>
        <w:rPr>
          <w:color w:val="auto"/>
          <w:spacing w:val="-9"/>
        </w:rPr>
        <w:t>长度等主要工程内容等发生变化，属于重大</w:t>
      </w:r>
      <w:r>
        <w:rPr>
          <w:color w:val="auto"/>
          <w:spacing w:val="-10"/>
        </w:rPr>
        <w:t>变动，重新报批环评。</w:t>
      </w:r>
      <w:r>
        <w:rPr>
          <w:color w:val="auto"/>
          <w:spacing w:val="-3"/>
        </w:rPr>
        <w:t>项目总体为南北走向，起点位于重庆市合川区三汇镇斑竹</w:t>
      </w:r>
      <w:r>
        <w:rPr>
          <w:color w:val="auto"/>
          <w:spacing w:val="-4"/>
        </w:rPr>
        <w:t>院子附</w:t>
      </w:r>
      <w:r>
        <w:rPr>
          <w:color w:val="auto"/>
          <w:spacing w:val="8"/>
        </w:rPr>
        <w:t>近</w:t>
      </w:r>
      <w:r>
        <w:rPr>
          <w:rFonts w:hint="eastAsia"/>
          <w:color w:val="auto"/>
          <w:spacing w:val="8"/>
          <w:lang w:eastAsia="zh-CN"/>
        </w:rPr>
        <w:t>（</w:t>
      </w:r>
      <w:r>
        <w:rPr>
          <w:color w:val="auto"/>
          <w:spacing w:val="8"/>
        </w:rPr>
        <w:t>川渝界</w:t>
      </w:r>
      <w:r>
        <w:rPr>
          <w:rFonts w:hint="eastAsia"/>
          <w:color w:val="auto"/>
          <w:spacing w:val="8"/>
          <w:lang w:eastAsia="zh-CN"/>
        </w:rPr>
        <w:t>），</w:t>
      </w:r>
      <w:r>
        <w:rPr>
          <w:color w:val="auto"/>
          <w:spacing w:val="8"/>
        </w:rPr>
        <w:t>接广安市过境高速公路东环线及渝广高速支线</w:t>
      </w:r>
      <w:r>
        <w:rPr>
          <w:rFonts w:hint="eastAsia"/>
          <w:color w:val="auto"/>
          <w:spacing w:val="8"/>
          <w:lang w:eastAsia="zh-CN"/>
        </w:rPr>
        <w:t>（</w:t>
      </w:r>
      <w:r>
        <w:rPr>
          <w:color w:val="auto"/>
          <w:spacing w:val="8"/>
        </w:rPr>
        <w:t>四川段</w:t>
      </w:r>
      <w:r>
        <w:rPr>
          <w:rFonts w:hint="eastAsia"/>
          <w:color w:val="auto"/>
          <w:spacing w:val="8"/>
          <w:lang w:eastAsia="zh-CN"/>
        </w:rPr>
        <w:t>），</w:t>
      </w:r>
      <w:r>
        <w:rPr>
          <w:color w:val="auto"/>
          <w:spacing w:val="8"/>
        </w:rPr>
        <w:t>经三汇镇桂花村、响水村、大田村、小沔镇竹湾村、石</w:t>
      </w:r>
      <w:r>
        <w:rPr>
          <w:color w:val="auto"/>
        </w:rPr>
        <w:t>窝村，止于小沔镇东北侧</w:t>
      </w:r>
      <w:r>
        <w:rPr>
          <w:rFonts w:hint="eastAsia"/>
          <w:color w:val="auto"/>
          <w:lang w:eastAsia="zh-CN"/>
        </w:rPr>
        <w:t>（</w:t>
      </w:r>
      <w:r>
        <w:rPr>
          <w:rFonts w:ascii="Times New Roman" w:hAnsi="Times New Roman" w:eastAsia="Times New Roman" w:cs="Times New Roman"/>
          <w:color w:val="auto"/>
        </w:rPr>
        <w:t>K79+900</w:t>
      </w:r>
      <w:r>
        <w:rPr>
          <w:rFonts w:hint="eastAsia" w:eastAsia="宋体" w:cs="Times New Roman"/>
          <w:color w:val="auto"/>
          <w:lang w:eastAsia="zh-CN"/>
        </w:rPr>
        <w:t>），</w:t>
      </w:r>
      <w:r>
        <w:rPr>
          <w:color w:val="auto"/>
        </w:rPr>
        <w:t>在小沔</w:t>
      </w:r>
      <w:r>
        <w:rPr>
          <w:color w:val="auto"/>
          <w:spacing w:val="-1"/>
        </w:rPr>
        <w:t>镇竹湾村设小沔</w:t>
      </w:r>
      <w:r>
        <w:rPr>
          <w:color w:val="auto"/>
          <w:spacing w:val="-3"/>
        </w:rPr>
        <w:t>枢纽互通与渝广高速相接，同时在小沔镇石窝村设置小沔收费站</w:t>
      </w:r>
      <w:r>
        <w:rPr>
          <w:color w:val="auto"/>
          <w:spacing w:val="9"/>
        </w:rPr>
        <w:t>连接合川区地方公路，终点位于小沔镇石窝村。项目</w:t>
      </w:r>
      <w:r>
        <w:rPr>
          <w:color w:val="auto"/>
          <w:spacing w:val="8"/>
        </w:rPr>
        <w:t>主线全长</w:t>
      </w:r>
      <w:r>
        <w:rPr>
          <w:color w:val="auto"/>
          <w:spacing w:val="-3"/>
        </w:rPr>
        <w:t>10.979千米，采用双向四车道高速公</w:t>
      </w:r>
      <w:r>
        <w:rPr>
          <w:color w:val="auto"/>
          <w:spacing w:val="-4"/>
        </w:rPr>
        <w:t>路标准设计，整体式路基宽</w:t>
      </w:r>
      <w:r>
        <w:rPr>
          <w:rFonts w:hint="default" w:ascii="Times New Roman" w:hAnsi="Times New Roman" w:cs="Times New Roman"/>
          <w:color w:val="auto"/>
          <w:szCs w:val="24"/>
          <w:lang w:val="en-US" w:eastAsia="zh-CN"/>
        </w:rPr>
        <w:t>度为25.5m</w:t>
      </w:r>
      <w:r>
        <w:rPr>
          <w:rFonts w:hint="eastAsia" w:cs="Times New Roman"/>
          <w:color w:val="auto"/>
          <w:szCs w:val="24"/>
          <w:lang w:val="en-US" w:eastAsia="zh-CN"/>
        </w:rPr>
        <w:t>，</w:t>
      </w:r>
      <w:r>
        <w:rPr>
          <w:rFonts w:hint="default" w:ascii="Times New Roman" w:hAnsi="Times New Roman" w:cs="Times New Roman"/>
          <w:color w:val="auto"/>
          <w:szCs w:val="24"/>
          <w:lang w:val="en-US" w:eastAsia="zh-CN"/>
        </w:rPr>
        <w:t>分离式路基宽度12.75m</w:t>
      </w:r>
      <w:r>
        <w:rPr>
          <w:rFonts w:hint="eastAsia" w:cs="Times New Roman"/>
          <w:color w:val="auto"/>
          <w:szCs w:val="24"/>
          <w:lang w:val="en-US" w:eastAsia="zh-CN"/>
        </w:rPr>
        <w:t>，</w:t>
      </w:r>
      <w:r>
        <w:rPr>
          <w:rFonts w:hint="default" w:ascii="Times New Roman" w:hAnsi="Times New Roman" w:cs="Times New Roman"/>
          <w:color w:val="auto"/>
          <w:szCs w:val="24"/>
          <w:lang w:val="en-US" w:eastAsia="zh-CN"/>
        </w:rPr>
        <w:t>设计速度80千米/小时。设计近期、中期、远期分别为2026年、2032年、2040年，全线桥梁481米</w:t>
      </w:r>
      <w:r>
        <w:rPr>
          <w:rFonts w:hint="eastAsia" w:cs="Times New Roman"/>
          <w:color w:val="auto"/>
          <w:szCs w:val="24"/>
          <w:lang w:val="en-US" w:eastAsia="zh-CN"/>
        </w:rPr>
        <w:t>（</w:t>
      </w:r>
      <w:r>
        <w:rPr>
          <w:rFonts w:hint="default" w:ascii="Times New Roman" w:hAnsi="Times New Roman" w:cs="Times New Roman"/>
          <w:color w:val="auto"/>
          <w:szCs w:val="24"/>
          <w:lang w:val="en-US" w:eastAsia="zh-CN"/>
        </w:rPr>
        <w:t>共3座</w:t>
      </w:r>
      <w:r>
        <w:rPr>
          <w:rFonts w:hint="eastAsia" w:cs="Times New Roman"/>
          <w:color w:val="auto"/>
          <w:szCs w:val="24"/>
          <w:lang w:val="en-US" w:eastAsia="zh-CN"/>
        </w:rPr>
        <w:t>），</w:t>
      </w:r>
      <w:r>
        <w:rPr>
          <w:rFonts w:hint="default" w:ascii="Times New Roman" w:hAnsi="Times New Roman" w:cs="Times New Roman"/>
          <w:color w:val="auto"/>
          <w:szCs w:val="24"/>
          <w:lang w:val="en-US" w:eastAsia="zh-CN"/>
        </w:rPr>
        <w:t>设置互通式立交1座、收费站1处。</w:t>
      </w:r>
    </w:p>
    <w:p w14:paraId="6ABFCD2F">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项目总投资88635.60万元，其中环保投资约8061.52万元，占总投资的9.1%。</w:t>
      </w:r>
    </w:p>
    <w:p w14:paraId="4AB6E13D">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二、项目施工与运营管理中，必须认真落实环境影响报告书中提出的各项生态保护措施和污染防治措施，减轻生态影响，减少污染物产生和排放，重点应做好以下工作：</w:t>
      </w:r>
    </w:p>
    <w:p w14:paraId="08C3142F">
      <w:pPr>
        <w:ind w:left="0" w:leftChars="0" w:firstLine="480" w:firstLineChars="0"/>
        <w:rPr>
          <w:rFonts w:hint="default" w:ascii="Times New Roman" w:hAnsi="Times New Roman" w:cs="Times New Roman"/>
          <w:color w:val="auto"/>
          <w:szCs w:val="24"/>
          <w:lang w:val="en-US" w:eastAsia="zh-CN"/>
        </w:rPr>
      </w:pPr>
      <w:r>
        <w:rPr>
          <w:rFonts w:hint="eastAsia" w:cs="Times New Roman"/>
          <w:color w:val="auto"/>
          <w:szCs w:val="24"/>
          <w:lang w:val="en-US" w:eastAsia="zh-CN"/>
        </w:rPr>
        <w:t>（一）</w:t>
      </w:r>
      <w:r>
        <w:rPr>
          <w:rFonts w:hint="default" w:ascii="Times New Roman" w:hAnsi="Times New Roman" w:cs="Times New Roman"/>
          <w:color w:val="auto"/>
          <w:szCs w:val="24"/>
          <w:lang w:val="en-US" w:eastAsia="zh-CN"/>
        </w:rPr>
        <w:t>严格落实水污染防治措施。</w:t>
      </w:r>
    </w:p>
    <w:p w14:paraId="656E2EA3">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施工期：</w:t>
      </w:r>
      <w:r>
        <w:rPr>
          <w:rFonts w:hint="eastAsia" w:cs="Times New Roman"/>
          <w:color w:val="auto"/>
          <w:szCs w:val="24"/>
          <w:lang w:val="en-US" w:eastAsia="zh-CN"/>
        </w:rPr>
        <w:t>拌和</w:t>
      </w:r>
      <w:r>
        <w:rPr>
          <w:rFonts w:hint="default" w:ascii="Times New Roman" w:hAnsi="Times New Roman" w:cs="Times New Roman"/>
          <w:color w:val="auto"/>
          <w:szCs w:val="24"/>
          <w:lang w:val="en-US" w:eastAsia="zh-CN"/>
        </w:rPr>
        <w:t>场和预制场生产废水经沉淀池处理后回用于生产和场界内的洒水降尘。初期雨水经沉淀池处理后回用于生产和场界内的洒水降尘。车辆冲洗废水经隔油沉淀后，用于冲洗车辆、场地洒水等。施工人员生活污水依托租用民房的污水处理设施收集后作农肥用。运营期：收费站污水经一体化污水处理设施处理</w:t>
      </w:r>
      <w:r>
        <w:rPr>
          <w:rFonts w:hint="eastAsia" w:cs="Times New Roman"/>
          <w:color w:val="auto"/>
          <w:szCs w:val="24"/>
          <w:lang w:val="en-US" w:eastAsia="zh-CN"/>
        </w:rPr>
        <w:t>达到</w:t>
      </w:r>
      <w:r>
        <w:rPr>
          <w:rFonts w:hint="default" w:ascii="Times New Roman" w:hAnsi="Times New Roman" w:cs="Times New Roman"/>
          <w:color w:val="auto"/>
          <w:szCs w:val="24"/>
          <w:lang w:val="en-US" w:eastAsia="zh-CN"/>
        </w:rPr>
        <w:t>《城市污水再生利用城市杂用水水质》</w:t>
      </w:r>
      <w:r>
        <w:rPr>
          <w:rFonts w:hint="eastAsia" w:cs="Times New Roman"/>
          <w:color w:val="auto"/>
          <w:szCs w:val="24"/>
          <w:lang w:val="en-US" w:eastAsia="zh-CN"/>
        </w:rPr>
        <w:t>（</w:t>
      </w:r>
      <w:r>
        <w:rPr>
          <w:rFonts w:hint="default" w:ascii="Times New Roman" w:hAnsi="Times New Roman" w:cs="Times New Roman"/>
          <w:color w:val="auto"/>
          <w:szCs w:val="24"/>
          <w:lang w:val="en-US" w:eastAsia="zh-CN"/>
        </w:rPr>
        <w:t>GB/T18920-2020</w:t>
      </w:r>
      <w:r>
        <w:rPr>
          <w:rFonts w:hint="eastAsia" w:cs="Times New Roman"/>
          <w:color w:val="auto"/>
          <w:szCs w:val="24"/>
          <w:lang w:val="en-US" w:eastAsia="zh-CN"/>
        </w:rPr>
        <w:t>）</w:t>
      </w:r>
      <w:r>
        <w:rPr>
          <w:rFonts w:hint="default" w:ascii="Times New Roman" w:hAnsi="Times New Roman" w:cs="Times New Roman"/>
          <w:color w:val="auto"/>
          <w:szCs w:val="24"/>
          <w:lang w:val="en-US" w:eastAsia="zh-CN"/>
        </w:rPr>
        <w:t>标准后用于场区绿化和道路边坡绿化用水、道路清扫等。</w:t>
      </w:r>
    </w:p>
    <w:p w14:paraId="6F4DED81">
      <w:pPr>
        <w:ind w:left="0" w:leftChars="0" w:firstLine="480" w:firstLineChars="0"/>
        <w:rPr>
          <w:rFonts w:hint="default" w:ascii="Times New Roman" w:hAnsi="Times New Roman" w:cs="Times New Roman"/>
          <w:color w:val="auto"/>
          <w:szCs w:val="24"/>
          <w:lang w:val="en-US" w:eastAsia="zh-CN"/>
        </w:rPr>
      </w:pPr>
      <w:r>
        <w:rPr>
          <w:rFonts w:hint="eastAsia" w:cs="Times New Roman"/>
          <w:color w:val="auto"/>
          <w:szCs w:val="24"/>
          <w:lang w:val="en-US" w:eastAsia="zh-CN"/>
        </w:rPr>
        <w:t>（二）</w:t>
      </w:r>
      <w:r>
        <w:rPr>
          <w:rFonts w:hint="default" w:ascii="Times New Roman" w:hAnsi="Times New Roman" w:cs="Times New Roman"/>
          <w:color w:val="auto"/>
          <w:szCs w:val="24"/>
          <w:lang w:val="en-US" w:eastAsia="zh-CN"/>
        </w:rPr>
        <w:t>严格落实废气污染防治措施。</w:t>
      </w:r>
    </w:p>
    <w:p w14:paraId="1B5FD0A0">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施工期加强管理，严格控制尘污染。施工期：主要采取洒水降尘、及时清扫路面、对运输车辆加盖篷布等措施，弃土场远离居民点并遮盖，路基填筑时及时洒水。运营期：加强公路管理和路面养护，加强绿化。</w:t>
      </w:r>
    </w:p>
    <w:p w14:paraId="19448698">
      <w:pPr>
        <w:ind w:left="0" w:leftChars="0" w:firstLine="480" w:firstLineChars="0"/>
        <w:rPr>
          <w:rFonts w:hint="default" w:ascii="Times New Roman" w:hAnsi="Times New Roman" w:cs="Times New Roman"/>
          <w:color w:val="auto"/>
          <w:szCs w:val="24"/>
          <w:lang w:val="en-US" w:eastAsia="zh-CN"/>
        </w:rPr>
      </w:pPr>
      <w:r>
        <w:rPr>
          <w:rFonts w:hint="eastAsia" w:cs="Times New Roman"/>
          <w:color w:val="auto"/>
          <w:szCs w:val="24"/>
          <w:lang w:val="en-US" w:eastAsia="zh-CN"/>
        </w:rPr>
        <w:t>（三）</w:t>
      </w:r>
      <w:r>
        <w:rPr>
          <w:rFonts w:hint="default" w:ascii="Times New Roman" w:hAnsi="Times New Roman" w:cs="Times New Roman"/>
          <w:color w:val="auto"/>
          <w:szCs w:val="24"/>
          <w:lang w:val="en-US" w:eastAsia="zh-CN"/>
        </w:rPr>
        <w:t>严格落实噪声污染防治措施。</w:t>
      </w:r>
    </w:p>
    <w:p w14:paraId="7507AED0">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施工期：加强管理，选用低噪声施工机械和工艺，振动较大的固定机械设备加装减振基座；合理安排施工时间，高噪声设备避免夜间施工；因工艺要求或特殊需要必须夜间连续作业的，施工单位应完善相应手续；施工车辆进出场减速慢行；施工场地周边设置围挡隔声。</w:t>
      </w:r>
    </w:p>
    <w:p w14:paraId="51E095D2">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运营期：运营近期、中期预测超标的声环境敏感目标处共7处，按要求设置声屏障。远期预测超标的8处声环境敏感目标采取预留资金设置声屏障的方式。建设单位应加强对沿线噪声敏感点跟踪监测，根据监测结果及时增补和完善噪声防治措施。配合有关部门合理规划沿线土地利用，线路两侧预测噪声超标范围内，不宜新建学校、医院、疗养院及集中居民住宅区等敏感建筑。</w:t>
      </w:r>
    </w:p>
    <w:p w14:paraId="318F89A3">
      <w:pPr>
        <w:ind w:left="0" w:leftChars="0" w:firstLine="480" w:firstLineChars="0"/>
        <w:rPr>
          <w:rFonts w:hint="default" w:ascii="Times New Roman" w:hAnsi="Times New Roman" w:cs="Times New Roman"/>
          <w:color w:val="auto"/>
          <w:szCs w:val="24"/>
          <w:lang w:val="en-US" w:eastAsia="zh-CN"/>
        </w:rPr>
      </w:pPr>
      <w:r>
        <w:rPr>
          <w:rFonts w:hint="eastAsia" w:cs="Times New Roman"/>
          <w:color w:val="auto"/>
          <w:szCs w:val="24"/>
          <w:lang w:val="en-US" w:eastAsia="zh-CN"/>
        </w:rPr>
        <w:t>（四）</w:t>
      </w:r>
      <w:r>
        <w:rPr>
          <w:rFonts w:hint="default" w:ascii="Times New Roman" w:hAnsi="Times New Roman" w:cs="Times New Roman"/>
          <w:color w:val="auto"/>
          <w:szCs w:val="24"/>
          <w:lang w:val="en-US" w:eastAsia="zh-CN"/>
        </w:rPr>
        <w:t>严格落实固体废物分类处置和综合利用措施。</w:t>
      </w:r>
    </w:p>
    <w:p w14:paraId="4349EF5B">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废油、废含油棉纱手套和废弃的汽、柴油罐等危险废物收集后按规定交有危险废物处理资质的单位处置。施工弃土运至合规的弃土场；建筑垃圾运至合规的建筑垃圾消纳场处置；生活垃圾集中收集后交由当地环卫部门统一处理。</w:t>
      </w:r>
    </w:p>
    <w:p w14:paraId="420406B2">
      <w:pPr>
        <w:ind w:left="0" w:leftChars="0" w:firstLine="480" w:firstLineChars="0"/>
        <w:rPr>
          <w:rFonts w:hint="default" w:ascii="Times New Roman" w:hAnsi="Times New Roman" w:cs="Times New Roman"/>
          <w:color w:val="auto"/>
          <w:szCs w:val="24"/>
          <w:lang w:val="en-US" w:eastAsia="zh-CN"/>
        </w:rPr>
      </w:pPr>
      <w:r>
        <w:rPr>
          <w:rFonts w:hint="eastAsia" w:cs="Times New Roman"/>
          <w:color w:val="auto"/>
          <w:szCs w:val="24"/>
          <w:lang w:val="en-US" w:eastAsia="zh-CN"/>
        </w:rPr>
        <w:t>（五）</w:t>
      </w:r>
      <w:r>
        <w:rPr>
          <w:rFonts w:hint="default" w:ascii="Times New Roman" w:hAnsi="Times New Roman" w:cs="Times New Roman"/>
          <w:color w:val="auto"/>
          <w:szCs w:val="24"/>
          <w:lang w:val="en-US" w:eastAsia="zh-CN"/>
        </w:rPr>
        <w:t>严格落实生态保护措施。</w:t>
      </w:r>
    </w:p>
    <w:p w14:paraId="43244828">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施工期：剥离的表土妥善堆存，施工结束后采取复绿复垦综合利用；施工过程中弃土场按照“先挡后弃、分层堆放”的原则处置废弃土石方并采取临时防护和排水工作，堆方结束后顶面采取复垦、边坡绿化等，并采用当地物种进行植被恢复；项目设置桥梁、涵洞等保持线路两侧生态连通。施工结束后及时进行植被的恢复，落实补偿措施，加强管理和宣传教育，确保公路绿化林带不受破坏。跨林区的路段采用加密绿化带，防止灯光和噪声对动物的不利影响。</w:t>
      </w:r>
    </w:p>
    <w:p w14:paraId="38CAA9D6">
      <w:pPr>
        <w:ind w:left="0" w:leftChars="0" w:firstLine="480" w:firstLineChars="0"/>
        <w:rPr>
          <w:rFonts w:hint="default" w:ascii="Times New Roman" w:hAnsi="Times New Roman" w:cs="Times New Roman"/>
          <w:color w:val="auto"/>
          <w:szCs w:val="24"/>
          <w:lang w:val="en-US" w:eastAsia="zh-CN"/>
        </w:rPr>
      </w:pPr>
      <w:r>
        <w:rPr>
          <w:rFonts w:hint="eastAsia" w:cs="Times New Roman"/>
          <w:color w:val="auto"/>
          <w:szCs w:val="24"/>
          <w:lang w:val="en-US" w:eastAsia="zh-CN"/>
        </w:rPr>
        <w:t>（六）</w:t>
      </w:r>
      <w:r>
        <w:rPr>
          <w:rFonts w:hint="default" w:ascii="Times New Roman" w:hAnsi="Times New Roman" w:cs="Times New Roman"/>
          <w:color w:val="auto"/>
          <w:szCs w:val="24"/>
          <w:lang w:val="en-US" w:eastAsia="zh-CN"/>
        </w:rPr>
        <w:t>严格落实环境风险防范措施。</w:t>
      </w:r>
    </w:p>
    <w:p w14:paraId="14147994">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严格落实报告书中提出的各项风险防范措施。拟采取的主要环境风险防范措施包括：做好工程防护措施和管理措施，在大桥路段两侧采用加强型防撞栏设计，并设置警示、减速标识标牌，确保行车安全并在收费站配备</w:t>
      </w:r>
      <w:r>
        <w:rPr>
          <w:rFonts w:hint="eastAsia" w:cs="Times New Roman"/>
          <w:color w:val="auto"/>
          <w:szCs w:val="24"/>
          <w:lang w:val="en-US" w:eastAsia="zh-CN"/>
        </w:rPr>
        <w:t>应急物资</w:t>
      </w:r>
      <w:r>
        <w:rPr>
          <w:rFonts w:hint="default" w:ascii="Times New Roman" w:hAnsi="Times New Roman" w:cs="Times New Roman"/>
          <w:color w:val="auto"/>
          <w:szCs w:val="24"/>
          <w:lang w:val="en-US" w:eastAsia="zh-CN"/>
        </w:rPr>
        <w:t>。编制环境风险应急预案。</w:t>
      </w:r>
    </w:p>
    <w:p w14:paraId="31FB9BE5">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三、项目建设必须严格执行环境保护设施与主体工程同时设计、同时施工、同时投入使用的环境保护“三同时”制度。项目环保投资应纳入工程投资概算并予以落实。项目投入运行前，应依据有关规定向生态环境行政主管部门申请排污许可，不得无证排污或不按证排污。项目竣工后，你公司应按照有关规定对配套建设的环境保护设施进行验收，编制验收报告并依法向社会公开验收报告，公示期满后5个工作日内，应登录全国建设项目竣工环境保护验收信息平台，填报验收等相关信息。</w:t>
      </w:r>
    </w:p>
    <w:p w14:paraId="78847DE9">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四、若项目的性质、规模、地点、采用的生产工艺或者防治污染措施发生重大变动的，应依法重新报批项目环境影响评价文件。自批准之日起超过5年该项目方开工建设的，其环评文件应当报我局重新审核。</w:t>
      </w:r>
    </w:p>
    <w:p w14:paraId="7A5202C7">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五、本批准书内容依据你公司报批的建设项目环境影响评价</w:t>
      </w:r>
    </w:p>
    <w:p w14:paraId="4EBD7C11">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文件推荐方案预测的环境状态和相应条件作出，若项目实施或运行后，国家和本市提出新的环境质量要求，或发布更加严格的污染物排放标准，或项目运行出现明显影响区域环境质量的状况，你公司有义务按照国家及本市的新要求或发生明显影响环境质量的新情况，采取有效的改进措施确保项目满足新的环境保护管理要求。</w:t>
      </w:r>
    </w:p>
    <w:p w14:paraId="5F2E19A3">
      <w:pPr>
        <w:ind w:left="0" w:leftChars="0" w:firstLine="480" w:firstLineChars="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六、项目的日常监督管理由重庆市合川区生态环境保护综合行政执法支队依法实施。</w:t>
      </w:r>
    </w:p>
    <w:p w14:paraId="06EAE24B">
      <w:pPr>
        <w:rPr>
          <w:rFonts w:hint="eastAsia"/>
          <w:color w:val="auto"/>
          <w:lang w:val="en-US" w:eastAsia="zh-CN"/>
        </w:rPr>
      </w:pPr>
      <w:r>
        <w:rPr>
          <w:rFonts w:hint="eastAsia"/>
          <w:color w:val="auto"/>
          <w:lang w:val="en-US" w:eastAsia="zh-CN"/>
        </w:rPr>
        <w:br w:type="page"/>
      </w:r>
    </w:p>
    <w:p w14:paraId="4C1A3979">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color w:val="auto"/>
        </w:rPr>
      </w:pPr>
      <w:bookmarkStart w:id="93" w:name="_Toc12974"/>
      <w:r>
        <w:rPr>
          <w:rFonts w:hint="eastAsia" w:ascii="Times New Roman" w:hAnsi="Times New Roman" w:eastAsia="宋体" w:cs="Times New Roman"/>
          <w:color w:val="auto"/>
          <w:sz w:val="36"/>
          <w:szCs w:val="36"/>
          <w:lang w:val="en-US" w:eastAsia="zh-CN"/>
        </w:rPr>
        <w:t>4 环境保护措施落实情况调查​</w:t>
      </w:r>
      <w:bookmarkEnd w:id="93"/>
    </w:p>
    <w:p w14:paraId="06CBE55D">
      <w:pPr>
        <w:pStyle w:val="3"/>
        <w:numPr>
          <w:ilvl w:val="0"/>
          <w:numId w:val="0"/>
        </w:numPr>
        <w:ind w:left="578" w:leftChars="0" w:hanging="578" w:firstLineChars="0"/>
        <w:rPr>
          <w:rFonts w:hint="default" w:ascii="Times New Roman" w:hAnsi="Times New Roman" w:cs="Times New Roman"/>
          <w:color w:val="auto"/>
        </w:rPr>
      </w:pPr>
      <w:bookmarkStart w:id="94" w:name="_Toc18954"/>
      <w:bookmarkStart w:id="95" w:name="_Toc7098"/>
      <w:r>
        <w:rPr>
          <w:rFonts w:hint="eastAsia" w:ascii="Times New Roman" w:hAnsi="Times New Roman" w:cs="Times New Roman"/>
          <w:b/>
          <w:bCs/>
          <w:color w:val="auto"/>
          <w:kern w:val="2"/>
          <w:sz w:val="32"/>
          <w:szCs w:val="32"/>
          <w:lang w:val="en-US" w:eastAsia="zh-CN" w:bidi="ar-SA"/>
        </w:rPr>
        <w:t>4.1</w:t>
      </w:r>
      <w:r>
        <w:rPr>
          <w:rFonts w:hint="default" w:ascii="Times New Roman" w:hAnsi="Times New Roman" w:cs="Times New Roman"/>
          <w:color w:val="auto"/>
        </w:rPr>
        <w:t>环评阶段环境保护措施落实情况调查</w:t>
      </w:r>
      <w:bookmarkEnd w:id="94"/>
      <w:bookmarkEnd w:id="95"/>
    </w:p>
    <w:p w14:paraId="6E436BC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本项目环评报告书提出的环境保护措施以及落实情况见</w:t>
      </w:r>
      <w:r>
        <w:rPr>
          <w:rFonts w:hint="default" w:ascii="Times New Roman" w:hAnsi="Times New Roman" w:cs="Times New Roman"/>
          <w:color w:val="auto"/>
          <w:szCs w:val="24"/>
          <w:lang w:eastAsia="zh-CN"/>
        </w:rPr>
        <w:fldChar w:fldCharType="begin"/>
      </w:r>
      <w:r>
        <w:rPr>
          <w:rFonts w:hint="default" w:ascii="Times New Roman" w:hAnsi="Times New Roman" w:cs="Times New Roman"/>
          <w:color w:val="auto"/>
          <w:szCs w:val="24"/>
        </w:rPr>
        <w:instrText xml:space="preserve"> REF _Ref138771825 \h </w:instrText>
      </w:r>
      <w:r>
        <w:rPr>
          <w:rFonts w:hint="default" w:ascii="Times New Roman" w:hAnsi="Times New Roman" w:cs="Times New Roman"/>
          <w:color w:val="auto"/>
          <w:szCs w:val="24"/>
          <w:lang w:eastAsia="zh-CN"/>
        </w:rPr>
        <w:instrText xml:space="preserve"> \* MERGEFORMAT </w:instrText>
      </w:r>
      <w:r>
        <w:rPr>
          <w:rFonts w:hint="default" w:ascii="Times New Roman" w:hAnsi="Times New Roman" w:cs="Times New Roman"/>
          <w:color w:val="auto"/>
          <w:szCs w:val="24"/>
          <w:lang w:eastAsia="zh-CN"/>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w:instrText>
      </w:r>
      <w:r>
        <w:rPr>
          <w:rFonts w:hint="default"/>
          <w:color w:val="auto"/>
        </w:rPr>
        <w:instrText xml:space="preserve"> 2 \s </w:instrText>
      </w:r>
      <w:r>
        <w:rPr>
          <w:rFonts w:hint="default"/>
          <w:color w:val="auto"/>
        </w:rPr>
        <w:fldChar w:fldCharType="separate"/>
      </w:r>
      <w:r>
        <w:rPr>
          <w:rFonts w:hint="default"/>
          <w:color w:val="auto"/>
        </w:rPr>
        <w:t>4.1</w:t>
      </w:r>
      <w:r>
        <w:rPr>
          <w:rFonts w:hint="default"/>
          <w:color w:val="auto"/>
        </w:rPr>
        <w:fldChar w:fldCharType="end"/>
      </w:r>
      <w:r>
        <w:rPr>
          <w:rFonts w:hint="default"/>
          <w:color w:val="auto"/>
        </w:rPr>
        <w:noBreakHyphen/>
      </w:r>
      <w:r>
        <w:rPr>
          <w:rFonts w:hint="default"/>
          <w:color w:val="auto"/>
        </w:rPr>
        <w:t>1</w:t>
      </w:r>
      <w:r>
        <w:rPr>
          <w:rFonts w:hint="default" w:ascii="Times New Roman" w:hAnsi="Times New Roman" w:cs="Times New Roman"/>
          <w:color w:val="auto"/>
          <w:szCs w:val="24"/>
          <w:lang w:eastAsia="zh-CN"/>
        </w:rPr>
        <w:fldChar w:fldCharType="end"/>
      </w:r>
      <w:r>
        <w:rPr>
          <w:rFonts w:hint="default" w:ascii="Times New Roman" w:hAnsi="Times New Roman" w:cs="Times New Roman"/>
          <w:color w:val="auto"/>
          <w:szCs w:val="24"/>
        </w:rPr>
        <w:t>，本项目环评批复提出的环境保护措施以及落实情况见</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REF _Ref138771833 \h  \* MERGEFORMAT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w:instrText>
      </w:r>
      <w:r>
        <w:rPr>
          <w:rFonts w:hint="default"/>
          <w:color w:val="auto"/>
        </w:rPr>
        <w:instrText xml:space="preserve"> 2 \s </w:instrText>
      </w:r>
      <w:r>
        <w:rPr>
          <w:rFonts w:hint="default"/>
          <w:color w:val="auto"/>
        </w:rPr>
        <w:fldChar w:fldCharType="separate"/>
      </w:r>
      <w:r>
        <w:rPr>
          <w:rFonts w:hint="default"/>
          <w:color w:val="auto"/>
        </w:rPr>
        <w:t>4.1</w:t>
      </w:r>
      <w:r>
        <w:rPr>
          <w:rFonts w:hint="default"/>
          <w:color w:val="auto"/>
        </w:rPr>
        <w:fldChar w:fldCharType="end"/>
      </w:r>
      <w:r>
        <w:rPr>
          <w:rFonts w:hint="default"/>
          <w:color w:val="auto"/>
        </w:rPr>
        <w:noBreakHyphen/>
      </w:r>
      <w:r>
        <w:rPr>
          <w:rFonts w:hint="default"/>
          <w:color w:val="auto"/>
        </w:rPr>
        <w:t>2</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t>。</w:t>
      </w:r>
    </w:p>
    <w:p w14:paraId="6031A2D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由</w:t>
      </w:r>
      <w:r>
        <w:rPr>
          <w:rFonts w:hint="default" w:ascii="Times New Roman" w:hAnsi="Times New Roman" w:cs="Times New Roman"/>
          <w:color w:val="auto"/>
          <w:szCs w:val="24"/>
          <w:lang w:eastAsia="zh-CN"/>
        </w:rPr>
        <w:fldChar w:fldCharType="begin"/>
      </w:r>
      <w:r>
        <w:rPr>
          <w:rFonts w:hint="default" w:ascii="Times New Roman" w:hAnsi="Times New Roman" w:cs="Times New Roman"/>
          <w:color w:val="auto"/>
          <w:szCs w:val="24"/>
        </w:rPr>
        <w:instrText xml:space="preserve"> REF _Ref138771825 \h </w:instrText>
      </w:r>
      <w:r>
        <w:rPr>
          <w:rFonts w:hint="default" w:ascii="Times New Roman" w:hAnsi="Times New Roman" w:cs="Times New Roman"/>
          <w:color w:val="auto"/>
          <w:szCs w:val="24"/>
          <w:lang w:eastAsia="zh-CN"/>
        </w:rPr>
        <w:instrText xml:space="preserve"> \* MERGEFORMAT </w:instrText>
      </w:r>
      <w:r>
        <w:rPr>
          <w:rFonts w:hint="default" w:ascii="Times New Roman" w:hAnsi="Times New Roman" w:cs="Times New Roman"/>
          <w:color w:val="auto"/>
          <w:szCs w:val="24"/>
          <w:lang w:eastAsia="zh-CN"/>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w:instrText>
      </w:r>
      <w:r>
        <w:rPr>
          <w:rFonts w:hint="default"/>
          <w:color w:val="auto"/>
        </w:rPr>
        <w:instrText xml:space="preserve"> 2 \s </w:instrText>
      </w:r>
      <w:r>
        <w:rPr>
          <w:rFonts w:hint="default"/>
          <w:color w:val="auto"/>
        </w:rPr>
        <w:fldChar w:fldCharType="separate"/>
      </w:r>
      <w:r>
        <w:rPr>
          <w:rFonts w:hint="default"/>
          <w:color w:val="auto"/>
        </w:rPr>
        <w:t>4.1</w:t>
      </w:r>
      <w:r>
        <w:rPr>
          <w:rFonts w:hint="default"/>
          <w:color w:val="auto"/>
        </w:rPr>
        <w:fldChar w:fldCharType="end"/>
      </w:r>
      <w:r>
        <w:rPr>
          <w:rFonts w:hint="default"/>
          <w:color w:val="auto"/>
        </w:rPr>
        <w:noBreakHyphen/>
      </w:r>
      <w:r>
        <w:rPr>
          <w:rFonts w:hint="default"/>
          <w:color w:val="auto"/>
        </w:rPr>
        <w:t>1</w:t>
      </w:r>
      <w:r>
        <w:rPr>
          <w:rFonts w:hint="default" w:ascii="Times New Roman" w:hAnsi="Times New Roman" w:cs="Times New Roman"/>
          <w:color w:val="auto"/>
          <w:szCs w:val="24"/>
          <w:lang w:eastAsia="zh-CN"/>
        </w:rPr>
        <w:fldChar w:fldCharType="end"/>
      </w:r>
      <w:r>
        <w:rPr>
          <w:rFonts w:hint="default" w:ascii="Times New Roman" w:hAnsi="Times New Roman" w:cs="Times New Roman"/>
          <w:color w:val="auto"/>
          <w:szCs w:val="24"/>
          <w:lang w:eastAsia="zh-CN"/>
        </w:rPr>
        <w:t>、</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REF _Ref138771833 \h  \* MERGEFORMAT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w:instrText>
      </w:r>
      <w:r>
        <w:rPr>
          <w:rFonts w:hint="default"/>
          <w:color w:val="auto"/>
        </w:rPr>
        <w:instrText xml:space="preserve"> 2 \s </w:instrText>
      </w:r>
      <w:r>
        <w:rPr>
          <w:rFonts w:hint="default"/>
          <w:color w:val="auto"/>
        </w:rPr>
        <w:fldChar w:fldCharType="separate"/>
      </w:r>
      <w:r>
        <w:rPr>
          <w:rFonts w:hint="default"/>
          <w:color w:val="auto"/>
        </w:rPr>
        <w:t>4.1</w:t>
      </w:r>
      <w:r>
        <w:rPr>
          <w:rFonts w:hint="default"/>
          <w:color w:val="auto"/>
        </w:rPr>
        <w:fldChar w:fldCharType="end"/>
      </w:r>
      <w:r>
        <w:rPr>
          <w:rFonts w:hint="default"/>
          <w:color w:val="auto"/>
        </w:rPr>
        <w:noBreakHyphen/>
      </w:r>
      <w:r>
        <w:rPr>
          <w:rFonts w:hint="default"/>
          <w:color w:val="auto"/>
        </w:rPr>
        <w:t>2</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t>可知，本工程施工期基本上按照环境影响报告书要求，采取了相应的环境保护措施，落实情况较好。同时，建设单位还针对工程建成后的实际影响情况对生态保护措施与环境污染治理措施进行了补充与完善，取得了较好的环境效益和社会效益。运营期对噪声敏感点应采取的噪声污染防治措施以及为保护沿线水体的桥、路面径流收集系统，建设单位已按照</w:t>
      </w:r>
      <w:r>
        <w:rPr>
          <w:rFonts w:hint="eastAsia" w:cs="Times New Roman"/>
          <w:color w:val="auto"/>
          <w:szCs w:val="24"/>
          <w:lang w:val="en-US" w:eastAsia="zh-CN"/>
        </w:rPr>
        <w:t>重新报批</w:t>
      </w:r>
      <w:r>
        <w:rPr>
          <w:rFonts w:hint="eastAsia" w:cs="Times New Roman"/>
          <w:color w:val="auto"/>
          <w:szCs w:val="24"/>
          <w:lang w:eastAsia="zh-CN"/>
        </w:rPr>
        <w:t>阶段</w:t>
      </w:r>
      <w:r>
        <w:rPr>
          <w:rFonts w:hint="default" w:ascii="Times New Roman" w:hAnsi="Times New Roman" w:cs="Times New Roman"/>
          <w:color w:val="auto"/>
          <w:szCs w:val="24"/>
        </w:rPr>
        <w:t>的要求进行了落实。</w:t>
      </w:r>
    </w:p>
    <w:p w14:paraId="749E9C69">
      <w:pPr>
        <w:pStyle w:val="24"/>
        <w:ind w:firstLine="480"/>
        <w:rPr>
          <w:rFonts w:hint="default" w:ascii="Times New Roman" w:hAnsi="Times New Roman" w:cs="Times New Roman"/>
          <w:color w:val="auto"/>
          <w:szCs w:val="24"/>
        </w:rPr>
      </w:pPr>
    </w:p>
    <w:p w14:paraId="1FE6D135">
      <w:pPr>
        <w:pStyle w:val="24"/>
        <w:ind w:firstLine="480"/>
        <w:rPr>
          <w:rFonts w:hint="default" w:ascii="Times New Roman" w:hAnsi="Times New Roman" w:cs="Times New Roman"/>
          <w:color w:val="auto"/>
          <w:szCs w:val="24"/>
        </w:rPr>
        <w:sectPr>
          <w:pgSz w:w="11906" w:h="16838"/>
          <w:pgMar w:top="1440" w:right="1800" w:bottom="1440" w:left="180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p>
    <w:p w14:paraId="3C6FCB03">
      <w:pPr>
        <w:pStyle w:val="9"/>
        <w:rPr>
          <w:rFonts w:hint="default" w:ascii="Times New Roman" w:hAnsi="Times New Roman" w:cs="Times New Roman"/>
          <w:color w:val="auto"/>
        </w:rPr>
      </w:pPr>
      <w:bookmarkStart w:id="96" w:name="_Ref138771825"/>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4.1</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bookmarkEnd w:id="96"/>
      <w:r>
        <w:rPr>
          <w:rFonts w:hint="default" w:ascii="Times New Roman" w:hAnsi="Times New Roman" w:cs="Times New Roman"/>
          <w:color w:val="auto"/>
        </w:rPr>
        <w:t>环评报告提出的环保措施与实际采取的环保措施对比表</w:t>
      </w:r>
    </w:p>
    <w:tbl>
      <w:tblPr>
        <w:tblStyle w:val="36"/>
        <w:tblW w:w="490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42"/>
        <w:gridCol w:w="7140"/>
        <w:gridCol w:w="5412"/>
      </w:tblGrid>
      <w:tr w14:paraId="0A9D0B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jc w:val="center"/>
        </w:trPr>
        <w:tc>
          <w:tcPr>
            <w:tcW w:w="1141" w:type="dxa"/>
            <w:tcBorders>
              <w:tl2br w:val="nil"/>
              <w:tr2bl w:val="nil"/>
            </w:tcBorders>
            <w:noWrap w:val="0"/>
            <w:vAlign w:val="center"/>
          </w:tcPr>
          <w:p w14:paraId="6C204B0D">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bookmarkStart w:id="97" w:name="_Ref138771833"/>
            <w:r>
              <w:rPr>
                <w:rFonts w:hint="default" w:ascii="Times New Roman" w:hAnsi="Times New Roman" w:cs="Times New Roman"/>
                <w:color w:val="auto"/>
                <w:spacing w:val="-3"/>
                <w:sz w:val="21"/>
                <w:szCs w:val="21"/>
              </w:rPr>
              <w:t>项目</w:t>
            </w:r>
          </w:p>
        </w:tc>
        <w:tc>
          <w:tcPr>
            <w:tcW w:w="7136" w:type="dxa"/>
            <w:tcBorders>
              <w:tl2br w:val="nil"/>
              <w:tr2bl w:val="nil"/>
            </w:tcBorders>
            <w:noWrap w:val="0"/>
            <w:vAlign w:val="center"/>
          </w:tcPr>
          <w:p w14:paraId="7FCDEE8B">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1"/>
                <w:sz w:val="21"/>
                <w:szCs w:val="21"/>
                <w:lang w:val="en-US" w:eastAsia="zh-CN"/>
              </w:rPr>
              <w:t>重新报批阶段</w:t>
            </w:r>
            <w:r>
              <w:rPr>
                <w:rFonts w:hint="default" w:ascii="Times New Roman" w:hAnsi="Times New Roman" w:cs="Times New Roman"/>
                <w:color w:val="auto"/>
                <w:spacing w:val="-1"/>
                <w:sz w:val="21"/>
                <w:szCs w:val="21"/>
              </w:rPr>
              <w:t>报告提出的环保措施</w:t>
            </w:r>
          </w:p>
        </w:tc>
        <w:tc>
          <w:tcPr>
            <w:tcW w:w="5409" w:type="dxa"/>
            <w:tcBorders>
              <w:tl2br w:val="nil"/>
              <w:tr2bl w:val="nil"/>
            </w:tcBorders>
            <w:noWrap w:val="0"/>
            <w:vAlign w:val="center"/>
          </w:tcPr>
          <w:p w14:paraId="4445C03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pacing w:val="-1"/>
                <w:sz w:val="21"/>
                <w:szCs w:val="21"/>
                <w:lang w:val="en-US" w:eastAsia="zh-CN"/>
              </w:rPr>
              <w:t>验收阶段</w:t>
            </w:r>
            <w:r>
              <w:rPr>
                <w:rFonts w:hint="default" w:ascii="Times New Roman" w:hAnsi="Times New Roman" w:cs="Times New Roman"/>
                <w:color w:val="auto"/>
                <w:spacing w:val="-1"/>
                <w:sz w:val="21"/>
                <w:szCs w:val="21"/>
              </w:rPr>
              <w:t>工程实际采取的环保措施</w:t>
            </w:r>
          </w:p>
        </w:tc>
      </w:tr>
      <w:tr w14:paraId="5E9426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3" w:hRule="atLeast"/>
          <w:jc w:val="center"/>
        </w:trPr>
        <w:tc>
          <w:tcPr>
            <w:tcW w:w="1141" w:type="dxa"/>
            <w:tcBorders>
              <w:tl2br w:val="nil"/>
              <w:tr2bl w:val="nil"/>
            </w:tcBorders>
            <w:noWrap w:val="0"/>
            <w:vAlign w:val="center"/>
          </w:tcPr>
          <w:p w14:paraId="15DFB280">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生态</w:t>
            </w:r>
          </w:p>
          <w:p w14:paraId="064240A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环境</w:t>
            </w:r>
          </w:p>
        </w:tc>
        <w:tc>
          <w:tcPr>
            <w:tcW w:w="7136" w:type="dxa"/>
            <w:tcBorders>
              <w:tl2br w:val="nil"/>
              <w:tr2bl w:val="nil"/>
            </w:tcBorders>
            <w:noWrap w:val="0"/>
            <w:vAlign w:val="center"/>
          </w:tcPr>
          <w:p w14:paraId="0C6583B5">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（1）环境管理</w:t>
            </w:r>
          </w:p>
          <w:p w14:paraId="3BB97275">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加强公路环境保护管理，设立运营期环境保护管理机制；确保公路各项环保设施正常运行，做好环境保护宣传工作。</w:t>
            </w:r>
          </w:p>
          <w:p w14:paraId="304FB106">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加强运营期管理，保证各项工程设施完好和确保安全生产是生态保护最基本的措施，建议开展相关环保培训和认证，以提高环境管理水平，杜绝环境风险事故发生。</w:t>
            </w:r>
          </w:p>
          <w:p w14:paraId="7808A11E">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禁止运输未经覆盖的煤、石灰、水泥等散货的车辆上桥行驶，禁止漏油、漏料的罐装车和超载的卡车上桥行驶，贯彻落实危险物品运输车辆安全通过及事故处理的保证措施，尤其是涉及生态环境敏感区路段。并做好公路沿线固体废弃物清理收集、储存。</w:t>
            </w:r>
          </w:p>
          <w:p w14:paraId="1DBEDE58">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（2）生态保护设施</w:t>
            </w:r>
          </w:p>
          <w:p w14:paraId="0011E9A6">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营运</w:t>
            </w:r>
            <w:r>
              <w:rPr>
                <w:rFonts w:hint="eastAsia" w:ascii="Times New Roman" w:hAnsi="Times New Roman" w:cs="Times New Roman"/>
                <w:color w:val="auto"/>
                <w:spacing w:val="-1"/>
                <w:sz w:val="21"/>
                <w:szCs w:val="21"/>
                <w:lang w:val="en-US" w:eastAsia="zh-CN"/>
              </w:rPr>
              <w:t>期间</w:t>
            </w:r>
            <w:r>
              <w:rPr>
                <w:rFonts w:hint="default" w:ascii="Times New Roman" w:hAnsi="Times New Roman" w:cs="Times New Roman"/>
                <w:color w:val="auto"/>
                <w:spacing w:val="-1"/>
                <w:sz w:val="21"/>
                <w:szCs w:val="21"/>
                <w:lang w:val="en-US" w:eastAsia="zh-CN"/>
              </w:rPr>
              <w:t>做好植被的恢复，落实补偿措施，加强管理和宣传教育，确保公路绿化林带不受破坏。跨林区的路段采用加密绿化带，防止灯光和噪声对动物的不利影响。对边坡处尽快尽好地做好植被恢复，使之有利于动物适应新的生境。</w:t>
            </w:r>
          </w:p>
          <w:p w14:paraId="7AB1C2FC">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做好外来物种的检疫及已有入侵植物的防治和清理工作。对进入的交通工具及设施进行严格的外来物种及病虫害检疫，一旦发现立即清除，同时也应该在公路两侧检查是否有遗留的入侵物种，发现后也应该采取措施进行清除。</w:t>
            </w:r>
          </w:p>
          <w:p w14:paraId="7292FBD6">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（3）生态恢复</w:t>
            </w:r>
          </w:p>
          <w:p w14:paraId="7A3F7A5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边坡绿化应定期进行维护，绿化植被的选择应以适应当地生长的草坪植物或低灌木为主，同时根据生态系统自身演替规律分步骤分阶段进行；部分立地条件太差的区域，自然恢复要辅以人工促进措施，因地制宜地补充种源、促进种子发芽、幼苗生长、密度调控、结构调整等。</w:t>
            </w:r>
          </w:p>
          <w:p w14:paraId="6BE6AD51">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（4）生态影响减缓措施</w:t>
            </w:r>
          </w:p>
          <w:p w14:paraId="1AFE9FC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生态排水系统：采用透水路面、植被过滤带吸收污染物，减少融雪剂使用。</w:t>
            </w:r>
          </w:p>
          <w:p w14:paraId="5268479F">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路域生态修复：在公路两侧种植本土蜜源植物和浆果灌木，为传粉昆虫和鸟类提供补给站。</w:t>
            </w:r>
          </w:p>
          <w:p w14:paraId="74EE2ACA">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（5）加大宣传</w:t>
            </w:r>
          </w:p>
          <w:p w14:paraId="20783A42">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1"/>
                <w:sz w:val="21"/>
                <w:szCs w:val="21"/>
                <w:lang w:val="en-US" w:eastAsia="zh-CN"/>
              </w:rPr>
              <w:t>加强宣传教育，保护公路绿化林带和沿线林地不受破坏，强化向司乘人员进行保护环境宣传工作。</w:t>
            </w:r>
          </w:p>
        </w:tc>
        <w:tc>
          <w:tcPr>
            <w:tcW w:w="5409" w:type="dxa"/>
            <w:tcBorders>
              <w:tl2br w:val="nil"/>
              <w:tr2bl w:val="nil"/>
            </w:tcBorders>
            <w:noWrap w:val="0"/>
            <w:vAlign w:val="center"/>
          </w:tcPr>
          <w:p w14:paraId="71A4155F">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已落实。</w:t>
            </w:r>
          </w:p>
          <w:p w14:paraId="63526872">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（1）环境管理​</w:t>
            </w:r>
          </w:p>
          <w:p w14:paraId="095A7F2D">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建设单位已建立运营期环境保护管理机制，配备专职环保管理人员，定期开展环保培训与考核，确保环保设施稳定运行。施工期严格落实车辆准入制度，禁止未覆盖散货车辆、漏油漏料罐装车及超载车辆上桥行驶，制定并实施了危险物品运输车辆安全通行与事故应急处置预案。沿线固体废弃物实行分类收集、定期清运，未发生环境污染事件。</w:t>
            </w:r>
          </w:p>
          <w:p w14:paraId="214CE0AC">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环保投资实际落实7886.52万元（执行率</w:t>
            </w:r>
            <w:r>
              <w:rPr>
                <w:rFonts w:hint="eastAsia" w:ascii="Times New Roman" w:hAnsi="Times New Roman" w:cs="Times New Roman"/>
                <w:color w:val="auto"/>
                <w:spacing w:val="-1"/>
                <w:sz w:val="21"/>
                <w:szCs w:val="21"/>
                <w:lang w:val="en-US" w:eastAsia="zh-CN"/>
              </w:rPr>
              <w:t>97.83</w:t>
            </w:r>
            <w:r>
              <w:rPr>
                <w:rFonts w:hint="default" w:ascii="Times New Roman" w:hAnsi="Times New Roman" w:cs="Times New Roman"/>
                <w:color w:val="auto"/>
                <w:spacing w:val="-1"/>
                <w:sz w:val="21"/>
                <w:szCs w:val="21"/>
                <w:lang w:val="en-US" w:eastAsia="zh-CN"/>
              </w:rPr>
              <w:t>%）。</w:t>
            </w:r>
          </w:p>
          <w:p w14:paraId="2B644BD1">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（2）生态保护设施​</w:t>
            </w:r>
          </w:p>
          <w:p w14:paraId="0E345825">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营运期植被恢复与补偿措施已全部完成，公路绿化林带及边坡植被长势良好，跨林区路段通过加密绿化带有效降低了灯光与噪声对野生动物的影响。施工期对外来物种及病虫害实施严格检疫，未发现入侵物种扩散现象，公路两侧区域生态状况稳定。</w:t>
            </w:r>
          </w:p>
          <w:p w14:paraId="7D51A085">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（3）生态恢复​</w:t>
            </w:r>
          </w:p>
          <w:p w14:paraId="36E4158E">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边坡绿化采用本地适生植物（如狗牙根、紫穗槐等），结合自然恢复与人工补植，植被覆盖率达95%以上。针对立地条件较差区域，通过客土喷播、土壤改良等措施促进生态修复，已形成稳定的边坡植物群落。</w:t>
            </w:r>
          </w:p>
          <w:p w14:paraId="4607774D">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（4）生态影响减缓措施​</w:t>
            </w:r>
          </w:p>
          <w:p w14:paraId="696AF045">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全线采用透水路面与植被过滤带，有效削减路面径流污染物；公路两侧种植本土蜜源植物（如荆条、紫菀）及浆果灌木（如枸杞、沙棘），为传粉昆虫与鸟类提供了栖息地，生态廊道功能初步显现。</w:t>
            </w:r>
          </w:p>
          <w:p w14:paraId="2FED569D">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（5）宣传教育​</w:t>
            </w:r>
          </w:p>
          <w:p w14:paraId="5F3C6D86">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通过设立环保宣传牌、发放宣传手册等方式，向司乘人员普及生态保护知识，公路绿化设施未遭破坏，沿线群众环保意识显著提升。</w:t>
            </w:r>
          </w:p>
        </w:tc>
      </w:tr>
      <w:tr w14:paraId="1FFAA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jc w:val="center"/>
        </w:trPr>
        <w:tc>
          <w:tcPr>
            <w:tcW w:w="1141" w:type="dxa"/>
            <w:tcBorders>
              <w:tl2br w:val="nil"/>
              <w:tr2bl w:val="nil"/>
            </w:tcBorders>
            <w:noWrap w:val="0"/>
            <w:vAlign w:val="center"/>
          </w:tcPr>
          <w:p w14:paraId="3EF252EA">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环境</w:t>
            </w:r>
          </w:p>
          <w:p w14:paraId="3FCDEB45">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空气</w:t>
            </w:r>
          </w:p>
        </w:tc>
        <w:tc>
          <w:tcPr>
            <w:tcW w:w="7136" w:type="dxa"/>
            <w:tcBorders>
              <w:tl2br w:val="nil"/>
              <w:tr2bl w:val="nil"/>
            </w:tcBorders>
            <w:noWrap w:val="0"/>
            <w:vAlign w:val="center"/>
          </w:tcPr>
          <w:p w14:paraId="637BCEE7">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公路营运期的废气主要为车辆尾气，加强道路交通管理，禁止尾气超标车辆上路行驶；在公路两侧，特别是居民点附近多植树、种草，既可净化吸收车辆尾气中的污染物，又可美化环境和改善公路沿线景观；定期对路面进行清扫，减少路面扬尘</w:t>
            </w:r>
          </w:p>
        </w:tc>
        <w:tc>
          <w:tcPr>
            <w:tcW w:w="5409" w:type="dxa"/>
            <w:tcBorders>
              <w:tl2br w:val="nil"/>
              <w:tr2bl w:val="nil"/>
            </w:tcBorders>
            <w:noWrap w:val="0"/>
            <w:vAlign w:val="center"/>
          </w:tcPr>
          <w:p w14:paraId="0BF948CD">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已落实。营运</w:t>
            </w:r>
            <w:r>
              <w:rPr>
                <w:rFonts w:hint="eastAsia" w:ascii="Times New Roman" w:hAnsi="Times New Roman" w:cs="Times New Roman"/>
                <w:color w:val="auto"/>
                <w:spacing w:val="-1"/>
                <w:sz w:val="21"/>
                <w:szCs w:val="21"/>
                <w:lang w:val="en-US" w:eastAsia="zh-CN"/>
              </w:rPr>
              <w:t>期间</w:t>
            </w:r>
            <w:r>
              <w:rPr>
                <w:rFonts w:hint="default" w:ascii="Times New Roman" w:hAnsi="Times New Roman" w:cs="Times New Roman"/>
                <w:color w:val="auto"/>
                <w:spacing w:val="-1"/>
                <w:sz w:val="21"/>
                <w:szCs w:val="21"/>
                <w:lang w:val="en-US" w:eastAsia="zh-CN"/>
              </w:rPr>
              <w:t>实施机动车尾气抽检制度，禁止尾气超标车辆上路；公路两侧（尤</w:t>
            </w:r>
            <w:r>
              <w:rPr>
                <w:rFonts w:hint="eastAsia" w:ascii="Times New Roman" w:hAnsi="Times New Roman" w:cs="Times New Roman"/>
                <w:color w:val="auto"/>
                <w:spacing w:val="-1"/>
                <w:sz w:val="21"/>
                <w:szCs w:val="21"/>
                <w:lang w:val="en-US" w:eastAsia="zh-CN"/>
              </w:rPr>
              <w:t>其是</w:t>
            </w:r>
            <w:r>
              <w:rPr>
                <w:rFonts w:hint="default" w:ascii="Times New Roman" w:hAnsi="Times New Roman" w:cs="Times New Roman"/>
                <w:color w:val="auto"/>
                <w:spacing w:val="-1"/>
                <w:sz w:val="21"/>
                <w:szCs w:val="21"/>
                <w:lang w:val="en-US" w:eastAsia="zh-CN"/>
              </w:rPr>
              <w:t>居民点路段）种植乔灌草复合绿化带，吸附尾气污染物并美化景观；路面实行每日清扫与洒水降尘，扬尘控制措施落实到位</w:t>
            </w:r>
            <w:r>
              <w:rPr>
                <w:rFonts w:hint="eastAsia" w:ascii="Times New Roman" w:hAnsi="Times New Roman" w:cs="Times New Roman"/>
                <w:color w:val="auto"/>
                <w:spacing w:val="-1"/>
                <w:sz w:val="21"/>
                <w:szCs w:val="21"/>
                <w:lang w:val="en-US" w:eastAsia="zh-CN"/>
              </w:rPr>
              <w:t>。</w:t>
            </w:r>
          </w:p>
        </w:tc>
      </w:tr>
      <w:tr w14:paraId="2489B9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3" w:hRule="atLeast"/>
          <w:jc w:val="center"/>
        </w:trPr>
        <w:tc>
          <w:tcPr>
            <w:tcW w:w="1141" w:type="dxa"/>
            <w:tcBorders>
              <w:tl2br w:val="nil"/>
              <w:tr2bl w:val="nil"/>
            </w:tcBorders>
            <w:noWrap w:val="0"/>
            <w:vAlign w:val="center"/>
          </w:tcPr>
          <w:p w14:paraId="28E5C28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lang w:val="en-US" w:eastAsia="zh-CN"/>
              </w:rPr>
              <w:t>地表水</w:t>
            </w:r>
            <w:r>
              <w:rPr>
                <w:rFonts w:hint="default" w:ascii="Times New Roman" w:hAnsi="Times New Roman" w:cs="Times New Roman"/>
                <w:color w:val="auto"/>
                <w:spacing w:val="-3"/>
                <w:sz w:val="21"/>
                <w:szCs w:val="21"/>
              </w:rPr>
              <w:t>环境</w:t>
            </w:r>
          </w:p>
        </w:tc>
        <w:tc>
          <w:tcPr>
            <w:tcW w:w="7136" w:type="dxa"/>
            <w:tcBorders>
              <w:tl2br w:val="nil"/>
              <w:tr2bl w:val="nil"/>
            </w:tcBorders>
            <w:noWrap w:val="0"/>
            <w:vAlign w:val="center"/>
          </w:tcPr>
          <w:p w14:paraId="6B6AD6B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项目收费站的生活污水采用一体化污水处理设施进行生化处理（厌氧+缺氧+好氧+沉淀+消毒），一体化污水处理设施出水水质达到《城市污水再生利用城市杂用水水质》（GB/T18920-2020）后的废水回用于绿化用水，不外排。</w:t>
            </w:r>
          </w:p>
          <w:p w14:paraId="6C8048D5">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应加强公路排水设施的管理，维持经常性的巡查和养护，对跨河桥梁路段进行重点管理，要及时修复被毁坏的排水设施。</w:t>
            </w:r>
          </w:p>
        </w:tc>
        <w:tc>
          <w:tcPr>
            <w:tcW w:w="5409" w:type="dxa"/>
            <w:tcBorders>
              <w:tl2br w:val="nil"/>
              <w:tr2bl w:val="nil"/>
            </w:tcBorders>
            <w:noWrap w:val="0"/>
            <w:vAlign w:val="center"/>
          </w:tcPr>
          <w:p w14:paraId="19A9A1D8">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已落实。收费站生活污水采用“厌氧+缺氧+好氧+沉淀+消毒”一体化处理设施，出水水质达到《城市污水再生利用城市杂用水水质》（GB/T18920-2020）标准，全部回用于站区绿化，实现零排放</w:t>
            </w:r>
            <w:r>
              <w:rPr>
                <w:rFonts w:hint="eastAsia" w:ascii="Times New Roman" w:hAnsi="Times New Roman" w:cs="Times New Roman"/>
                <w:color w:val="auto"/>
                <w:sz w:val="21"/>
                <w:szCs w:val="21"/>
                <w:lang w:val="en-US" w:eastAsia="zh-CN"/>
              </w:rPr>
              <w:t>。</w:t>
            </w:r>
          </w:p>
          <w:p w14:paraId="2645D5E9">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公路排水设施定期巡查维护，跨河桥梁路段防撞护栏与排水系统完好，未发生排水设施损毁导致的水体污染事件</w:t>
            </w:r>
            <w:r>
              <w:rPr>
                <w:rFonts w:hint="eastAsia" w:ascii="Times New Roman" w:hAnsi="Times New Roman" w:cs="Times New Roman"/>
                <w:color w:val="auto"/>
                <w:sz w:val="21"/>
                <w:szCs w:val="21"/>
                <w:lang w:val="en-US" w:eastAsia="zh-CN"/>
              </w:rPr>
              <w:t>。</w:t>
            </w:r>
          </w:p>
        </w:tc>
      </w:tr>
      <w:tr w14:paraId="79A94B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7" w:hRule="atLeast"/>
          <w:jc w:val="center"/>
        </w:trPr>
        <w:tc>
          <w:tcPr>
            <w:tcW w:w="1141" w:type="dxa"/>
            <w:tcBorders>
              <w:tl2br w:val="nil"/>
              <w:tr2bl w:val="nil"/>
            </w:tcBorders>
            <w:noWrap w:val="0"/>
            <w:vAlign w:val="center"/>
          </w:tcPr>
          <w:p w14:paraId="62CBCC6A">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声环境</w:t>
            </w:r>
          </w:p>
        </w:tc>
        <w:tc>
          <w:tcPr>
            <w:tcW w:w="7136" w:type="dxa"/>
            <w:tcBorders>
              <w:tl2br w:val="nil"/>
              <w:tr2bl w:val="nil"/>
            </w:tcBorders>
            <w:noWrap w:val="0"/>
            <w:vAlign w:val="center"/>
          </w:tcPr>
          <w:p w14:paraId="704649FB">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（1）管理措施</w:t>
            </w:r>
          </w:p>
          <w:p w14:paraId="62E2779D">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通过加强公路交通管理，如在重点敏感点附近路段设置禁鸣标志等有效控制交通噪声的污染，控制公路路面的平整度，避免因路况不佳造成车辆颠簸等引起交通噪声增大。</w:t>
            </w:r>
          </w:p>
          <w:p w14:paraId="2D279604">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（2）沿线村镇规划的建议</w:t>
            </w:r>
          </w:p>
          <w:p w14:paraId="482F42C5">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①对于沿线开阔平坦的土地使用，规划居住区、学校、医院等声环境敏感建筑尽量远离道路布设；合理布局建筑朝向、房屋使用功能的分区以及内部建筑的分区，将对声音不敏感的建筑或房间布置在临路一侧，对声音敏感的建筑或房间如：起居室、病房、教室、宿舍楼等不宜直接布置在面向道路一侧，以降低或消除高速公路交通噪声的影响。</w:t>
            </w:r>
          </w:p>
          <w:p w14:paraId="5AFFC632">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②根据《地面交通噪声污染防治技术政策》（环发〔2010〕7号），合理规划布局，在4a类声环境区内宜进行绿化或作为交通服务设施、仓储物流设施等非噪声敏感性应用。</w:t>
            </w:r>
          </w:p>
          <w:p w14:paraId="3CD58A3B">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（3）工程措施</w:t>
            </w:r>
          </w:p>
          <w:p w14:paraId="1A19217A">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噪声治理原则是：对营运近、中期超标的7处声环境敏感目标采取工程措施；考虑到预测情况与实际运营情况的差异，对于运营近期、中期不超标，但远期超标的8处声环境敏感目标采取定期跟踪监测，根据监测结果及时增补工程措施。</w:t>
            </w:r>
          </w:p>
          <w:p w14:paraId="384F8539">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根据现场调查，目前建设单位已在运营近期、中期预测超标的声环境敏感目标处斑竹村马鞍桥居民点、斑竹村新竹湾居民点、1#斑竹村长五间居民点</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K77+950-K78+050</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斑竹村卢家院子居民点以及预测未超标的响水村蔡家垭口居民点、大田村狮子寨居民点、大田村瓦房沟居民点已建设有声屏障1058m，安装的隔声屏障为3m高直立式声屏障；运营近期、中期预测超标的声环境敏感目标中尚有桂花村吊脚楼居民点、大田村华家屋基居民点、1#斑竹村长五间居民点</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K78+150-K78+250</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、2#斑竹村长五间居民点未安装隔声屏，需补充安装365m的隔声屏。</w:t>
            </w:r>
          </w:p>
          <w:p w14:paraId="7F47C1C8">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对运营期近期、中期不超标，但远期预测超标的8处声环境敏感目标（桂花村蒋家石桥居民点、桂花村庙子湾居民点、桂花村桂花桥居民点、1#桂花村油竹湾居民点、2#桂花村油竹湾居民点、1#响水村陈家坝居民点、大田村小屋基居民点、大田村柏树园居民点）采取预留资金设置隔声屏的方式；并在运营期跟踪监测，根据监测结果及时增补隔声屏，并配合有关部门合理规划沿线土地利用，在线路两侧预测噪声超标范围内，不宜新建学校、医院、疗养院及集中居民住宅区等敏感建筑。</w:t>
            </w:r>
          </w:p>
        </w:tc>
        <w:tc>
          <w:tcPr>
            <w:tcW w:w="5409" w:type="dxa"/>
            <w:tcBorders>
              <w:tl2br w:val="nil"/>
              <w:tr2bl w:val="nil"/>
            </w:tcBorders>
            <w:noWrap w:val="0"/>
            <w:vAlign w:val="center"/>
          </w:tcPr>
          <w:p w14:paraId="71E61BFB">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已落实。</w:t>
            </w:r>
          </w:p>
          <w:p w14:paraId="5079B348">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
                <w:sz w:val="21"/>
                <w:szCs w:val="21"/>
              </w:rPr>
              <w:t>（1）</w:t>
            </w:r>
            <w:r>
              <w:rPr>
                <w:rFonts w:hint="default" w:ascii="Times New Roman" w:hAnsi="Times New Roman" w:cs="Times New Roman"/>
                <w:color w:val="auto"/>
                <w:sz w:val="21"/>
                <w:szCs w:val="21"/>
                <w:lang w:val="en-US" w:eastAsia="zh-CN"/>
              </w:rPr>
              <w:t>管理措施​</w:t>
            </w:r>
          </w:p>
          <w:p w14:paraId="512552F9">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在斑竹村马鞍桥、新竹湾等敏感点路段设置禁鸣标志，路面平整度维护良好，交通噪声得到有效控制。</w:t>
            </w:r>
          </w:p>
          <w:p w14:paraId="060D5519">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
                <w:sz w:val="21"/>
                <w:szCs w:val="21"/>
              </w:rPr>
              <w:t>（2）</w:t>
            </w:r>
            <w:r>
              <w:rPr>
                <w:rFonts w:hint="default" w:ascii="Times New Roman" w:hAnsi="Times New Roman" w:cs="Times New Roman"/>
                <w:color w:val="auto"/>
                <w:sz w:val="21"/>
                <w:szCs w:val="21"/>
                <w:lang w:val="en-US" w:eastAsia="zh-CN"/>
              </w:rPr>
              <w:t>工程措施​</w:t>
            </w:r>
          </w:p>
          <w:p w14:paraId="5A13CE47">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已对营运近期、中期超标的7处敏感目标（斑竹村马鞍桥、新竹湾等）安装3m高直立式声屏障共1058m；</w:t>
            </w:r>
          </w:p>
          <w:p w14:paraId="7FEB945F">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对桂花村吊脚楼、大田村华家屋基等未安装声屏障的超标敏感点</w:t>
            </w:r>
            <w:r>
              <w:rPr>
                <w:rFonts w:hint="eastAsia" w:ascii="Times New Roman" w:hAnsi="Times New Roman" w:cs="Times New Roman"/>
                <w:color w:val="auto"/>
                <w:sz w:val="21"/>
                <w:szCs w:val="21"/>
                <w:lang w:val="en-US" w:eastAsia="zh-CN"/>
              </w:rPr>
              <w:t>进行现状监测后噪声未超标，</w:t>
            </w:r>
            <w:r>
              <w:rPr>
                <w:rFonts w:hint="default" w:ascii="Times New Roman" w:hAnsi="Times New Roman" w:cs="Times New Roman"/>
                <w:color w:val="auto"/>
                <w:sz w:val="21"/>
                <w:szCs w:val="21"/>
                <w:lang w:val="en-US" w:eastAsia="zh-CN"/>
              </w:rPr>
              <w:t>预留声屏障建设资金</w:t>
            </w:r>
            <w:r>
              <w:rPr>
                <w:rFonts w:hint="eastAsia" w:ascii="Times New Roman" w:hAnsi="Times New Roman" w:cs="Times New Roman"/>
                <w:color w:val="auto"/>
                <w:sz w:val="21"/>
                <w:szCs w:val="21"/>
                <w:lang w:val="en-US" w:eastAsia="zh-CN"/>
              </w:rPr>
              <w:t>，后续跟踪监测超标后补充</w:t>
            </w:r>
            <w:r>
              <w:rPr>
                <w:rFonts w:hint="default" w:ascii="Times New Roman" w:hAnsi="Times New Roman" w:cs="Times New Roman"/>
                <w:color w:val="auto"/>
                <w:sz w:val="21"/>
                <w:szCs w:val="21"/>
                <w:lang w:val="en-US" w:eastAsia="zh-CN"/>
              </w:rPr>
              <w:t>安装隔声屏；</w:t>
            </w:r>
          </w:p>
          <w:p w14:paraId="002D16CC">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对远期可能超标的8处敏感目标（桂花村蒋家石桥、响水村陈家坝等）预留声屏障建设资金，并建立噪声跟踪监测机制，根据监测结果动态调整防治措施。</w:t>
            </w:r>
          </w:p>
          <w:p w14:paraId="4BE2E14C">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
                <w:sz w:val="21"/>
                <w:szCs w:val="21"/>
              </w:rPr>
              <w:t>（3）</w:t>
            </w:r>
            <w:r>
              <w:rPr>
                <w:rFonts w:hint="default" w:ascii="Times New Roman" w:hAnsi="Times New Roman" w:cs="Times New Roman"/>
                <w:color w:val="auto"/>
                <w:sz w:val="21"/>
                <w:szCs w:val="21"/>
                <w:lang w:val="en-US" w:eastAsia="zh-CN"/>
              </w:rPr>
              <w:t>规划协调​</w:t>
            </w:r>
          </w:p>
          <w:p w14:paraId="7EA4A8ED">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配合地方政府完成沿线土地利用规划调整，在噪声超标范围内不再审批新建学校、医院及集中住宅区等敏感建筑。</w:t>
            </w:r>
          </w:p>
        </w:tc>
      </w:tr>
      <w:tr w14:paraId="600764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jc w:val="center"/>
        </w:trPr>
        <w:tc>
          <w:tcPr>
            <w:tcW w:w="1141" w:type="dxa"/>
            <w:tcBorders>
              <w:tl2br w:val="nil"/>
              <w:tr2bl w:val="nil"/>
            </w:tcBorders>
            <w:noWrap w:val="0"/>
            <w:vAlign w:val="center"/>
          </w:tcPr>
          <w:p w14:paraId="3093E9CA">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固体</w:t>
            </w:r>
          </w:p>
          <w:p w14:paraId="4C9A8643">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废物</w:t>
            </w:r>
          </w:p>
        </w:tc>
        <w:tc>
          <w:tcPr>
            <w:tcW w:w="7136" w:type="dxa"/>
            <w:tcBorders>
              <w:tl2br w:val="nil"/>
              <w:tr2bl w:val="nil"/>
            </w:tcBorders>
            <w:noWrap w:val="0"/>
            <w:vAlign w:val="center"/>
          </w:tcPr>
          <w:p w14:paraId="0CBCBBFF">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eastAsia="宋体" w:cs="Times New Roman"/>
                <w:color w:val="auto"/>
                <w:spacing w:val="-1"/>
                <w:sz w:val="21"/>
                <w:szCs w:val="21"/>
                <w:lang w:eastAsia="zh-CN"/>
              </w:rPr>
            </w:pPr>
            <w:r>
              <w:rPr>
                <w:rFonts w:hint="default" w:ascii="Times New Roman" w:hAnsi="Times New Roman" w:cs="Times New Roman"/>
                <w:color w:val="auto"/>
                <w:spacing w:val="-1"/>
                <w:sz w:val="21"/>
                <w:szCs w:val="21"/>
              </w:rPr>
              <w:t>收费站设置垃圾收集点，对垃圾进行分类收集，收集后交由当地的环卫部门送往附近的城市垃圾处理场进行处理处置。</w:t>
            </w:r>
          </w:p>
        </w:tc>
        <w:tc>
          <w:tcPr>
            <w:tcW w:w="5409" w:type="dxa"/>
            <w:tcBorders>
              <w:tl2br w:val="nil"/>
              <w:tr2bl w:val="nil"/>
            </w:tcBorders>
            <w:noWrap w:val="0"/>
            <w:vAlign w:val="center"/>
          </w:tcPr>
          <w:p w14:paraId="55AC7A06">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已落实</w:t>
            </w:r>
            <w:r>
              <w:rPr>
                <w:rFonts w:hint="default" w:ascii="Times New Roman" w:hAnsi="Times New Roman" w:eastAsia="宋体" w:cs="Times New Roman"/>
                <w:b w:val="0"/>
                <w:color w:val="auto"/>
                <w:sz w:val="21"/>
                <w:szCs w:val="21"/>
                <w:lang w:eastAsia="zh-CN"/>
              </w:rPr>
              <w:t>。收费站设置分类垃圾收集点，生活垃圾由当地环卫部门统一清运至城市垃圾处理场处置，分类收集与无害化处理率达100%</w:t>
            </w:r>
          </w:p>
        </w:tc>
      </w:tr>
      <w:tr w14:paraId="1BCE72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jc w:val="center"/>
        </w:trPr>
        <w:tc>
          <w:tcPr>
            <w:tcW w:w="1141" w:type="dxa"/>
            <w:tcBorders>
              <w:tl2br w:val="nil"/>
              <w:tr2bl w:val="nil"/>
            </w:tcBorders>
            <w:noWrap w:val="0"/>
            <w:vAlign w:val="center"/>
          </w:tcPr>
          <w:p w14:paraId="0C225686">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环境风险</w:t>
            </w:r>
          </w:p>
          <w:p w14:paraId="58B73269">
            <w:pPr>
              <w:keepNext w:val="0"/>
              <w:keepLines w:val="0"/>
              <w:pageBreakBefore w:val="0"/>
              <w:wordWrap/>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防范措施</w:t>
            </w:r>
          </w:p>
        </w:tc>
        <w:tc>
          <w:tcPr>
            <w:tcW w:w="7136" w:type="dxa"/>
            <w:tcBorders>
              <w:tl2br w:val="nil"/>
              <w:tr2bl w:val="nil"/>
            </w:tcBorders>
            <w:noWrap w:val="0"/>
            <w:vAlign w:val="center"/>
          </w:tcPr>
          <w:p w14:paraId="47DC1762">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（1）工程措施</w:t>
            </w:r>
          </w:p>
          <w:p w14:paraId="2A8BB275">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在新桂大桥、团结水库大桥等路段两侧采用加强型防撞栏设计，并设置警示、减速标识标牌，确保行车安全。同时在收费站配备</w:t>
            </w:r>
            <w:r>
              <w:rPr>
                <w:rFonts w:hint="eastAsia" w:ascii="Times New Roman" w:hAnsi="Times New Roman" w:cs="Times New Roman"/>
                <w:color w:val="auto"/>
                <w:spacing w:val="-1"/>
                <w:sz w:val="21"/>
                <w:szCs w:val="21"/>
                <w:lang w:eastAsia="zh-CN"/>
              </w:rPr>
              <w:t>应急物资</w:t>
            </w:r>
            <w:r>
              <w:rPr>
                <w:rFonts w:hint="default" w:ascii="Times New Roman" w:hAnsi="Times New Roman" w:cs="Times New Roman"/>
                <w:color w:val="auto"/>
                <w:spacing w:val="-1"/>
                <w:sz w:val="21"/>
                <w:szCs w:val="21"/>
              </w:rPr>
              <w:t>。</w:t>
            </w:r>
          </w:p>
          <w:p w14:paraId="693897D3">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（2）管理措施</w:t>
            </w:r>
          </w:p>
          <w:p w14:paraId="64B04D2F">
            <w:pPr>
              <w:pStyle w:val="40"/>
              <w:keepNext w:val="0"/>
              <w:keepLines w:val="0"/>
              <w:pageBreakBefore w:val="0"/>
              <w:wordWrap/>
              <w:topLinePunct w:val="0"/>
              <w:autoSpaceDE w:val="0"/>
              <w:autoSpaceDN w:val="0"/>
              <w:bidi w:val="0"/>
              <w:adjustRightInd w:val="0"/>
              <w:snapToGrid w:val="0"/>
              <w:spacing w:line="240" w:lineRule="auto"/>
              <w:ind w:left="0" w:right="0" w:firstLine="0" w:firstLineChars="0"/>
              <w:jc w:val="both"/>
              <w:textAlignment w:val="baseline"/>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项目管理部门应加强与主管部门沟通联系，严格执行</w:t>
            </w:r>
            <w:r>
              <w:rPr>
                <w:rFonts w:hint="eastAsia" w:ascii="Times New Roman" w:hAnsi="Times New Roman" w:cs="Times New Roman"/>
                <w:color w:val="auto"/>
                <w:spacing w:val="-1"/>
                <w:sz w:val="21"/>
                <w:szCs w:val="21"/>
                <w:lang w:eastAsia="zh-CN"/>
              </w:rPr>
              <w:t>交通运输部</w:t>
            </w:r>
            <w:r>
              <w:rPr>
                <w:rFonts w:hint="default" w:ascii="Times New Roman" w:hAnsi="Times New Roman" w:cs="Times New Roman"/>
                <w:color w:val="auto"/>
                <w:spacing w:val="-1"/>
                <w:sz w:val="21"/>
                <w:szCs w:val="21"/>
              </w:rPr>
              <w:t>部颁标准《汽车运输危险货物规则》（JT617-2004）有关危险品运输的规定，加强对危险品运输车辆的管理，强化有关危险品运输法规的教育和培训，加强区域内危险品运输管理，同时制定公路运输突发环境事件应急预案，并按照应急预案进行定期培训和演练。</w:t>
            </w:r>
          </w:p>
        </w:tc>
        <w:tc>
          <w:tcPr>
            <w:tcW w:w="5409" w:type="dxa"/>
            <w:tcBorders>
              <w:tl2br w:val="nil"/>
              <w:tr2bl w:val="nil"/>
            </w:tcBorders>
            <w:noWrap w:val="0"/>
            <w:vAlign w:val="center"/>
          </w:tcPr>
          <w:p w14:paraId="7E27EB18">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b w:val="0"/>
                <w:color w:val="auto"/>
                <w:sz w:val="21"/>
                <w:szCs w:val="21"/>
                <w:lang w:eastAsia="zh-CN"/>
              </w:rPr>
            </w:pPr>
            <w:r>
              <w:rPr>
                <w:rFonts w:hint="default" w:ascii="Times New Roman" w:hAnsi="Times New Roman" w:cs="Times New Roman"/>
                <w:color w:val="auto"/>
                <w:sz w:val="21"/>
                <w:szCs w:val="21"/>
                <w:lang w:val="en-US" w:eastAsia="zh-CN"/>
              </w:rPr>
              <w:t>已落实</w:t>
            </w:r>
            <w:r>
              <w:rPr>
                <w:rFonts w:hint="default" w:ascii="Times New Roman" w:hAnsi="Times New Roman" w:eastAsia="宋体" w:cs="Times New Roman"/>
                <w:b w:val="0"/>
                <w:color w:val="auto"/>
                <w:sz w:val="21"/>
                <w:szCs w:val="21"/>
                <w:lang w:eastAsia="zh-CN"/>
              </w:rPr>
              <w:t>。</w:t>
            </w:r>
          </w:p>
          <w:p w14:paraId="09FCE6FD">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eastAsia="宋体" w:cs="Times New Roman"/>
                <w:b w:val="0"/>
                <w:color w:val="auto"/>
                <w:sz w:val="21"/>
                <w:szCs w:val="21"/>
                <w:lang w:eastAsia="zh-CN"/>
              </w:rPr>
            </w:pPr>
            <w:r>
              <w:rPr>
                <w:rFonts w:hint="default" w:ascii="Times New Roman" w:hAnsi="Times New Roman" w:cs="Times New Roman"/>
                <w:color w:val="auto"/>
                <w:spacing w:val="-1"/>
                <w:sz w:val="21"/>
                <w:szCs w:val="21"/>
              </w:rPr>
              <w:t>（1）</w:t>
            </w:r>
            <w:r>
              <w:rPr>
                <w:rFonts w:hint="default" w:ascii="Times New Roman" w:hAnsi="Times New Roman" w:eastAsia="宋体" w:cs="Times New Roman"/>
                <w:b w:val="0"/>
                <w:color w:val="auto"/>
                <w:sz w:val="21"/>
                <w:szCs w:val="21"/>
                <w:lang w:eastAsia="zh-CN"/>
              </w:rPr>
              <w:t>工程措施​</w:t>
            </w:r>
          </w:p>
          <w:p w14:paraId="7980951E">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b w:val="0"/>
                <w:color w:val="auto"/>
                <w:sz w:val="21"/>
                <w:szCs w:val="21"/>
                <w:lang w:eastAsia="zh-CN"/>
              </w:rPr>
            </w:pPr>
            <w:r>
              <w:rPr>
                <w:rFonts w:hint="default" w:ascii="Times New Roman" w:hAnsi="Times New Roman" w:eastAsia="宋体" w:cs="Times New Roman"/>
                <w:b w:val="0"/>
                <w:color w:val="auto"/>
                <w:sz w:val="21"/>
                <w:szCs w:val="21"/>
                <w:lang w:eastAsia="zh-CN"/>
              </w:rPr>
              <w:t>新桂大桥、团结水库大桥等路段采用加强型防撞护栏，设置警示标识与减速带，收费站配备应急物资储备库（含吸油毡、围油栏等）。</w:t>
            </w:r>
          </w:p>
          <w:p w14:paraId="53008BA7">
            <w:pPr>
              <w:pStyle w:val="40"/>
              <w:keepNext w:val="0"/>
              <w:keepLines w:val="0"/>
              <w:pageBreakBefore w:val="0"/>
              <w:wordWrap/>
              <w:topLinePunct w:val="0"/>
              <w:autoSpaceDE w:val="0"/>
              <w:autoSpaceDN w:val="0"/>
              <w:bidi w:val="0"/>
              <w:adjustRightInd w:val="0"/>
              <w:snapToGrid w:val="0"/>
              <w:spacing w:line="240" w:lineRule="auto"/>
              <w:ind w:left="0" w:right="0" w:firstLine="416" w:firstLineChars="200"/>
              <w:jc w:val="both"/>
              <w:textAlignment w:val="baseline"/>
              <w:rPr>
                <w:rFonts w:hint="default" w:ascii="Times New Roman" w:hAnsi="Times New Roman" w:eastAsia="宋体" w:cs="Times New Roman"/>
                <w:b w:val="0"/>
                <w:color w:val="auto"/>
                <w:sz w:val="21"/>
                <w:szCs w:val="21"/>
                <w:lang w:eastAsia="zh-CN"/>
              </w:rPr>
            </w:pPr>
            <w:r>
              <w:rPr>
                <w:rFonts w:hint="default" w:ascii="Times New Roman" w:hAnsi="Times New Roman" w:cs="Times New Roman"/>
                <w:color w:val="auto"/>
                <w:spacing w:val="-1"/>
                <w:sz w:val="21"/>
                <w:szCs w:val="21"/>
              </w:rPr>
              <w:t>（2）</w:t>
            </w:r>
            <w:r>
              <w:rPr>
                <w:rFonts w:hint="default" w:ascii="Times New Roman" w:hAnsi="Times New Roman" w:eastAsia="宋体" w:cs="Times New Roman"/>
                <w:b w:val="0"/>
                <w:color w:val="auto"/>
                <w:sz w:val="21"/>
                <w:szCs w:val="21"/>
                <w:lang w:eastAsia="zh-CN"/>
              </w:rPr>
              <w:t>管理措施​</w:t>
            </w:r>
          </w:p>
          <w:p w14:paraId="2D01DAE9">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lang w:val="en-US" w:eastAsia="zh-CN"/>
              </w:rPr>
            </w:pPr>
            <w:r>
              <w:rPr>
                <w:rFonts w:hint="eastAsia" w:ascii="Times New Roman" w:hAnsi="Times New Roman" w:eastAsia="宋体" w:cs="Times New Roman"/>
                <w:b w:val="0"/>
                <w:color w:val="auto"/>
                <w:sz w:val="21"/>
                <w:szCs w:val="21"/>
                <w:lang w:val="en-US" w:eastAsia="zh-CN"/>
              </w:rPr>
              <w:t>项目已编制应急预案并完成备案，营运过程中</w:t>
            </w:r>
            <w:r>
              <w:rPr>
                <w:rFonts w:hint="default" w:ascii="Times New Roman" w:hAnsi="Times New Roman" w:eastAsia="宋体" w:cs="Times New Roman"/>
                <w:b w:val="0"/>
                <w:color w:val="auto"/>
                <w:sz w:val="21"/>
                <w:szCs w:val="21"/>
                <w:lang w:eastAsia="zh-CN"/>
              </w:rPr>
              <w:t>严格执行《汽车运输危险货物规则》（JT617-2004），对危险品运输车辆实行通行证管理与全程监控；制定《公路突发环境事件应急预案》，每年开展1次应急演练，与地方政府、消防及环保部门建立联动机制。</w:t>
            </w:r>
          </w:p>
        </w:tc>
      </w:tr>
    </w:tbl>
    <w:p w14:paraId="2383D77E">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4.1</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bookmarkEnd w:id="97"/>
      <w:r>
        <w:rPr>
          <w:rFonts w:hint="default" w:ascii="Times New Roman" w:hAnsi="Times New Roman" w:cs="Times New Roman"/>
          <w:color w:val="auto"/>
        </w:rPr>
        <w:t>环评批复意见落实情况调查对比表</w:t>
      </w:r>
    </w:p>
    <w:tbl>
      <w:tblPr>
        <w:tblStyle w:val="36"/>
        <w:tblW w:w="4879" w:type="pct"/>
        <w:tblInd w:w="8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2"/>
        <w:gridCol w:w="6564"/>
        <w:gridCol w:w="5107"/>
        <w:gridCol w:w="1167"/>
      </w:tblGrid>
      <w:tr w14:paraId="043604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552" w:type="dxa"/>
            <w:tcBorders>
              <w:tl2br w:val="nil"/>
              <w:tr2bl w:val="nil"/>
            </w:tcBorders>
            <w:noWrap w:val="0"/>
            <w:vAlign w:val="center"/>
          </w:tcPr>
          <w:p w14:paraId="3E301D09">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序号</w:t>
            </w:r>
          </w:p>
        </w:tc>
        <w:tc>
          <w:tcPr>
            <w:tcW w:w="4581" w:type="dxa"/>
            <w:tcBorders>
              <w:tl2br w:val="nil"/>
              <w:tr2bl w:val="nil"/>
            </w:tcBorders>
            <w:noWrap w:val="0"/>
            <w:vAlign w:val="center"/>
          </w:tcPr>
          <w:p w14:paraId="33C50B75">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批复意见内容</w:t>
            </w:r>
          </w:p>
        </w:tc>
        <w:tc>
          <w:tcPr>
            <w:tcW w:w="3564" w:type="dxa"/>
            <w:tcBorders>
              <w:tl2br w:val="nil"/>
              <w:tr2bl w:val="nil"/>
            </w:tcBorders>
            <w:noWrap w:val="0"/>
            <w:vAlign w:val="center"/>
          </w:tcPr>
          <w:p w14:paraId="125BE71A">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落实情况</w:t>
            </w:r>
          </w:p>
        </w:tc>
        <w:tc>
          <w:tcPr>
            <w:tcW w:w="815" w:type="dxa"/>
            <w:tcBorders>
              <w:tl2br w:val="nil"/>
              <w:tr2bl w:val="nil"/>
            </w:tcBorders>
            <w:noWrap w:val="0"/>
            <w:vAlign w:val="center"/>
          </w:tcPr>
          <w:p w14:paraId="3F34F76E">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落实</w:t>
            </w:r>
          </w:p>
          <w:p w14:paraId="6D0EF1AB">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与否</w:t>
            </w:r>
          </w:p>
        </w:tc>
      </w:tr>
      <w:tr w14:paraId="3DF161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52" w:type="dxa"/>
            <w:tcBorders>
              <w:tl2br w:val="nil"/>
              <w:tr2bl w:val="nil"/>
            </w:tcBorders>
            <w:noWrap w:val="0"/>
            <w:vAlign w:val="center"/>
          </w:tcPr>
          <w:p w14:paraId="74D2E69C">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eastAsia" w:cs="Times New Roman"/>
                <w:color w:val="auto"/>
                <w:sz w:val="21"/>
                <w:szCs w:val="21"/>
                <w:lang w:eastAsia="zh-CN"/>
              </w:rPr>
              <w:t>（一）</w:t>
            </w:r>
            <w:r>
              <w:rPr>
                <w:rFonts w:hint="default" w:ascii="Times New Roman" w:hAnsi="Times New Roman" w:cs="Times New Roman"/>
                <w:color w:val="auto"/>
                <w:sz w:val="21"/>
                <w:szCs w:val="21"/>
              </w:rPr>
              <w:t>严格落实水污染防治措施</w:t>
            </w:r>
          </w:p>
        </w:tc>
        <w:tc>
          <w:tcPr>
            <w:tcW w:w="4581" w:type="dxa"/>
            <w:tcBorders>
              <w:tl2br w:val="nil"/>
              <w:tr2bl w:val="nil"/>
            </w:tcBorders>
            <w:noWrap w:val="0"/>
            <w:vAlign w:val="center"/>
          </w:tcPr>
          <w:p w14:paraId="570D9D9E">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w:t>
            </w:r>
            <w:r>
              <w:rPr>
                <w:rFonts w:hint="eastAsia" w:cs="Times New Roman"/>
                <w:color w:val="auto"/>
                <w:sz w:val="21"/>
                <w:szCs w:val="21"/>
                <w:lang w:eastAsia="zh-CN"/>
              </w:rPr>
              <w:t>拌和</w:t>
            </w:r>
            <w:r>
              <w:rPr>
                <w:rFonts w:hint="default" w:ascii="Times New Roman" w:hAnsi="Times New Roman" w:cs="Times New Roman"/>
                <w:color w:val="auto"/>
                <w:sz w:val="21"/>
                <w:szCs w:val="21"/>
              </w:rPr>
              <w:t>场和预制场生产废水经沉淀池处理后回用于生产和场界内的洒水降尘。初期雨水经沉淀池处理后回用于生产和场界内的洒水降尘。车辆冲洗废水经隔油沉淀后，用于冲洗车辆、场地洒水等。施工人员生活污水依托租用民房的污水处理设施收集后作农肥用。</w:t>
            </w:r>
          </w:p>
          <w:p w14:paraId="37D0E910">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运营期：收费站污水经一体化污水处理设施处理</w:t>
            </w:r>
            <w:r>
              <w:rPr>
                <w:rFonts w:hint="eastAsia" w:cs="Times New Roman"/>
                <w:color w:val="auto"/>
                <w:sz w:val="21"/>
                <w:szCs w:val="21"/>
                <w:lang w:eastAsia="zh-CN"/>
              </w:rPr>
              <w:t>达到</w:t>
            </w:r>
            <w:r>
              <w:rPr>
                <w:rFonts w:hint="default" w:ascii="Times New Roman" w:hAnsi="Times New Roman" w:cs="Times New Roman"/>
                <w:color w:val="auto"/>
                <w:sz w:val="21"/>
                <w:szCs w:val="21"/>
              </w:rPr>
              <w:t>《城市污水再生利用城市杂用水水质》</w:t>
            </w:r>
            <w:r>
              <w:rPr>
                <w:rFonts w:hint="eastAsia" w:cs="Times New Roman"/>
                <w:color w:val="auto"/>
                <w:sz w:val="21"/>
                <w:szCs w:val="21"/>
                <w:lang w:eastAsia="zh-CN"/>
              </w:rPr>
              <w:t>（</w:t>
            </w:r>
            <w:r>
              <w:rPr>
                <w:rFonts w:hint="default" w:ascii="Times New Roman" w:hAnsi="Times New Roman" w:cs="Times New Roman"/>
                <w:color w:val="auto"/>
                <w:sz w:val="21"/>
                <w:szCs w:val="21"/>
              </w:rPr>
              <w:t>GB/T18920-2020</w:t>
            </w:r>
            <w:r>
              <w:rPr>
                <w:rFonts w:hint="eastAsia" w:cs="Times New Roman"/>
                <w:color w:val="auto"/>
                <w:sz w:val="21"/>
                <w:szCs w:val="21"/>
                <w:lang w:eastAsia="zh-CN"/>
              </w:rPr>
              <w:t>）</w:t>
            </w:r>
            <w:r>
              <w:rPr>
                <w:rFonts w:hint="default" w:ascii="Times New Roman" w:hAnsi="Times New Roman" w:cs="Times New Roman"/>
                <w:color w:val="auto"/>
                <w:sz w:val="21"/>
                <w:szCs w:val="21"/>
              </w:rPr>
              <w:t>标准后用于场区绿化和道路边坡绿化用水、道路清扫等。</w:t>
            </w:r>
          </w:p>
        </w:tc>
        <w:tc>
          <w:tcPr>
            <w:tcW w:w="3564" w:type="dxa"/>
            <w:tcBorders>
              <w:tl2br w:val="nil"/>
              <w:tr2bl w:val="nil"/>
            </w:tcBorders>
            <w:noWrap w:val="0"/>
            <w:vAlign w:val="center"/>
          </w:tcPr>
          <w:p w14:paraId="25DB9064">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施工期生产废水及生活污水管控到位。</w:t>
            </w:r>
            <w:r>
              <w:rPr>
                <w:rFonts w:hint="eastAsia" w:ascii="Times New Roman" w:hAnsi="Times New Roman" w:cs="Times New Roman"/>
                <w:color w:val="auto"/>
                <w:sz w:val="21"/>
                <w:szCs w:val="21"/>
                <w:lang w:val="en-US" w:eastAsia="zh-CN"/>
              </w:rPr>
              <w:t>拌和</w:t>
            </w:r>
            <w:r>
              <w:rPr>
                <w:rFonts w:hint="default" w:ascii="Times New Roman" w:hAnsi="Times New Roman" w:eastAsia="宋体" w:cs="Times New Roman"/>
                <w:color w:val="auto"/>
                <w:sz w:val="21"/>
                <w:szCs w:val="21"/>
                <w:lang w:val="en-US" w:eastAsia="zh-CN"/>
              </w:rPr>
              <w:t>场、预制场生产废水及初期雨水经沉淀处理后，全部回用于生产与场地洒水抑尘；车辆冲洗废水经隔油沉淀处理后循环使用；施工人员生活污水依托租住民房设施收集，用作农肥，未排入外环境。</w:t>
            </w:r>
          </w:p>
          <w:p w14:paraId="2D753166">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运营期收费站生活污水采用“厌氧+缺氧+好氧+沉淀+消毒”一体化处理设施，出水水质稳定达到《城市污水再生利用 城市杂用水水质》</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GB/T 18920-2020</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标准，全部回用于场区绿化及道路清扫，实现零排放。</w:t>
            </w:r>
          </w:p>
        </w:tc>
        <w:tc>
          <w:tcPr>
            <w:tcW w:w="815" w:type="dxa"/>
            <w:tcBorders>
              <w:tl2br w:val="nil"/>
              <w:tr2bl w:val="nil"/>
            </w:tcBorders>
            <w:noWrap w:val="0"/>
            <w:vAlign w:val="center"/>
          </w:tcPr>
          <w:p w14:paraId="36433CCB">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已落实</w:t>
            </w:r>
          </w:p>
        </w:tc>
      </w:tr>
      <w:tr w14:paraId="048288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1" w:hRule="atLeast"/>
        </w:trPr>
        <w:tc>
          <w:tcPr>
            <w:tcW w:w="552" w:type="dxa"/>
            <w:tcBorders>
              <w:tl2br w:val="nil"/>
              <w:tr2bl w:val="nil"/>
            </w:tcBorders>
            <w:noWrap w:val="0"/>
            <w:vAlign w:val="center"/>
          </w:tcPr>
          <w:p w14:paraId="42264826">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eastAsia" w:cs="Times New Roman"/>
                <w:color w:val="auto"/>
                <w:sz w:val="21"/>
                <w:szCs w:val="21"/>
                <w:lang w:eastAsia="zh-CN"/>
              </w:rPr>
              <w:t>（二）</w:t>
            </w:r>
            <w:r>
              <w:rPr>
                <w:rFonts w:hint="default" w:ascii="Times New Roman" w:hAnsi="Times New Roman" w:cs="Times New Roman"/>
                <w:color w:val="auto"/>
                <w:sz w:val="21"/>
                <w:szCs w:val="21"/>
              </w:rPr>
              <w:t>严格落实废气污染防治措施</w:t>
            </w:r>
          </w:p>
        </w:tc>
        <w:tc>
          <w:tcPr>
            <w:tcW w:w="4581" w:type="dxa"/>
            <w:tcBorders>
              <w:tl2br w:val="nil"/>
              <w:tr2bl w:val="nil"/>
            </w:tcBorders>
            <w:noWrap w:val="0"/>
            <w:vAlign w:val="center"/>
          </w:tcPr>
          <w:p w14:paraId="672E44D9">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加强管理，选用低噪声施工机械和工艺，振动较大的固定机械设备加装减振基座；合理安排施工时间，高噪声设备避免夜间施工；因工艺要求或特殊需要必须夜间连续作业的，施工单位应完善相应手续；施工车辆进出场减速慢行；施工场地周边设置围挡隔声。</w:t>
            </w:r>
          </w:p>
          <w:p w14:paraId="45F6FD26">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运营期：运营近期、中期预测超标的声环境敏感目标处共7处，按要求设置声屏障。远期预测超标的8处声环境敏感目标采取预留资金设置声屏障的方式。建设单位应加强对沿线噪声敏感点跟踪监测，根据监测结果及时增补和完善噪声防治措施。配合有关部门合理规划沿线土地利用，线路两侧预测噪声超标范围内，不宜新建学校、医院、疗养院及集中居民住宅区等敏感建筑。</w:t>
            </w:r>
          </w:p>
        </w:tc>
        <w:tc>
          <w:tcPr>
            <w:tcW w:w="3564" w:type="dxa"/>
            <w:tcBorders>
              <w:tl2br w:val="nil"/>
              <w:tr2bl w:val="nil"/>
            </w:tcBorders>
            <w:noWrap w:val="0"/>
            <w:vAlign w:val="center"/>
          </w:tcPr>
          <w:p w14:paraId="325D8924">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施工期通过选用低噪设备、加装减振基座、设置围挡及合理安排作业时间等措施，有效控制了施工扬尘与噪声，场界噪声符合《建筑施工场界环境噪声排放标准》</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GB 12523-2011</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，未收到相关投诉。</w:t>
            </w:r>
          </w:p>
          <w:p w14:paraId="65C41C90">
            <w:pPr>
              <w:pStyle w:val="40"/>
              <w:keepNext w:val="0"/>
              <w:keepLines w:val="0"/>
              <w:pageBreakBefore w:val="0"/>
              <w:wordWrap/>
              <w:topLinePunct w:val="0"/>
              <w:autoSpaceDE w:val="0"/>
              <w:autoSpaceDN w:val="0"/>
              <w:bidi w:val="0"/>
              <w:adjustRightInd w:val="0"/>
              <w:snapToGrid w:val="0"/>
              <w:spacing w:line="240" w:lineRule="auto"/>
              <w:ind w:left="0" w:right="0" w:firstLine="420" w:firstLineChars="200"/>
              <w:jc w:val="both"/>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运营期噪声防治措施已落实到</w:t>
            </w:r>
            <w:r>
              <w:rPr>
                <w:rFonts w:hint="default" w:ascii="Times New Roman" w:hAnsi="Times New Roman" w:eastAsia="宋体" w:cs="Times New Roman"/>
                <w:color w:val="auto"/>
                <w:sz w:val="21"/>
                <w:szCs w:val="21"/>
                <w:lang w:val="en-US" w:eastAsia="zh-CN"/>
              </w:rPr>
              <w:t>位。</w:t>
            </w:r>
            <w:r>
              <w:rPr>
                <w:rFonts w:hint="eastAsia" w:ascii="Times New Roman" w:hAnsi="Times New Roman" w:eastAsia="宋体" w:cs="Times New Roman"/>
                <w:color w:val="auto"/>
                <w:sz w:val="21"/>
                <w:szCs w:val="21"/>
                <w:lang w:val="en-US" w:eastAsia="zh-CN"/>
              </w:rPr>
              <w:t>项目</w:t>
            </w:r>
            <w:r>
              <w:rPr>
                <w:rFonts w:hint="default" w:ascii="Times New Roman" w:hAnsi="Times New Roman" w:eastAsia="宋体" w:cs="Times New Roman"/>
                <w:color w:val="auto"/>
                <w:sz w:val="21"/>
                <w:szCs w:val="21"/>
                <w:lang w:val="en-US" w:eastAsia="zh-CN"/>
              </w:rPr>
              <w:t>已建成3m高直立式声屏障共计1058m</w:t>
            </w:r>
            <w:r>
              <w:rPr>
                <w:rFonts w:hint="eastAsia" w:ascii="Times New Roman" w:hAnsi="Times New Roman" w:eastAsia="宋体" w:cs="Times New Roman"/>
                <w:color w:val="auto"/>
                <w:sz w:val="21"/>
                <w:szCs w:val="21"/>
                <w:lang w:val="en-US" w:eastAsia="zh-CN"/>
              </w:rPr>
              <w:t>，按照环评及批复要求对</w:t>
            </w:r>
            <w:r>
              <w:rPr>
                <w:rFonts w:hint="default" w:ascii="Times New Roman" w:hAnsi="Times New Roman" w:eastAsia="宋体" w:cs="Times New Roman"/>
                <w:color w:val="auto"/>
                <w:sz w:val="21"/>
                <w:szCs w:val="21"/>
                <w:lang w:val="en-US" w:eastAsia="zh-CN"/>
              </w:rPr>
              <w:t>运营近期、中期</w:t>
            </w:r>
            <w:r>
              <w:rPr>
                <w:rFonts w:hint="eastAsia" w:ascii="Times New Roman" w:hAnsi="Times New Roman" w:eastAsia="宋体" w:cs="Times New Roman"/>
                <w:color w:val="auto"/>
                <w:sz w:val="21"/>
                <w:szCs w:val="21"/>
                <w:lang w:val="en-US" w:eastAsia="zh-CN"/>
              </w:rPr>
              <w:t>预测</w:t>
            </w:r>
            <w:r>
              <w:rPr>
                <w:rFonts w:hint="default" w:ascii="Times New Roman" w:hAnsi="Times New Roman" w:eastAsia="宋体" w:cs="Times New Roman"/>
                <w:color w:val="auto"/>
                <w:sz w:val="21"/>
                <w:szCs w:val="21"/>
                <w:lang w:val="en-US" w:eastAsia="zh-CN"/>
              </w:rPr>
              <w:t>超标</w:t>
            </w:r>
            <w:r>
              <w:rPr>
                <w:rFonts w:hint="eastAsia" w:ascii="Times New Roman" w:hAnsi="Times New Roman" w:eastAsia="宋体" w:cs="Times New Roman"/>
                <w:color w:val="auto"/>
                <w:sz w:val="21"/>
                <w:szCs w:val="21"/>
                <w:lang w:val="en-US" w:eastAsia="zh-CN"/>
              </w:rPr>
              <w:t>但</w:t>
            </w:r>
            <w:r>
              <w:rPr>
                <w:rFonts w:hint="default" w:ascii="Times New Roman" w:hAnsi="Times New Roman" w:eastAsia="宋体" w:cs="Times New Roman"/>
                <w:color w:val="auto"/>
                <w:sz w:val="21"/>
                <w:szCs w:val="21"/>
                <w:lang w:val="en-US" w:eastAsia="zh-CN"/>
              </w:rPr>
              <w:t>未安装隔声屏</w:t>
            </w:r>
            <w:r>
              <w:rPr>
                <w:rFonts w:hint="eastAsia" w:ascii="Times New Roman" w:hAnsi="Times New Roman" w:eastAsia="宋体" w:cs="Times New Roman"/>
                <w:color w:val="auto"/>
                <w:sz w:val="21"/>
                <w:szCs w:val="21"/>
                <w:lang w:val="en-US" w:eastAsia="zh-CN"/>
              </w:rPr>
              <w:t>的声环境敏感目标</w:t>
            </w:r>
            <w:r>
              <w:rPr>
                <w:rFonts w:hint="default" w:ascii="Times New Roman" w:hAnsi="Times New Roman" w:eastAsia="宋体" w:cs="Times New Roman"/>
                <w:color w:val="auto"/>
                <w:sz w:val="21"/>
                <w:szCs w:val="21"/>
                <w:lang w:val="en-US" w:eastAsia="zh-CN"/>
              </w:rPr>
              <w:t>需补充安装</w:t>
            </w:r>
            <w:r>
              <w:rPr>
                <w:rFonts w:hint="eastAsia" w:ascii="Times New Roman" w:hAnsi="Times New Roman" w:eastAsia="宋体" w:cs="Times New Roman"/>
                <w:color w:val="auto"/>
                <w:sz w:val="21"/>
                <w:szCs w:val="21"/>
                <w:lang w:val="en-US" w:eastAsia="zh-CN"/>
              </w:rPr>
              <w:t>365</w:t>
            </w:r>
            <w:r>
              <w:rPr>
                <w:rFonts w:hint="default" w:ascii="Times New Roman" w:hAnsi="Times New Roman" w:eastAsia="宋体" w:cs="Times New Roman"/>
                <w:color w:val="auto"/>
                <w:sz w:val="21"/>
                <w:szCs w:val="21"/>
                <w:lang w:val="en-US" w:eastAsia="zh-CN"/>
              </w:rPr>
              <w:t>m的隔声屏。针对</w:t>
            </w:r>
            <w:r>
              <w:rPr>
                <w:rFonts w:hint="default" w:ascii="Times New Roman" w:hAnsi="Times New Roman" w:cs="Times New Roman"/>
                <w:color w:val="auto"/>
                <w:sz w:val="21"/>
                <w:szCs w:val="21"/>
              </w:rPr>
              <w:t>远期可能超标的8处敏感目标，建设单位已按批复要求预留治理资金，并将配合相关部门严格控制线路两侧噪声超标范围内的规划布局，禁止新建学校、医院及集中住宅区。</w:t>
            </w:r>
          </w:p>
        </w:tc>
        <w:tc>
          <w:tcPr>
            <w:tcW w:w="815" w:type="dxa"/>
            <w:tcBorders>
              <w:tl2br w:val="nil"/>
              <w:tr2bl w:val="nil"/>
            </w:tcBorders>
            <w:noWrap w:val="0"/>
            <w:vAlign w:val="center"/>
          </w:tcPr>
          <w:p w14:paraId="5D7A4114">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已落实</w:t>
            </w:r>
          </w:p>
          <w:p w14:paraId="0978602B">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z w:val="21"/>
                <w:szCs w:val="21"/>
              </w:rPr>
              <w:t>针对桂花村吊脚楼等预测超标点位，</w:t>
            </w:r>
            <w:r>
              <w:rPr>
                <w:rFonts w:hint="eastAsia" w:ascii="Times New Roman" w:hAnsi="Times New Roman" w:cs="Times New Roman"/>
                <w:color w:val="auto"/>
                <w:sz w:val="21"/>
                <w:szCs w:val="21"/>
                <w:lang w:val="en-US" w:eastAsia="zh-CN"/>
              </w:rPr>
              <w:t>进行验收监测，由于监测结果未超标，故待后续跟踪监测超标后</w:t>
            </w:r>
            <w:r>
              <w:rPr>
                <w:rFonts w:hint="default" w:ascii="Times New Roman" w:hAnsi="Times New Roman" w:cs="Times New Roman"/>
                <w:color w:val="auto"/>
                <w:sz w:val="21"/>
                <w:szCs w:val="21"/>
              </w:rPr>
              <w:t>补充安装隔声屏</w:t>
            </w:r>
          </w:p>
        </w:tc>
      </w:tr>
      <w:tr w14:paraId="29CAA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35" w:hRule="atLeast"/>
        </w:trPr>
        <w:tc>
          <w:tcPr>
            <w:tcW w:w="552" w:type="dxa"/>
            <w:tcBorders>
              <w:tl2br w:val="nil"/>
              <w:tr2bl w:val="nil"/>
            </w:tcBorders>
            <w:noWrap w:val="0"/>
            <w:vAlign w:val="center"/>
          </w:tcPr>
          <w:p w14:paraId="041E8DB0">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cs="Times New Roman"/>
                <w:color w:val="auto"/>
                <w:sz w:val="21"/>
                <w:szCs w:val="21"/>
              </w:rPr>
            </w:pPr>
            <w:r>
              <w:rPr>
                <w:rFonts w:hint="eastAsia" w:cs="Times New Roman"/>
                <w:color w:val="auto"/>
                <w:sz w:val="21"/>
                <w:szCs w:val="21"/>
                <w:lang w:eastAsia="zh-CN"/>
              </w:rPr>
              <w:t>（三）</w:t>
            </w:r>
            <w:r>
              <w:rPr>
                <w:rFonts w:hint="default" w:ascii="Times New Roman" w:hAnsi="Times New Roman" w:eastAsia="宋体" w:cs="Times New Roman"/>
                <w:color w:val="auto"/>
                <w:sz w:val="21"/>
                <w:szCs w:val="21"/>
              </w:rPr>
              <w:t>严格落实噪声污染防治措施</w:t>
            </w:r>
          </w:p>
        </w:tc>
        <w:tc>
          <w:tcPr>
            <w:tcW w:w="4581" w:type="dxa"/>
            <w:tcBorders>
              <w:tl2br w:val="nil"/>
              <w:tr2bl w:val="nil"/>
            </w:tcBorders>
            <w:noWrap w:val="0"/>
            <w:vAlign w:val="center"/>
          </w:tcPr>
          <w:p w14:paraId="30A3F55E">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该项目施工期合理安排施工时间，合理布设声源设备，噪声敏感区域严格控制夜间施工，施工车辆运输路线及噪声设备布置等应尽量远离居住区、学校等环境敏感区。项目施工期间，禁止夜间进行产生环境噪声污染的建筑施工作业</w:t>
            </w:r>
            <w:r>
              <w:rPr>
                <w:rFonts w:hint="eastAsia" w:cs="Times New Roman"/>
                <w:color w:val="auto"/>
                <w:sz w:val="21"/>
                <w:szCs w:val="21"/>
                <w:lang w:eastAsia="zh-CN"/>
              </w:rPr>
              <w:t>；</w:t>
            </w:r>
            <w:r>
              <w:rPr>
                <w:rFonts w:hint="default" w:ascii="Times New Roman" w:hAnsi="Times New Roman" w:cs="Times New Roman"/>
                <w:color w:val="auto"/>
                <w:sz w:val="21"/>
                <w:szCs w:val="21"/>
              </w:rPr>
              <w:t>因工艺要求，确需夜间连续施工并排放噪声的施工单位，应提前3天向我局提出申请，并经审批同意后方可进行施工。项目施工期噪声排放执行《建筑施工场界环境噪声排放标准》</w:t>
            </w:r>
            <w:r>
              <w:rPr>
                <w:rFonts w:hint="eastAsia" w:cs="Times New Roman"/>
                <w:color w:val="auto"/>
                <w:sz w:val="21"/>
                <w:szCs w:val="21"/>
                <w:lang w:eastAsia="zh-CN"/>
              </w:rPr>
              <w:t>（</w:t>
            </w:r>
            <w:r>
              <w:rPr>
                <w:rFonts w:hint="default" w:ascii="Times New Roman" w:hAnsi="Times New Roman" w:cs="Times New Roman"/>
                <w:color w:val="auto"/>
                <w:sz w:val="21"/>
                <w:szCs w:val="21"/>
              </w:rPr>
              <w:t>GB12523-2011</w:t>
            </w:r>
            <w:r>
              <w:rPr>
                <w:rFonts w:hint="eastAsia" w:cs="Times New Roman"/>
                <w:color w:val="auto"/>
                <w:sz w:val="21"/>
                <w:szCs w:val="21"/>
                <w:lang w:eastAsia="zh-CN"/>
              </w:rPr>
              <w:t>）</w:t>
            </w:r>
            <w:r>
              <w:rPr>
                <w:rFonts w:hint="default" w:ascii="Times New Roman" w:hAnsi="Times New Roman" w:cs="Times New Roman"/>
                <w:color w:val="auto"/>
                <w:sz w:val="21"/>
                <w:szCs w:val="21"/>
              </w:rPr>
              <w:t>分类标准，符合《</w:t>
            </w:r>
            <w:r>
              <w:rPr>
                <w:rFonts w:hint="default" w:ascii="Times New Roman" w:hAnsi="Times New Roman" w:cs="Times New Roman"/>
                <w:color w:val="auto"/>
                <w:sz w:val="21"/>
                <w:szCs w:val="21"/>
                <w:lang w:val="en-US" w:eastAsia="zh-CN"/>
              </w:rPr>
              <w:t>声</w:t>
            </w:r>
            <w:r>
              <w:rPr>
                <w:rFonts w:hint="default" w:ascii="Times New Roman" w:hAnsi="Times New Roman" w:cs="Times New Roman"/>
                <w:color w:val="auto"/>
                <w:sz w:val="21"/>
                <w:szCs w:val="21"/>
              </w:rPr>
              <w:t>环境质量标准》</w:t>
            </w:r>
            <w:r>
              <w:rPr>
                <w:rFonts w:hint="eastAsia" w:cs="Times New Roman"/>
                <w:color w:val="auto"/>
                <w:sz w:val="21"/>
                <w:szCs w:val="21"/>
                <w:lang w:eastAsia="zh-CN"/>
              </w:rPr>
              <w:t>（</w:t>
            </w:r>
            <w:r>
              <w:rPr>
                <w:rFonts w:hint="default" w:ascii="Times New Roman" w:hAnsi="Times New Roman" w:cs="Times New Roman"/>
                <w:color w:val="auto"/>
                <w:sz w:val="21"/>
                <w:szCs w:val="21"/>
              </w:rPr>
              <w:t>GB3096-2008</w:t>
            </w:r>
            <w:r>
              <w:rPr>
                <w:rFonts w:hint="eastAsia" w:cs="Times New Roman"/>
                <w:color w:val="auto"/>
                <w:sz w:val="21"/>
                <w:szCs w:val="21"/>
                <w:lang w:eastAsia="zh-CN"/>
              </w:rPr>
              <w:t>）</w:t>
            </w:r>
            <w:r>
              <w:rPr>
                <w:rFonts w:hint="default" w:ascii="Times New Roman" w:hAnsi="Times New Roman" w:cs="Times New Roman"/>
                <w:color w:val="auto"/>
                <w:sz w:val="21"/>
                <w:szCs w:val="21"/>
              </w:rPr>
              <w:t>2类、4a类标准。</w:t>
            </w:r>
          </w:p>
        </w:tc>
        <w:tc>
          <w:tcPr>
            <w:tcW w:w="3564" w:type="dxa"/>
            <w:tcBorders>
              <w:tl2br w:val="nil"/>
              <w:tr2bl w:val="nil"/>
            </w:tcBorders>
            <w:noWrap w:val="0"/>
            <w:vAlign w:val="center"/>
          </w:tcPr>
          <w:p w14:paraId="7D72C1AF">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cs="Times New Roman"/>
                <w:color w:val="auto"/>
                <w:spacing w:val="-10"/>
                <w:sz w:val="21"/>
                <w:szCs w:val="21"/>
                <w:lang w:val="en-US" w:eastAsia="zh-CN"/>
              </w:rPr>
            </w:pPr>
            <w:r>
              <w:rPr>
                <w:rFonts w:hint="eastAsia" w:ascii="Times New Roman" w:hAnsi="Times New Roman" w:cs="Times New Roman"/>
                <w:color w:val="auto"/>
                <w:spacing w:val="-10"/>
                <w:sz w:val="21"/>
                <w:szCs w:val="21"/>
                <w:lang w:val="en-US" w:eastAsia="zh-CN"/>
              </w:rPr>
              <w:t>项目施工期已合理安排施工时间，合理布设声源设备，噪声敏感区域严格控制夜间施工，施工车辆运输路线及噪声设备布置等应尽量远离居住区、学校等环境敏感区。</w:t>
            </w:r>
          </w:p>
          <w:p w14:paraId="0134A991">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10"/>
                <w:sz w:val="21"/>
                <w:szCs w:val="21"/>
                <w:lang w:val="en-US" w:eastAsia="zh-CN"/>
              </w:rPr>
            </w:pPr>
            <w:r>
              <w:rPr>
                <w:rFonts w:hint="eastAsia" w:ascii="Times New Roman" w:hAnsi="Times New Roman" w:cs="Times New Roman"/>
                <w:color w:val="auto"/>
                <w:spacing w:val="-10"/>
                <w:sz w:val="21"/>
                <w:szCs w:val="21"/>
                <w:lang w:val="en-US" w:eastAsia="zh-CN"/>
              </w:rPr>
              <w:t>项目施工期间，已禁止夜间进行产生环境噪声污染的建筑施工作业；因工艺要求，确需夜间连续施工并排放噪声的施工单位，应提前3天向我局提出申请，并经审批同意后方可进行施工。项目施工期噪声排放执行《建筑施工场界环境噪声排放标准》（GB12523-2011）分类标准，符合《声环境质量标准》（GB3096-2008）2类、4a类标准。</w:t>
            </w:r>
          </w:p>
        </w:tc>
        <w:tc>
          <w:tcPr>
            <w:tcW w:w="815" w:type="dxa"/>
            <w:tcBorders>
              <w:tl2br w:val="nil"/>
              <w:tr2bl w:val="nil"/>
            </w:tcBorders>
            <w:noWrap w:val="0"/>
            <w:vAlign w:val="center"/>
          </w:tcPr>
          <w:p w14:paraId="4B50CCB7">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已落实</w:t>
            </w:r>
          </w:p>
        </w:tc>
      </w:tr>
      <w:tr w14:paraId="659434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6" w:hRule="atLeast"/>
        </w:trPr>
        <w:tc>
          <w:tcPr>
            <w:tcW w:w="552" w:type="dxa"/>
            <w:tcBorders>
              <w:tl2br w:val="nil"/>
              <w:tr2bl w:val="nil"/>
            </w:tcBorders>
            <w:noWrap w:val="0"/>
            <w:vAlign w:val="center"/>
          </w:tcPr>
          <w:p w14:paraId="49B4D88D">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（四）</w:t>
            </w:r>
            <w:r>
              <w:rPr>
                <w:rFonts w:hint="default" w:ascii="Times New Roman" w:hAnsi="Times New Roman" w:cs="Times New Roman"/>
                <w:color w:val="auto"/>
                <w:sz w:val="21"/>
                <w:szCs w:val="21"/>
              </w:rPr>
              <w:t>严格落实固体废物分类处置和综合利用措施</w:t>
            </w:r>
          </w:p>
        </w:tc>
        <w:tc>
          <w:tcPr>
            <w:tcW w:w="4581" w:type="dxa"/>
            <w:tcBorders>
              <w:tl2br w:val="nil"/>
              <w:tr2bl w:val="nil"/>
            </w:tcBorders>
            <w:noWrap w:val="0"/>
            <w:vAlign w:val="center"/>
          </w:tcPr>
          <w:p w14:paraId="7A709951">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油、废含油棉纱手套和废弃的汽、柴油罐等危险废物收集后按规定交有危险废物处理资质的单位处置。施工弃土运至合规的弃土场；建筑垃圾运至合规的建筑垃圾消纳场处置；生活垃圾集中收集后交由当地环卫部门统一处理。</w:t>
            </w:r>
          </w:p>
        </w:tc>
        <w:tc>
          <w:tcPr>
            <w:tcW w:w="3564" w:type="dxa"/>
            <w:tcBorders>
              <w:tl2br w:val="nil"/>
              <w:tr2bl w:val="nil"/>
            </w:tcBorders>
            <w:noWrap w:val="0"/>
            <w:vAlign w:val="center"/>
          </w:tcPr>
          <w:p w14:paraId="1F64AEC9">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10"/>
                <w:sz w:val="21"/>
                <w:szCs w:val="21"/>
              </w:rPr>
              <w:t>施工期危险废物（废油、废含油棉纱及废弃油罐等）已委托有资质单位合规处置；工程弃土及建筑垃圾分别运往合规的弃土场及消纳场；生活垃圾由环卫部门统一清运。运营期沿线设施生活垃圾均分类收集并交由当地环卫部门处理，固体废物处置率100%。</w:t>
            </w:r>
          </w:p>
        </w:tc>
        <w:tc>
          <w:tcPr>
            <w:tcW w:w="815" w:type="dxa"/>
            <w:tcBorders>
              <w:tl2br w:val="nil"/>
              <w:tr2bl w:val="nil"/>
            </w:tcBorders>
            <w:noWrap w:val="0"/>
            <w:vAlign w:val="center"/>
          </w:tcPr>
          <w:p w14:paraId="1569531A">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已落实</w:t>
            </w:r>
          </w:p>
        </w:tc>
      </w:tr>
      <w:tr w14:paraId="5F8AB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1" w:hRule="atLeast"/>
        </w:trPr>
        <w:tc>
          <w:tcPr>
            <w:tcW w:w="552" w:type="dxa"/>
            <w:tcBorders>
              <w:tl2br w:val="nil"/>
              <w:tr2bl w:val="nil"/>
            </w:tcBorders>
            <w:noWrap w:val="0"/>
            <w:vAlign w:val="center"/>
          </w:tcPr>
          <w:p w14:paraId="7F9376E8">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（五）</w:t>
            </w:r>
            <w:r>
              <w:rPr>
                <w:rFonts w:hint="default" w:ascii="Times New Roman" w:hAnsi="Times New Roman" w:cs="Times New Roman"/>
                <w:color w:val="auto"/>
                <w:sz w:val="21"/>
                <w:szCs w:val="21"/>
              </w:rPr>
              <w:t>严格落实生态保护措施</w:t>
            </w:r>
          </w:p>
        </w:tc>
        <w:tc>
          <w:tcPr>
            <w:tcW w:w="4581" w:type="dxa"/>
            <w:tcBorders>
              <w:tl2br w:val="nil"/>
              <w:tr2bl w:val="nil"/>
            </w:tcBorders>
            <w:noWrap w:val="0"/>
            <w:vAlign w:val="center"/>
          </w:tcPr>
          <w:p w14:paraId="243CBE3A">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施工期：剥离的表土妥善堆存，施工结束后采取复绿复垦综合利用；施工过程中弃土场按照“先挡后弃、分层堆放”的原则处置废弃土石方并采取临时防护和排水工作，堆方结束后顶面采取复垦、边坡绿化等，并采用当地物种进行植被恢复；项目设置桥梁、涵洞等保持线路两侧生态连通。施工结束后及时进行植被的恢复，落实补偿措施，加强管理和宣传教育，确保公路绿化林带不受破坏。跨林区的路段采用加密绿化带，防止灯光和噪声对动物的不利影响</w:t>
            </w:r>
            <w:r>
              <w:rPr>
                <w:rFonts w:hint="eastAsia" w:cs="Times New Roman"/>
                <w:color w:val="auto"/>
                <w:sz w:val="21"/>
                <w:szCs w:val="21"/>
                <w:lang w:eastAsia="zh-CN"/>
              </w:rPr>
              <w:t>。</w:t>
            </w:r>
          </w:p>
        </w:tc>
        <w:tc>
          <w:tcPr>
            <w:tcW w:w="3564" w:type="dxa"/>
            <w:tcBorders>
              <w:tl2br w:val="nil"/>
              <w:tr2bl w:val="nil"/>
            </w:tcBorders>
            <w:noWrap w:val="0"/>
            <w:vAlign w:val="center"/>
          </w:tcPr>
          <w:p w14:paraId="427ABAE3">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期严格落实了生态保护要求。表土剥离后单独堆存并用于后期复绿；弃土场严格执行“先挡后弃”，完善了截排水及边坡防护，施工结束后及时进行了土地复垦与植被恢复，选用当地物种，恢复效果良好。项目通过设置桥梁、涵洞保障了区域生态连通性，跨林区路段通过加密绿化带有效降低了灯光与噪声对野生动物的干扰。</w:t>
            </w:r>
          </w:p>
        </w:tc>
        <w:tc>
          <w:tcPr>
            <w:tcW w:w="815" w:type="dxa"/>
            <w:tcBorders>
              <w:tl2br w:val="nil"/>
              <w:tr2bl w:val="nil"/>
            </w:tcBorders>
            <w:noWrap w:val="0"/>
            <w:vAlign w:val="center"/>
          </w:tcPr>
          <w:p w14:paraId="6A783462">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7"/>
                <w:sz w:val="21"/>
                <w:szCs w:val="21"/>
              </w:rPr>
              <w:t>已落实</w:t>
            </w:r>
          </w:p>
        </w:tc>
      </w:tr>
      <w:tr w14:paraId="3A5471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1" w:hRule="atLeast"/>
        </w:trPr>
        <w:tc>
          <w:tcPr>
            <w:tcW w:w="552" w:type="dxa"/>
            <w:tcBorders>
              <w:tl2br w:val="nil"/>
              <w:tr2bl w:val="nil"/>
            </w:tcBorders>
            <w:noWrap w:val="0"/>
            <w:vAlign w:val="center"/>
          </w:tcPr>
          <w:p w14:paraId="5C90E539">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（六）</w:t>
            </w:r>
            <w:r>
              <w:rPr>
                <w:rFonts w:hint="default" w:ascii="Times New Roman" w:hAnsi="Times New Roman" w:cs="Times New Roman"/>
                <w:color w:val="auto"/>
                <w:sz w:val="21"/>
                <w:szCs w:val="21"/>
              </w:rPr>
              <w:t>严格落实环境风险防范措施</w:t>
            </w:r>
          </w:p>
        </w:tc>
        <w:tc>
          <w:tcPr>
            <w:tcW w:w="4581" w:type="dxa"/>
            <w:tcBorders>
              <w:tl2br w:val="nil"/>
              <w:tr2bl w:val="nil"/>
            </w:tcBorders>
            <w:noWrap w:val="0"/>
            <w:vAlign w:val="center"/>
          </w:tcPr>
          <w:p w14:paraId="5592DD5F">
            <w:pPr>
              <w:keepNext w:val="0"/>
              <w:keepLines w:val="0"/>
              <w:pageBreakBefore w:val="0"/>
              <w:widowControl/>
              <w:suppressLineNumbers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格落实报告书中提出的各项风险防范措施。拟采取的主要环境风险防范措施包括：做好工程防护措施和管理措施，在大桥路段两侧采用加强型防撞栏设计，并设置警示、减速标识标牌，确保行车安全并在收费站配备</w:t>
            </w:r>
            <w:r>
              <w:rPr>
                <w:rFonts w:hint="eastAsia" w:cs="Times New Roman"/>
                <w:color w:val="auto"/>
                <w:sz w:val="21"/>
                <w:szCs w:val="21"/>
                <w:lang w:eastAsia="zh-CN"/>
              </w:rPr>
              <w:t>应急物资</w:t>
            </w:r>
            <w:r>
              <w:rPr>
                <w:rFonts w:hint="default" w:ascii="Times New Roman" w:hAnsi="Times New Roman" w:cs="Times New Roman"/>
                <w:color w:val="auto"/>
                <w:sz w:val="21"/>
                <w:szCs w:val="21"/>
              </w:rPr>
              <w:t>。编制环境风险应急预案。</w:t>
            </w:r>
          </w:p>
        </w:tc>
        <w:tc>
          <w:tcPr>
            <w:tcW w:w="3564" w:type="dxa"/>
            <w:tcBorders>
              <w:tl2br w:val="nil"/>
              <w:tr2bl w:val="nil"/>
            </w:tcBorders>
            <w:noWrap w:val="0"/>
            <w:vAlign w:val="center"/>
          </w:tcPr>
          <w:p w14:paraId="2C9D2B87">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截至目前，项目已全面完成环境风险防范体系建设。​ 工程方面，新桂大桥、团结水库大桥等重点路段已按批复采用加强型防撞护栏，并设置了警示标识与减速设施。管理方面，建设单位已编制《突发环境事件应急预案》并通过专家评审，现已在生态环境主管部门完成备案登记，同时已在收费站配备齐全应急物资，建立了常态化应急机制</w:t>
            </w:r>
          </w:p>
        </w:tc>
        <w:tc>
          <w:tcPr>
            <w:tcW w:w="815" w:type="dxa"/>
            <w:tcBorders>
              <w:tl2br w:val="nil"/>
              <w:tr2bl w:val="nil"/>
            </w:tcBorders>
            <w:noWrap w:val="0"/>
            <w:vAlign w:val="center"/>
          </w:tcPr>
          <w:p w14:paraId="176F3204">
            <w:pPr>
              <w:pStyle w:val="40"/>
              <w:keepNext w:val="0"/>
              <w:keepLines w:val="0"/>
              <w:pageBreakBefore w:val="0"/>
              <w:widowControl w:val="0"/>
              <w:kinsoku/>
              <w:wordWrap/>
              <w:overflowPunct w:val="0"/>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已落实</w:t>
            </w:r>
          </w:p>
        </w:tc>
      </w:tr>
    </w:tbl>
    <w:p w14:paraId="4F280112">
      <w:pPr>
        <w:ind w:firstLine="199" w:firstLineChars="83"/>
        <w:rPr>
          <w:rFonts w:hint="default" w:ascii="Times New Roman" w:hAnsi="Times New Roman" w:cs="Times New Roman"/>
          <w:color w:val="auto"/>
          <w:szCs w:val="24"/>
        </w:rPr>
        <w:sectPr>
          <w:pgSz w:w="16838" w:h="11906" w:orient="landscape"/>
          <w:pgMar w:top="1800" w:right="1440" w:bottom="1800" w:left="144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p>
    <w:p w14:paraId="10162590">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eastAsia" w:ascii="Times New Roman" w:hAnsi="Times New Roman" w:eastAsia="宋体" w:cs="Times New Roman"/>
          <w:color w:val="auto"/>
          <w:sz w:val="36"/>
          <w:szCs w:val="36"/>
          <w:lang w:val="en-US" w:eastAsia="zh-CN"/>
        </w:rPr>
      </w:pPr>
      <w:bookmarkStart w:id="98" w:name="_Toc11809"/>
      <w:r>
        <w:rPr>
          <w:rFonts w:hint="eastAsia" w:ascii="Times New Roman" w:hAnsi="Times New Roman" w:eastAsia="宋体" w:cs="Times New Roman"/>
          <w:color w:val="auto"/>
          <w:sz w:val="36"/>
          <w:szCs w:val="36"/>
          <w:lang w:val="en-US" w:eastAsia="zh-CN"/>
        </w:rPr>
        <w:t>5 生态环境影响调查​</w:t>
      </w:r>
      <w:bookmarkEnd w:id="98"/>
    </w:p>
    <w:p w14:paraId="05CD1313">
      <w:pPr>
        <w:pStyle w:val="3"/>
        <w:numPr>
          <w:ilvl w:val="0"/>
          <w:numId w:val="0"/>
        </w:numPr>
        <w:ind w:left="578" w:leftChars="0" w:hanging="578" w:firstLineChars="0"/>
        <w:rPr>
          <w:rFonts w:hint="default" w:ascii="Times New Roman" w:hAnsi="Times New Roman" w:cs="Times New Roman"/>
          <w:color w:val="auto"/>
        </w:rPr>
      </w:pPr>
      <w:bookmarkStart w:id="99" w:name="_Toc24519"/>
      <w:bookmarkStart w:id="100" w:name="_Toc1694"/>
      <w:r>
        <w:rPr>
          <w:rFonts w:hint="eastAsia" w:ascii="Times New Roman" w:hAnsi="Times New Roman" w:cs="Times New Roman"/>
          <w:b/>
          <w:bCs/>
          <w:color w:val="auto"/>
          <w:kern w:val="2"/>
          <w:sz w:val="32"/>
          <w:szCs w:val="32"/>
          <w:lang w:val="en-US" w:eastAsia="zh-CN" w:bidi="ar-SA"/>
        </w:rPr>
        <w:t>5.1</w:t>
      </w:r>
      <w:r>
        <w:rPr>
          <w:rFonts w:hint="default" w:ascii="Times New Roman" w:hAnsi="Times New Roman" w:cs="Times New Roman"/>
          <w:color w:val="auto"/>
        </w:rPr>
        <w:t>工程建设对陆生植被的影响调查</w:t>
      </w:r>
      <w:bookmarkEnd w:id="99"/>
      <w:bookmarkEnd w:id="100"/>
    </w:p>
    <w:p w14:paraId="17572EE6">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5.1.1</w:t>
      </w:r>
      <w:r>
        <w:rPr>
          <w:rFonts w:hint="default" w:ascii="Times New Roman" w:hAnsi="Times New Roman" w:cs="Times New Roman"/>
          <w:color w:val="auto"/>
        </w:rPr>
        <w:t>工程沿线陆生植被现状调查</w:t>
      </w:r>
    </w:p>
    <w:p w14:paraId="3D892A09">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1、</w:t>
      </w:r>
      <w:r>
        <w:rPr>
          <w:rFonts w:hint="default" w:ascii="Times New Roman" w:hAnsi="Times New Roman" w:cs="Times New Roman"/>
          <w:color w:val="auto"/>
          <w:szCs w:val="24"/>
          <w:lang w:val="en-US" w:eastAsia="zh-CN"/>
        </w:rPr>
        <w:t>区域植被及生物多样性</w:t>
      </w:r>
    </w:p>
    <w:p w14:paraId="46EFDEB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采用实地踏勘对评价范围内植被进行实地调查，结合卫星影像解译成果，参考现有的资料和文献，根据各类群落的特征，按照吴征镒等《中国植物志</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四川植物志》中对重庆的自然、人工植被的分类系统，划分出评价区域内不同的植被类型，形成植被分类系统。</w:t>
      </w:r>
    </w:p>
    <w:p w14:paraId="37C5474C">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按照《四川植被》的四级分区，</w:t>
      </w:r>
      <w:r>
        <w:rPr>
          <w:rFonts w:hint="default" w:ascii="Times New Roman" w:hAnsi="Times New Roman" w:eastAsia="宋体" w:cs="Times New Roman"/>
          <w:snapToGrid w:val="0"/>
          <w:color w:val="auto"/>
          <w:kern w:val="2"/>
          <w:szCs w:val="20"/>
          <w:highlight w:val="none"/>
        </w:rPr>
        <w:t>本</w:t>
      </w:r>
      <w:r>
        <w:rPr>
          <w:rFonts w:hint="default" w:ascii="Times New Roman" w:hAnsi="Times New Roman" w:eastAsia="宋体" w:cs="Times New Roman"/>
          <w:snapToGrid w:val="0"/>
          <w:color w:val="auto"/>
          <w:kern w:val="2"/>
          <w:szCs w:val="20"/>
          <w:highlight w:val="none"/>
          <w:lang w:eastAsia="ja-JP"/>
        </w:rPr>
        <w:t>项目其所在地在植被分区上属于川东盆地及川西南山地常绿阔叶林地带（植被区）、川东盆地偏湿性常绿阔叶林亚带（植被地带）、盆边底部丘陵低山植被地区（植被地区）、川东平行岭谷植被小区（植被小区），植被分区构成如下：</w:t>
      </w:r>
    </w:p>
    <w:p w14:paraId="5A1CA46F">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I 川东盆地及川西南山地常绿阔叶林地带</w:t>
      </w:r>
    </w:p>
    <w:p w14:paraId="1C711AFF">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IA 川东盆地偏湿性常绿阔叶林亚带</w:t>
      </w:r>
    </w:p>
    <w:p w14:paraId="6A8F4E45">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IA3 盆边底部丘陵低山植被地区</w:t>
      </w:r>
    </w:p>
    <w:p w14:paraId="2C2661F2">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IA3⑵ 川东平行岭谷植被小区</w:t>
      </w:r>
    </w:p>
    <w:p w14:paraId="40FD01D6">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该小区位于长江与渠江之间的达县、开江、开县一线以南，至涪陵、南川、巴县一线以北18个县市的全部或一部分，为一系列北东——南西向平行褶皱山地。背斜层所在为山岭，向斜层所在为谷地。石灰岩和砂岩常形成背斜，组成高峻的山岭。而红色砂岩、页岩多分布在向斜中心，经切割形成方山，单斜山的丘陵，而山间局部为通常所称的“坝子”。</w:t>
      </w:r>
    </w:p>
    <w:p w14:paraId="5088F657">
      <w:pPr>
        <w:widowControl w:val="0"/>
        <w:snapToGrid w:val="0"/>
        <w:spacing w:line="360" w:lineRule="auto"/>
        <w:ind w:firstLine="480" w:firstLineChars="200"/>
        <w:jc w:val="both"/>
        <w:rPr>
          <w:rFonts w:hint="default" w:ascii="Times New Roman" w:hAnsi="Times New Roman" w:eastAsia="宋体" w:cs="Times New Roman"/>
          <w:snapToGrid w:val="0"/>
          <w:color w:val="auto"/>
          <w:kern w:val="2"/>
          <w:szCs w:val="20"/>
          <w:highlight w:val="none"/>
          <w:lang w:eastAsia="ja-JP"/>
        </w:rPr>
      </w:pPr>
      <w:r>
        <w:rPr>
          <w:rFonts w:hint="default" w:ascii="Times New Roman" w:hAnsi="Times New Roman" w:eastAsia="宋体" w:cs="Times New Roman"/>
          <w:snapToGrid w:val="0"/>
          <w:color w:val="auto"/>
          <w:kern w:val="2"/>
          <w:szCs w:val="20"/>
          <w:highlight w:val="none"/>
          <w:lang w:eastAsia="ja-JP"/>
        </w:rPr>
        <w:t>小区内自</w:t>
      </w:r>
      <w:r>
        <w:rPr>
          <w:rFonts w:hint="default" w:ascii="Times New Roman" w:hAnsi="Times New Roman" w:eastAsia="宋体" w:cs="Times New Roman"/>
          <w:snapToGrid w:val="0"/>
          <w:color w:val="auto"/>
          <w:kern w:val="2"/>
          <w:sz w:val="24"/>
          <w:szCs w:val="24"/>
          <w:highlight w:val="none"/>
          <w:lang w:eastAsia="ja-JP"/>
        </w:rPr>
        <w:t>然植被由马尾松林、柏木林</w:t>
      </w:r>
      <w:r>
        <w:rPr>
          <w:rFonts w:hint="eastAsia" w:ascii="Times New Roman" w:hAnsi="Times New Roman" w:eastAsia="宋体" w:cs="Times New Roman"/>
          <w:snapToGrid w:val="0"/>
          <w:color w:val="auto"/>
          <w:kern w:val="2"/>
          <w:sz w:val="24"/>
          <w:szCs w:val="24"/>
          <w:highlight w:val="none"/>
          <w:lang w:val="en-US" w:eastAsia="zh-CN"/>
        </w:rPr>
        <w:t>为主的</w:t>
      </w:r>
      <w:r>
        <w:rPr>
          <w:rFonts w:hint="default" w:ascii="Times New Roman" w:hAnsi="Times New Roman" w:eastAsia="宋体" w:cs="Times New Roman"/>
          <w:b w:val="0"/>
          <w:bCs w:val="0"/>
          <w:i w:val="0"/>
          <w:iCs w:val="0"/>
          <w:snapToGrid/>
          <w:color w:val="auto"/>
          <w:kern w:val="0"/>
          <w:sz w:val="24"/>
          <w:szCs w:val="24"/>
          <w:highlight w:val="none"/>
          <w:u w:val="none"/>
          <w:lang w:val="en-US" w:eastAsia="zh-CN" w:bidi="ar"/>
        </w:rPr>
        <w:t>暖性针叶林</w:t>
      </w:r>
      <w:r>
        <w:rPr>
          <w:rFonts w:hint="default" w:ascii="Times New Roman" w:hAnsi="Times New Roman" w:eastAsia="宋体" w:cs="Times New Roman"/>
          <w:snapToGrid w:val="0"/>
          <w:color w:val="auto"/>
          <w:kern w:val="2"/>
          <w:sz w:val="24"/>
          <w:szCs w:val="24"/>
          <w:highlight w:val="none"/>
          <w:lang w:eastAsia="ja-JP"/>
        </w:rPr>
        <w:t>、</w:t>
      </w:r>
      <w:r>
        <w:rPr>
          <w:rFonts w:hint="default" w:ascii="Times New Roman" w:hAnsi="Times New Roman" w:eastAsia="宋体" w:cs="Times New Roman"/>
          <w:snapToGrid w:val="0"/>
          <w:color w:val="auto"/>
          <w:kern w:val="0"/>
          <w:sz w:val="24"/>
          <w:szCs w:val="24"/>
          <w:highlight w:val="none"/>
          <w:lang w:val="en-US" w:eastAsia="zh-CN" w:bidi="ar-SA"/>
        </w:rPr>
        <w:t>香樟</w:t>
      </w:r>
      <w:r>
        <w:rPr>
          <w:rFonts w:hint="eastAsia" w:ascii="Times New Roman" w:hAnsi="Times New Roman" w:eastAsia="宋体" w:cs="Times New Roman"/>
          <w:snapToGrid w:val="0"/>
          <w:color w:val="auto"/>
          <w:kern w:val="0"/>
          <w:sz w:val="24"/>
          <w:szCs w:val="24"/>
          <w:highlight w:val="none"/>
          <w:lang w:val="en-US" w:eastAsia="zh-CN" w:bidi="ar-SA"/>
        </w:rPr>
        <w:t>林</w:t>
      </w:r>
      <w:r>
        <w:rPr>
          <w:rFonts w:hint="default" w:ascii="Times New Roman" w:hAnsi="Times New Roman" w:eastAsia="宋体" w:cs="Times New Roman"/>
          <w:snapToGrid w:val="0"/>
          <w:color w:val="auto"/>
          <w:kern w:val="2"/>
          <w:sz w:val="24"/>
          <w:szCs w:val="24"/>
          <w:highlight w:val="none"/>
          <w:lang w:val="en-US" w:eastAsia="zh-CN"/>
        </w:rPr>
        <w:t>、</w:t>
      </w:r>
      <w:r>
        <w:rPr>
          <w:rFonts w:hint="default" w:ascii="Times New Roman" w:hAnsi="Times New Roman" w:eastAsia="宋体" w:cs="Times New Roman"/>
          <w:snapToGrid w:val="0"/>
          <w:color w:val="auto"/>
          <w:kern w:val="0"/>
          <w:sz w:val="24"/>
          <w:szCs w:val="24"/>
          <w:highlight w:val="none"/>
          <w:lang w:val="en-US" w:eastAsia="zh-CN" w:bidi="ar-SA"/>
        </w:rPr>
        <w:t>桤木</w:t>
      </w:r>
      <w:r>
        <w:rPr>
          <w:rFonts w:hint="eastAsia" w:ascii="Times New Roman" w:hAnsi="Times New Roman" w:eastAsia="宋体" w:cs="Times New Roman"/>
          <w:snapToGrid w:val="0"/>
          <w:color w:val="auto"/>
          <w:kern w:val="0"/>
          <w:sz w:val="24"/>
          <w:szCs w:val="24"/>
          <w:highlight w:val="none"/>
          <w:lang w:val="en-US" w:eastAsia="zh-CN" w:bidi="ar-SA"/>
        </w:rPr>
        <w:t>林、</w:t>
      </w:r>
      <w:r>
        <w:rPr>
          <w:rFonts w:hint="default" w:ascii="Times New Roman" w:hAnsi="Times New Roman" w:eastAsia="宋体" w:cs="Times New Roman"/>
          <w:snapToGrid w:val="0"/>
          <w:color w:val="auto"/>
          <w:kern w:val="0"/>
          <w:sz w:val="24"/>
          <w:szCs w:val="24"/>
          <w:highlight w:val="none"/>
          <w:lang w:val="en-US" w:eastAsia="zh-CN" w:bidi="ar-SA"/>
        </w:rPr>
        <w:t>刺槐</w:t>
      </w:r>
      <w:r>
        <w:rPr>
          <w:rFonts w:hint="eastAsia" w:ascii="Times New Roman" w:hAnsi="Times New Roman" w:eastAsia="宋体" w:cs="Times New Roman"/>
          <w:snapToGrid w:val="0"/>
          <w:color w:val="auto"/>
          <w:kern w:val="0"/>
          <w:sz w:val="24"/>
          <w:szCs w:val="24"/>
          <w:highlight w:val="none"/>
          <w:lang w:val="en-US" w:eastAsia="zh-CN" w:bidi="ar-SA"/>
        </w:rPr>
        <w:t>林、</w:t>
      </w:r>
      <w:r>
        <w:rPr>
          <w:rFonts w:hint="default" w:ascii="Times New Roman" w:hAnsi="Times New Roman" w:eastAsia="宋体" w:cs="Times New Roman"/>
          <w:snapToGrid w:val="0"/>
          <w:color w:val="auto"/>
          <w:kern w:val="2"/>
          <w:sz w:val="24"/>
          <w:szCs w:val="24"/>
          <w:highlight w:val="none"/>
          <w:lang w:val="en-US" w:eastAsia="zh-CN"/>
        </w:rPr>
        <w:t>慈竹林</w:t>
      </w:r>
      <w:r>
        <w:rPr>
          <w:rFonts w:hint="eastAsia" w:ascii="Times New Roman" w:hAnsi="Times New Roman" w:eastAsia="宋体" w:cs="Times New Roman"/>
          <w:snapToGrid w:val="0"/>
          <w:color w:val="auto"/>
          <w:kern w:val="2"/>
          <w:sz w:val="24"/>
          <w:szCs w:val="24"/>
          <w:highlight w:val="none"/>
          <w:lang w:val="en-US" w:eastAsia="zh-CN"/>
        </w:rPr>
        <w:t>为主的</w:t>
      </w:r>
      <w:r>
        <w:rPr>
          <w:rFonts w:hint="default" w:ascii="Times New Roman" w:hAnsi="Times New Roman" w:eastAsia="宋体" w:cs="Times New Roman"/>
          <w:b w:val="0"/>
          <w:bCs w:val="0"/>
          <w:i w:val="0"/>
          <w:iCs w:val="0"/>
          <w:snapToGrid/>
          <w:color w:val="auto"/>
          <w:kern w:val="0"/>
          <w:sz w:val="24"/>
          <w:szCs w:val="24"/>
          <w:highlight w:val="none"/>
          <w:u w:val="none"/>
          <w:lang w:val="en-US" w:eastAsia="zh-CN" w:bidi="ar"/>
        </w:rPr>
        <w:t>落叶阔叶林</w:t>
      </w:r>
      <w:r>
        <w:rPr>
          <w:rFonts w:hint="eastAsia" w:ascii="Times New Roman" w:hAnsi="Times New Roman" w:eastAsia="宋体" w:cs="Times New Roman"/>
          <w:b w:val="0"/>
          <w:bCs w:val="0"/>
          <w:i w:val="0"/>
          <w:iCs w:val="0"/>
          <w:snapToGrid/>
          <w:color w:val="auto"/>
          <w:kern w:val="0"/>
          <w:sz w:val="24"/>
          <w:szCs w:val="24"/>
          <w:highlight w:val="none"/>
          <w:u w:val="none"/>
          <w:lang w:val="en-US" w:eastAsia="zh-CN" w:bidi="ar"/>
        </w:rPr>
        <w:t>；</w:t>
      </w:r>
      <w:r>
        <w:rPr>
          <w:rFonts w:hint="default" w:ascii="Times New Roman" w:hAnsi="Times New Roman" w:eastAsia="宋体" w:cs="Times New Roman"/>
          <w:snapToGrid w:val="0"/>
          <w:color w:val="auto"/>
          <w:kern w:val="2"/>
          <w:sz w:val="24"/>
          <w:szCs w:val="24"/>
          <w:highlight w:val="none"/>
          <w:lang w:val="en-US" w:eastAsia="zh-CN"/>
        </w:rPr>
        <w:t>马桑、火棘、黄荆灌丛、芒草丛</w:t>
      </w:r>
      <w:r>
        <w:rPr>
          <w:rFonts w:hint="default" w:ascii="Times New Roman" w:hAnsi="Times New Roman" w:eastAsia="宋体" w:cs="Times New Roman"/>
          <w:snapToGrid w:val="0"/>
          <w:color w:val="auto"/>
          <w:kern w:val="2"/>
          <w:sz w:val="24"/>
          <w:szCs w:val="24"/>
          <w:highlight w:val="none"/>
          <w:lang w:eastAsia="ja-JP"/>
        </w:rPr>
        <w:t>组成，</w:t>
      </w:r>
      <w:r>
        <w:rPr>
          <w:rFonts w:hint="default" w:ascii="Times New Roman" w:hAnsi="Times New Roman" w:eastAsia="宋体" w:cs="Times New Roman"/>
          <w:snapToGrid w:val="0"/>
          <w:color w:val="auto"/>
          <w:kern w:val="2"/>
          <w:szCs w:val="20"/>
          <w:highlight w:val="none"/>
          <w:lang w:eastAsia="ja-JP"/>
        </w:rPr>
        <w:t>分布在不同的地形和土壤上。以砂页岩或石灰岩上发育的山地酸性黄壤上的马尾松林</w:t>
      </w:r>
      <w:r>
        <w:rPr>
          <w:rFonts w:hint="default" w:ascii="Times New Roman" w:hAnsi="Times New Roman" w:eastAsia="宋体" w:cs="Times New Roman"/>
          <w:snapToGrid w:val="0"/>
          <w:color w:val="auto"/>
          <w:kern w:val="2"/>
          <w:szCs w:val="20"/>
          <w:highlight w:val="none"/>
          <w:lang w:eastAsia="zh-CN"/>
        </w:rPr>
        <w:t>、</w:t>
      </w:r>
      <w:r>
        <w:rPr>
          <w:rFonts w:hint="default" w:ascii="Times New Roman" w:hAnsi="Times New Roman" w:eastAsia="宋体" w:cs="Times New Roman"/>
          <w:snapToGrid w:val="0"/>
          <w:color w:val="auto"/>
          <w:kern w:val="2"/>
          <w:szCs w:val="20"/>
          <w:highlight w:val="none"/>
          <w:lang w:val="en-US" w:eastAsia="zh-CN"/>
        </w:rPr>
        <w:t>柏木林</w:t>
      </w:r>
      <w:r>
        <w:rPr>
          <w:rFonts w:hint="default" w:ascii="Times New Roman" w:hAnsi="Times New Roman" w:eastAsia="宋体" w:cs="Times New Roman"/>
          <w:snapToGrid w:val="0"/>
          <w:color w:val="auto"/>
          <w:kern w:val="2"/>
          <w:szCs w:val="20"/>
          <w:highlight w:val="none"/>
          <w:lang w:eastAsia="ja-JP"/>
        </w:rPr>
        <w:t>，其结构简单，乔木层优势种为马尾松</w:t>
      </w:r>
      <w:r>
        <w:rPr>
          <w:rFonts w:hint="default" w:ascii="Times New Roman" w:hAnsi="Times New Roman" w:eastAsia="宋体" w:cs="Times New Roman"/>
          <w:snapToGrid w:val="0"/>
          <w:color w:val="auto"/>
          <w:kern w:val="2"/>
          <w:szCs w:val="20"/>
          <w:highlight w:val="none"/>
          <w:lang w:eastAsia="zh-CN"/>
        </w:rPr>
        <w:t>、</w:t>
      </w:r>
      <w:r>
        <w:rPr>
          <w:rFonts w:hint="default" w:ascii="Times New Roman" w:hAnsi="Times New Roman" w:eastAsia="宋体" w:cs="Times New Roman"/>
          <w:snapToGrid w:val="0"/>
          <w:color w:val="auto"/>
          <w:kern w:val="2"/>
          <w:szCs w:val="20"/>
          <w:highlight w:val="none"/>
          <w:lang w:val="en-US" w:eastAsia="zh-CN"/>
        </w:rPr>
        <w:t>柏木</w:t>
      </w:r>
      <w:r>
        <w:rPr>
          <w:rFonts w:hint="default" w:ascii="Times New Roman" w:hAnsi="Times New Roman" w:eastAsia="宋体" w:cs="Times New Roman"/>
          <w:snapToGrid w:val="0"/>
          <w:color w:val="auto"/>
          <w:kern w:val="2"/>
          <w:szCs w:val="20"/>
          <w:highlight w:val="none"/>
          <w:lang w:eastAsia="ja-JP"/>
        </w:rPr>
        <w:t>，灌木层有</w:t>
      </w:r>
      <w:r>
        <w:rPr>
          <w:rFonts w:hint="default" w:ascii="Times New Roman" w:hAnsi="Times New Roman" w:eastAsia="宋体" w:cs="Times New Roman"/>
          <w:snapToGrid w:val="0"/>
          <w:color w:val="auto"/>
          <w:kern w:val="2"/>
          <w:sz w:val="24"/>
          <w:szCs w:val="24"/>
          <w:highlight w:val="none"/>
          <w:lang w:val="en-US" w:eastAsia="zh-CN"/>
        </w:rPr>
        <w:t>马桑、火棘、黄荆</w:t>
      </w:r>
      <w:r>
        <w:rPr>
          <w:rFonts w:hint="default" w:ascii="Times New Roman" w:hAnsi="Times New Roman" w:eastAsia="宋体" w:cs="Times New Roman"/>
          <w:snapToGrid w:val="0"/>
          <w:color w:val="auto"/>
          <w:kern w:val="2"/>
          <w:szCs w:val="20"/>
          <w:highlight w:val="none"/>
          <w:lang w:eastAsia="ja-JP"/>
        </w:rPr>
        <w:t>等，草本植物以芒为主。土层较厚的地区则</w:t>
      </w:r>
      <w:r>
        <w:rPr>
          <w:rFonts w:hint="default" w:ascii="Times New Roman" w:hAnsi="Times New Roman" w:eastAsia="宋体" w:cs="Times New Roman"/>
          <w:snapToGrid w:val="0"/>
          <w:color w:val="auto"/>
          <w:kern w:val="2"/>
          <w:szCs w:val="20"/>
          <w:highlight w:val="none"/>
        </w:rPr>
        <w:t>分布</w:t>
      </w:r>
      <w:r>
        <w:rPr>
          <w:rFonts w:hint="default" w:ascii="Times New Roman" w:hAnsi="Times New Roman" w:eastAsia="宋体" w:cs="Times New Roman"/>
          <w:snapToGrid w:val="0"/>
          <w:color w:val="auto"/>
          <w:kern w:val="2"/>
          <w:szCs w:val="20"/>
          <w:highlight w:val="none"/>
          <w:lang w:eastAsia="ja-JP"/>
        </w:rPr>
        <w:t>有以白栎为主的低山落叶阔叶林，此种群落破坏后形成</w:t>
      </w:r>
      <w:r>
        <w:rPr>
          <w:rFonts w:hint="default" w:ascii="Times New Roman" w:hAnsi="Times New Roman" w:eastAsia="宋体" w:cs="Times New Roman"/>
          <w:snapToGrid w:val="0"/>
          <w:color w:val="auto"/>
          <w:kern w:val="2"/>
          <w:szCs w:val="20"/>
          <w:highlight w:val="none"/>
          <w:lang w:val="en-US" w:eastAsia="zh-CN"/>
        </w:rPr>
        <w:t>次生</w:t>
      </w:r>
      <w:r>
        <w:rPr>
          <w:rFonts w:hint="default" w:ascii="Times New Roman" w:hAnsi="Times New Roman" w:eastAsia="宋体" w:cs="Times New Roman"/>
          <w:snapToGrid w:val="0"/>
          <w:color w:val="auto"/>
          <w:kern w:val="2"/>
          <w:szCs w:val="20"/>
          <w:highlight w:val="none"/>
          <w:lang w:eastAsia="ja-JP"/>
        </w:rPr>
        <w:t>灌丛</w:t>
      </w:r>
      <w:r>
        <w:rPr>
          <w:rFonts w:hint="default" w:ascii="Times New Roman" w:hAnsi="Times New Roman" w:eastAsia="宋体" w:cs="Times New Roman"/>
          <w:snapToGrid w:val="0"/>
          <w:color w:val="auto"/>
          <w:kern w:val="2"/>
          <w:szCs w:val="20"/>
          <w:highlight w:val="none"/>
          <w:lang w:eastAsia="zh-CN"/>
        </w:rPr>
        <w:t>，</w:t>
      </w:r>
      <w:r>
        <w:rPr>
          <w:rFonts w:hint="default" w:ascii="Times New Roman" w:hAnsi="Times New Roman" w:eastAsia="宋体" w:cs="Times New Roman"/>
          <w:snapToGrid w:val="0"/>
          <w:color w:val="auto"/>
          <w:kern w:val="2"/>
          <w:szCs w:val="20"/>
          <w:highlight w:val="none"/>
          <w:lang w:val="en-US" w:eastAsia="zh-CN"/>
        </w:rPr>
        <w:t>被如盐肤木灌丛等替代，也有一些林缘长期受到人为干扰形成灌草丛</w:t>
      </w:r>
      <w:r>
        <w:rPr>
          <w:rFonts w:hint="default" w:ascii="Times New Roman" w:hAnsi="Times New Roman" w:eastAsia="宋体" w:cs="Times New Roman"/>
          <w:snapToGrid w:val="0"/>
          <w:color w:val="auto"/>
          <w:kern w:val="2"/>
          <w:szCs w:val="20"/>
          <w:highlight w:val="none"/>
          <w:lang w:eastAsia="ja-JP"/>
        </w:rPr>
        <w:t>。竹林，如大量的人工或半自然的慈竹林，则多分布在住宅附近和沟谷地区，酸性黄壤上也有分布。</w:t>
      </w:r>
    </w:p>
    <w:p w14:paraId="33DE7D4D">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highlight w:val="none"/>
        </w:rPr>
        <w:t>按照《中国植被》的植被分类原则、单位和系统，以及野外调查、整理出的样地资料，对</w:t>
      </w:r>
      <w:r>
        <w:rPr>
          <w:rFonts w:hint="eastAsia" w:cs="Times New Roman"/>
          <w:color w:val="auto"/>
          <w:highlight w:val="none"/>
          <w:lang w:val="en-US" w:eastAsia="zh-CN"/>
        </w:rPr>
        <w:t>验收调查范围内</w:t>
      </w:r>
      <w:r>
        <w:rPr>
          <w:rFonts w:hint="default" w:ascii="Times New Roman" w:hAnsi="Times New Roman" w:eastAsia="宋体" w:cs="Times New Roman"/>
          <w:color w:val="auto"/>
          <w:highlight w:val="none"/>
        </w:rPr>
        <w:t>的植被类型进行划分。</w:t>
      </w:r>
      <w:r>
        <w:rPr>
          <w:rFonts w:ascii="Times New Roman" w:hAnsi="Times New Roman" w:eastAsia="宋体" w:cs="Times New Roman"/>
          <w:color w:val="auto"/>
          <w:highlight w:val="none"/>
        </w:rPr>
        <w:t>结果表明，</w:t>
      </w:r>
      <w:r>
        <w:rPr>
          <w:rFonts w:hint="eastAsia" w:ascii="Times New Roman" w:hAnsi="Times New Roman" w:eastAsia="宋体" w:cs="Times New Roman"/>
          <w:color w:val="auto"/>
          <w:highlight w:val="none"/>
        </w:rPr>
        <w:t>调查范围内</w:t>
      </w:r>
      <w:r>
        <w:rPr>
          <w:rFonts w:ascii="Times New Roman" w:hAnsi="Times New Roman" w:eastAsia="宋体" w:cs="Times New Roman"/>
          <w:color w:val="auto"/>
          <w:highlight w:val="none"/>
        </w:rPr>
        <w:t>植被类型可以划分成</w:t>
      </w:r>
      <w:r>
        <w:rPr>
          <w:rFonts w:hint="eastAsia" w:ascii="Times New Roman" w:hAnsi="Times New Roman" w:eastAsia="宋体" w:cs="Times New Roman"/>
          <w:color w:val="auto"/>
          <w:highlight w:val="none"/>
          <w:lang w:val="en-US" w:eastAsia="zh-CN"/>
        </w:rPr>
        <w:t>3</w:t>
      </w:r>
      <w:r>
        <w:rPr>
          <w:rFonts w:ascii="Times New Roman" w:hAnsi="Times New Roman" w:eastAsia="宋体" w:cs="Times New Roman"/>
          <w:color w:val="auto"/>
          <w:highlight w:val="none"/>
        </w:rPr>
        <w:t>个植被型</w:t>
      </w:r>
      <w:r>
        <w:rPr>
          <w:rFonts w:hint="eastAsia" w:ascii="Times New Roman" w:hAnsi="Times New Roman" w:eastAsia="宋体" w:cs="Times New Roman"/>
          <w:color w:val="auto"/>
          <w:highlight w:val="none"/>
          <w:lang w:val="en-US" w:eastAsia="zh-CN"/>
        </w:rPr>
        <w:t>组</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8</w:t>
      </w:r>
      <w:r>
        <w:rPr>
          <w:rFonts w:ascii="Times New Roman" w:hAnsi="Times New Roman" w:eastAsia="宋体" w:cs="Times New Roman"/>
          <w:color w:val="auto"/>
          <w:highlight w:val="none"/>
        </w:rPr>
        <w:t>个群系组、</w:t>
      </w:r>
      <w:r>
        <w:rPr>
          <w:rFonts w:hint="eastAsia" w:ascii="Times New Roman" w:hAnsi="Times New Roman" w:eastAsia="宋体" w:cs="Times New Roman"/>
          <w:color w:val="auto"/>
          <w:highlight w:val="none"/>
          <w:lang w:val="en-US" w:eastAsia="zh-CN"/>
        </w:rPr>
        <w:t>8</w:t>
      </w:r>
      <w:r>
        <w:rPr>
          <w:rFonts w:ascii="Times New Roman" w:hAnsi="Times New Roman" w:eastAsia="宋体" w:cs="Times New Roman"/>
          <w:color w:val="auto"/>
          <w:highlight w:val="none"/>
        </w:rPr>
        <w:t>个群系，</w:t>
      </w:r>
      <w:r>
        <w:rPr>
          <w:rFonts w:hint="default" w:ascii="Times New Roman" w:hAnsi="Times New Roman" w:eastAsia="宋体" w:cs="Times New Roman"/>
          <w:color w:val="auto"/>
          <w:lang w:val="en-US" w:eastAsia="zh-CN"/>
        </w:rPr>
        <w:t>自然植被分类见</w:t>
      </w:r>
      <w:r>
        <w:rPr>
          <w:rFonts w:hint="eastAsia" w:cs="Times New Roman"/>
          <w:color w:val="auto"/>
          <w:lang w:val="en-US" w:eastAsia="zh-CN"/>
        </w:rPr>
        <w:t>下</w:t>
      </w:r>
      <w:r>
        <w:rPr>
          <w:rFonts w:hint="default" w:ascii="Times New Roman" w:hAnsi="Times New Roman" w:eastAsia="宋体" w:cs="Times New Roman"/>
          <w:color w:val="auto"/>
          <w:lang w:val="en-US" w:eastAsia="zh-CN"/>
        </w:rPr>
        <w:t>表。</w:t>
      </w:r>
    </w:p>
    <w:p w14:paraId="7DCC3890">
      <w:pPr>
        <w:numPr>
          <w:ilvl w:val="0"/>
          <w:numId w:val="0"/>
        </w:numPr>
        <w:tabs>
          <w:tab w:val="left" w:pos="0"/>
        </w:tabs>
        <w:bidi w:val="0"/>
        <w:ind w:left="0" w:leftChars="0" w:firstLine="0" w:firstLineChars="0"/>
        <w:jc w:val="center"/>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snapToGrid w:val="0"/>
          <w:color w:val="auto"/>
          <w:kern w:val="0"/>
          <w:sz w:val="21"/>
          <w:szCs w:val="21"/>
          <w:lang w:val="en-US" w:eastAsia="zh-CN" w:bidi="ar-SA"/>
        </w:rPr>
        <w:t>表</w:t>
      </w:r>
      <w:r>
        <w:rPr>
          <w:rFonts w:hint="eastAsia" w:cs="Times New Roman"/>
          <w:b/>
          <w:bCs/>
          <w:snapToGrid w:val="0"/>
          <w:color w:val="auto"/>
          <w:kern w:val="0"/>
          <w:sz w:val="21"/>
          <w:szCs w:val="21"/>
          <w:lang w:val="en-US" w:eastAsia="zh-CN" w:bidi="ar-SA"/>
        </w:rPr>
        <w:t>5.2</w:t>
      </w:r>
      <w:r>
        <w:rPr>
          <w:rFonts w:hint="default" w:ascii="Times New Roman" w:hAnsi="Times New Roman" w:eastAsia="宋体" w:cs="Times New Roman"/>
          <w:b/>
          <w:bCs/>
          <w:snapToGrid w:val="0"/>
          <w:color w:val="auto"/>
          <w:kern w:val="0"/>
          <w:sz w:val="21"/>
          <w:szCs w:val="21"/>
          <w:lang w:val="en-US" w:eastAsia="zh-CN" w:bidi="ar-SA"/>
        </w:rPr>
        <w:t>-</w:t>
      </w:r>
      <w:r>
        <w:rPr>
          <w:rFonts w:hint="eastAsia" w:cs="Times New Roman"/>
          <w:b/>
          <w:bCs/>
          <w:snapToGrid w:val="0"/>
          <w:color w:val="auto"/>
          <w:kern w:val="0"/>
          <w:sz w:val="21"/>
          <w:szCs w:val="21"/>
          <w:lang w:val="en-US" w:eastAsia="zh-CN" w:bidi="ar-SA"/>
        </w:rPr>
        <w:t>1</w:t>
      </w:r>
      <w:r>
        <w:rPr>
          <w:rFonts w:hint="default" w:ascii="Times New Roman" w:hAnsi="Times New Roman" w:eastAsia="宋体" w:cs="Times New Roman"/>
          <w:b/>
          <w:bCs/>
          <w:snapToGrid w:val="0"/>
          <w:color w:val="auto"/>
          <w:kern w:val="0"/>
          <w:sz w:val="21"/>
          <w:szCs w:val="21"/>
          <w:lang w:val="en-US" w:eastAsia="zh-CN" w:bidi="ar-SA"/>
        </w:rPr>
        <w:t xml:space="preserve">  </w:t>
      </w:r>
      <w:r>
        <w:rPr>
          <w:rFonts w:hint="eastAsia" w:cs="Times New Roman"/>
          <w:b/>
          <w:bCs/>
          <w:color w:val="auto"/>
          <w:sz w:val="21"/>
          <w:szCs w:val="21"/>
          <w:lang w:val="en-US" w:eastAsia="zh-CN"/>
        </w:rPr>
        <w:t>调查范围内</w:t>
      </w:r>
      <w:r>
        <w:rPr>
          <w:rFonts w:hint="default" w:ascii="Times New Roman" w:hAnsi="Times New Roman" w:eastAsia="宋体" w:cs="Times New Roman"/>
          <w:b/>
          <w:bCs/>
          <w:color w:val="auto"/>
          <w:sz w:val="21"/>
          <w:szCs w:val="21"/>
          <w:lang w:val="en-US" w:eastAsia="zh-CN"/>
        </w:rPr>
        <w:t>主要植被类型</w:t>
      </w:r>
    </w:p>
    <w:tbl>
      <w:tblPr>
        <w:tblStyle w:val="20"/>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7"/>
        <w:gridCol w:w="1288"/>
        <w:gridCol w:w="1729"/>
        <w:gridCol w:w="1607"/>
        <w:gridCol w:w="1222"/>
        <w:gridCol w:w="1079"/>
        <w:gridCol w:w="909"/>
      </w:tblGrid>
      <w:tr w14:paraId="2A786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blHeader/>
          <w:jc w:val="center"/>
        </w:trPr>
        <w:tc>
          <w:tcPr>
            <w:tcW w:w="403" w:type="pct"/>
            <w:tcBorders>
              <w:top w:val="single" w:color="000000" w:sz="4" w:space="0"/>
              <w:left w:val="single" w:color="000000" w:sz="4" w:space="0"/>
              <w:bottom w:val="single" w:color="000000" w:sz="4" w:space="0"/>
              <w:right w:val="single" w:color="000000" w:sz="4" w:space="0"/>
            </w:tcBorders>
            <w:noWrap/>
            <w:vAlign w:val="center"/>
          </w:tcPr>
          <w:p w14:paraId="503ED3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属性</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65BCA1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植被型组</w:t>
            </w:r>
          </w:p>
        </w:tc>
        <w:tc>
          <w:tcPr>
            <w:tcW w:w="1014" w:type="pct"/>
            <w:tcBorders>
              <w:top w:val="single" w:color="000000" w:sz="4" w:space="0"/>
              <w:left w:val="single" w:color="000000" w:sz="4" w:space="0"/>
              <w:bottom w:val="single" w:color="000000" w:sz="4" w:space="0"/>
              <w:right w:val="single" w:color="000000" w:sz="4" w:space="0"/>
            </w:tcBorders>
            <w:noWrap/>
            <w:vAlign w:val="center"/>
          </w:tcPr>
          <w:p w14:paraId="3ADA4B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植被型</w:t>
            </w: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266CD0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群系组</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011C0B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群  系</w:t>
            </w:r>
          </w:p>
        </w:tc>
        <w:tc>
          <w:tcPr>
            <w:tcW w:w="632" w:type="pct"/>
            <w:tcBorders>
              <w:top w:val="single" w:color="000000" w:sz="4" w:space="0"/>
              <w:left w:val="single" w:color="000000" w:sz="4" w:space="0"/>
              <w:bottom w:val="single" w:color="000000" w:sz="4" w:space="0"/>
              <w:right w:val="single" w:color="000000" w:sz="4" w:space="0"/>
            </w:tcBorders>
            <w:noWrap/>
            <w:vAlign w:val="center"/>
          </w:tcPr>
          <w:p w14:paraId="4D8FCF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面积/hm</w:t>
            </w:r>
            <w:r>
              <w:rPr>
                <w:rFonts w:hint="default" w:ascii="Times New Roman" w:hAnsi="Times New Roman" w:eastAsia="宋体" w:cs="Times New Roman"/>
                <w:b w:val="0"/>
                <w:bCs w:val="0"/>
                <w:i w:val="0"/>
                <w:iCs w:val="0"/>
                <w:snapToGrid/>
                <w:color w:val="auto"/>
                <w:kern w:val="0"/>
                <w:sz w:val="21"/>
                <w:szCs w:val="21"/>
                <w:highlight w:val="none"/>
                <w:u w:val="none"/>
                <w:vertAlign w:val="superscript"/>
                <w:lang w:val="en-US" w:eastAsia="zh-CN" w:bidi="ar"/>
              </w:rPr>
              <w:t>2</w:t>
            </w:r>
          </w:p>
        </w:tc>
        <w:tc>
          <w:tcPr>
            <w:tcW w:w="533" w:type="pct"/>
            <w:tcBorders>
              <w:top w:val="single" w:color="000000" w:sz="4" w:space="0"/>
              <w:left w:val="single" w:color="000000" w:sz="4" w:space="0"/>
              <w:bottom w:val="single" w:color="000000" w:sz="4" w:space="0"/>
              <w:right w:val="single" w:color="000000" w:sz="4" w:space="0"/>
            </w:tcBorders>
            <w:noWrap/>
            <w:vAlign w:val="center"/>
          </w:tcPr>
          <w:p w14:paraId="150A8E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占比/%</w:t>
            </w:r>
          </w:p>
        </w:tc>
      </w:tr>
      <w:tr w14:paraId="6DD0E7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403" w:type="pct"/>
            <w:vMerge w:val="restart"/>
            <w:tcBorders>
              <w:top w:val="single" w:color="000000" w:sz="4" w:space="0"/>
              <w:left w:val="single" w:color="000000" w:sz="4" w:space="0"/>
              <w:bottom w:val="single" w:color="000000" w:sz="4" w:space="0"/>
              <w:right w:val="single" w:color="000000" w:sz="4" w:space="0"/>
            </w:tcBorders>
            <w:noWrap/>
            <w:vAlign w:val="center"/>
          </w:tcPr>
          <w:p w14:paraId="002B45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自然植被</w:t>
            </w:r>
          </w:p>
        </w:tc>
        <w:tc>
          <w:tcPr>
            <w:tcW w:w="755" w:type="pct"/>
            <w:vMerge w:val="restart"/>
            <w:tcBorders>
              <w:top w:val="single" w:color="000000" w:sz="4" w:space="0"/>
              <w:left w:val="single" w:color="000000" w:sz="4" w:space="0"/>
              <w:bottom w:val="single" w:color="000000" w:sz="4" w:space="0"/>
              <w:right w:val="single" w:color="000000" w:sz="4" w:space="0"/>
            </w:tcBorders>
            <w:noWrap/>
            <w:vAlign w:val="center"/>
          </w:tcPr>
          <w:p w14:paraId="1C825B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一、</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针叶林</w:t>
            </w:r>
          </w:p>
        </w:tc>
        <w:tc>
          <w:tcPr>
            <w:tcW w:w="1014" w:type="pct"/>
            <w:vMerge w:val="restart"/>
            <w:tcBorders>
              <w:top w:val="single" w:color="000000" w:sz="4" w:space="0"/>
              <w:left w:val="single" w:color="000000" w:sz="4" w:space="0"/>
              <w:bottom w:val="single" w:color="000000" w:sz="4" w:space="0"/>
              <w:right w:val="single" w:color="000000" w:sz="4" w:space="0"/>
            </w:tcBorders>
            <w:noWrap/>
            <w:vAlign w:val="center"/>
          </w:tcPr>
          <w:p w14:paraId="11E930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（一）暖性针叶林</w:t>
            </w: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3268D2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1.暖性松林</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3D4BEC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（1）</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马尾松林</w:t>
            </w:r>
          </w:p>
        </w:tc>
        <w:tc>
          <w:tcPr>
            <w:tcW w:w="632" w:type="pct"/>
            <w:vMerge w:val="restart"/>
            <w:tcBorders>
              <w:top w:val="single" w:color="000000" w:sz="4" w:space="0"/>
              <w:left w:val="single" w:color="000000" w:sz="4" w:space="0"/>
              <w:right w:val="single" w:color="000000" w:sz="4" w:space="0"/>
            </w:tcBorders>
            <w:noWrap/>
            <w:vAlign w:val="center"/>
          </w:tcPr>
          <w:p w14:paraId="76DBC9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15.35</w:t>
            </w:r>
          </w:p>
        </w:tc>
        <w:tc>
          <w:tcPr>
            <w:tcW w:w="533" w:type="pct"/>
            <w:vMerge w:val="restart"/>
            <w:tcBorders>
              <w:top w:val="single" w:color="000000" w:sz="4" w:space="0"/>
              <w:left w:val="single" w:color="000000" w:sz="4" w:space="0"/>
              <w:right w:val="single" w:color="000000" w:sz="4" w:space="0"/>
            </w:tcBorders>
            <w:noWrap/>
            <w:vAlign w:val="center"/>
          </w:tcPr>
          <w:p w14:paraId="022B05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1.81</w:t>
            </w:r>
          </w:p>
        </w:tc>
      </w:tr>
      <w:tr w14:paraId="21C0D5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34E226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continue"/>
            <w:tcBorders>
              <w:top w:val="single" w:color="000000" w:sz="4" w:space="0"/>
              <w:left w:val="single" w:color="000000" w:sz="4" w:space="0"/>
              <w:bottom w:val="single" w:color="000000" w:sz="4" w:space="0"/>
              <w:right w:val="single" w:color="000000" w:sz="4" w:space="0"/>
            </w:tcBorders>
            <w:noWrap/>
            <w:vAlign w:val="center"/>
          </w:tcPr>
          <w:p w14:paraId="3E68C6FD">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1014" w:type="pct"/>
            <w:vMerge w:val="continue"/>
            <w:tcBorders>
              <w:top w:val="single" w:color="000000" w:sz="4" w:space="0"/>
              <w:left w:val="single" w:color="000000" w:sz="4" w:space="0"/>
              <w:bottom w:val="single" w:color="000000" w:sz="4" w:space="0"/>
              <w:right w:val="single" w:color="000000" w:sz="4" w:space="0"/>
            </w:tcBorders>
            <w:noWrap/>
            <w:vAlign w:val="center"/>
          </w:tcPr>
          <w:p w14:paraId="11F456A0">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737E58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2.柏木林</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695C2D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（2）</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柏木林</w:t>
            </w:r>
          </w:p>
        </w:tc>
        <w:tc>
          <w:tcPr>
            <w:tcW w:w="632" w:type="pct"/>
            <w:vMerge w:val="continue"/>
            <w:tcBorders>
              <w:left w:val="single" w:color="000000" w:sz="4" w:space="0"/>
              <w:bottom w:val="single" w:color="000000" w:sz="4" w:space="0"/>
              <w:right w:val="single" w:color="000000" w:sz="4" w:space="0"/>
            </w:tcBorders>
            <w:noWrap/>
            <w:vAlign w:val="center"/>
          </w:tcPr>
          <w:p w14:paraId="17572F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533" w:type="pct"/>
            <w:vMerge w:val="continue"/>
            <w:tcBorders>
              <w:left w:val="single" w:color="000000" w:sz="4" w:space="0"/>
              <w:bottom w:val="single" w:color="000000" w:sz="4" w:space="0"/>
              <w:right w:val="single" w:color="000000" w:sz="4" w:space="0"/>
            </w:tcBorders>
            <w:noWrap/>
            <w:vAlign w:val="center"/>
          </w:tcPr>
          <w:p w14:paraId="6A82B3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r>
      <w:tr w14:paraId="38774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3342E9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restart"/>
            <w:tcBorders>
              <w:top w:val="single" w:color="000000" w:sz="4" w:space="0"/>
              <w:left w:val="single" w:color="000000" w:sz="4" w:space="0"/>
              <w:right w:val="single" w:color="000000" w:sz="4" w:space="0"/>
            </w:tcBorders>
            <w:noWrap/>
            <w:vAlign w:val="center"/>
          </w:tcPr>
          <w:p w14:paraId="519E52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二、</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阔叶林</w:t>
            </w:r>
          </w:p>
        </w:tc>
        <w:tc>
          <w:tcPr>
            <w:tcW w:w="1014" w:type="pct"/>
            <w:vMerge w:val="restart"/>
            <w:tcBorders>
              <w:top w:val="single" w:color="000000" w:sz="4" w:space="0"/>
              <w:left w:val="single" w:color="000000" w:sz="4" w:space="0"/>
              <w:right w:val="single" w:color="000000" w:sz="4" w:space="0"/>
            </w:tcBorders>
            <w:noWrap/>
            <w:vAlign w:val="center"/>
          </w:tcPr>
          <w:p w14:paraId="52F809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（二）落叶阔叶林</w:t>
            </w: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57F37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3.</w:t>
            </w:r>
            <w:r>
              <w:rPr>
                <w:rFonts w:hint="default" w:ascii="Times New Roman" w:hAnsi="Times New Roman" w:eastAsia="宋体" w:cs="Times New Roman"/>
                <w:snapToGrid w:val="0"/>
                <w:color w:val="auto"/>
                <w:kern w:val="0"/>
                <w:sz w:val="21"/>
                <w:szCs w:val="21"/>
                <w:highlight w:val="none"/>
                <w:lang w:val="en-US" w:eastAsia="zh-CN" w:bidi="ar-SA"/>
              </w:rPr>
              <w:t>香樟</w:t>
            </w:r>
            <w:r>
              <w:rPr>
                <w:rFonts w:hint="eastAsia" w:ascii="Times New Roman" w:hAnsi="Times New Roman" w:eastAsia="宋体" w:cs="Times New Roman"/>
                <w:snapToGrid w:val="0"/>
                <w:color w:val="auto"/>
                <w:kern w:val="0"/>
                <w:sz w:val="21"/>
                <w:szCs w:val="21"/>
                <w:highlight w:val="none"/>
                <w:lang w:val="en-US" w:eastAsia="zh-CN" w:bidi="ar-SA"/>
              </w:rPr>
              <w:t>林</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156DD5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（3）</w:t>
            </w:r>
            <w:r>
              <w:rPr>
                <w:rFonts w:hint="default" w:ascii="Times New Roman" w:hAnsi="Times New Roman" w:eastAsia="宋体" w:cs="Times New Roman"/>
                <w:snapToGrid w:val="0"/>
                <w:color w:val="auto"/>
                <w:kern w:val="0"/>
                <w:sz w:val="21"/>
                <w:szCs w:val="21"/>
                <w:highlight w:val="none"/>
                <w:lang w:val="en-US" w:eastAsia="zh-CN" w:bidi="ar-SA"/>
              </w:rPr>
              <w:t>香樟</w:t>
            </w:r>
            <w:r>
              <w:rPr>
                <w:rFonts w:hint="eastAsia" w:ascii="Times New Roman" w:hAnsi="Times New Roman" w:eastAsia="宋体" w:cs="Times New Roman"/>
                <w:snapToGrid w:val="0"/>
                <w:color w:val="auto"/>
                <w:kern w:val="0"/>
                <w:sz w:val="21"/>
                <w:szCs w:val="21"/>
                <w:highlight w:val="none"/>
                <w:lang w:val="en-US" w:eastAsia="zh-CN" w:bidi="ar-SA"/>
              </w:rPr>
              <w:t>林</w:t>
            </w:r>
          </w:p>
        </w:tc>
        <w:tc>
          <w:tcPr>
            <w:tcW w:w="632" w:type="pct"/>
            <w:vMerge w:val="restart"/>
            <w:tcBorders>
              <w:top w:val="single" w:color="000000" w:sz="4" w:space="0"/>
              <w:left w:val="single" w:color="000000" w:sz="4" w:space="0"/>
              <w:right w:val="single" w:color="000000" w:sz="4" w:space="0"/>
            </w:tcBorders>
            <w:noWrap/>
            <w:vAlign w:val="center"/>
          </w:tcPr>
          <w:p w14:paraId="24FCA5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66.94</w:t>
            </w:r>
          </w:p>
        </w:tc>
        <w:tc>
          <w:tcPr>
            <w:tcW w:w="533" w:type="pct"/>
            <w:vMerge w:val="restart"/>
            <w:tcBorders>
              <w:top w:val="single" w:color="000000" w:sz="4" w:space="0"/>
              <w:left w:val="single" w:color="000000" w:sz="4" w:space="0"/>
              <w:right w:val="single" w:color="000000" w:sz="4" w:space="0"/>
            </w:tcBorders>
            <w:noWrap/>
            <w:vAlign w:val="center"/>
          </w:tcPr>
          <w:p w14:paraId="3AAD2F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7.90</w:t>
            </w:r>
          </w:p>
        </w:tc>
      </w:tr>
      <w:tr w14:paraId="71BBB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65FBC1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continue"/>
            <w:tcBorders>
              <w:left w:val="single" w:color="000000" w:sz="4" w:space="0"/>
              <w:right w:val="single" w:color="000000" w:sz="4" w:space="0"/>
            </w:tcBorders>
            <w:noWrap/>
            <w:vAlign w:val="center"/>
          </w:tcPr>
          <w:p w14:paraId="36105211">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1014" w:type="pct"/>
            <w:vMerge w:val="continue"/>
            <w:tcBorders>
              <w:left w:val="single" w:color="000000" w:sz="4" w:space="0"/>
              <w:right w:val="single" w:color="000000" w:sz="4" w:space="0"/>
            </w:tcBorders>
            <w:noWrap/>
            <w:vAlign w:val="center"/>
          </w:tcPr>
          <w:p w14:paraId="165D49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3F9BA6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4.</w:t>
            </w:r>
            <w:r>
              <w:rPr>
                <w:rFonts w:hint="default" w:ascii="Times New Roman" w:hAnsi="Times New Roman" w:eastAsia="宋体" w:cs="Times New Roman"/>
                <w:snapToGrid w:val="0"/>
                <w:color w:val="auto"/>
                <w:kern w:val="0"/>
                <w:sz w:val="21"/>
                <w:szCs w:val="21"/>
                <w:highlight w:val="none"/>
                <w:lang w:val="en-US" w:eastAsia="zh-CN" w:bidi="ar-SA"/>
              </w:rPr>
              <w:t>桤木</w:t>
            </w:r>
            <w:r>
              <w:rPr>
                <w:rFonts w:hint="eastAsia" w:ascii="Times New Roman" w:hAnsi="Times New Roman" w:eastAsia="宋体" w:cs="Times New Roman"/>
                <w:snapToGrid w:val="0"/>
                <w:color w:val="auto"/>
                <w:kern w:val="0"/>
                <w:sz w:val="21"/>
                <w:szCs w:val="21"/>
                <w:highlight w:val="none"/>
                <w:lang w:val="en-US" w:eastAsia="zh-CN" w:bidi="ar-SA"/>
              </w:rPr>
              <w:t>林</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3C9718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（4）</w:t>
            </w:r>
            <w:r>
              <w:rPr>
                <w:rFonts w:hint="default" w:ascii="Times New Roman" w:hAnsi="Times New Roman" w:eastAsia="宋体" w:cs="Times New Roman"/>
                <w:snapToGrid w:val="0"/>
                <w:color w:val="auto"/>
                <w:kern w:val="0"/>
                <w:sz w:val="21"/>
                <w:szCs w:val="21"/>
                <w:highlight w:val="none"/>
                <w:lang w:val="en-US" w:eastAsia="zh-CN" w:bidi="ar-SA"/>
              </w:rPr>
              <w:t>桤木</w:t>
            </w:r>
            <w:r>
              <w:rPr>
                <w:rFonts w:hint="eastAsia" w:ascii="Times New Roman" w:hAnsi="Times New Roman" w:eastAsia="宋体" w:cs="Times New Roman"/>
                <w:snapToGrid w:val="0"/>
                <w:color w:val="auto"/>
                <w:kern w:val="0"/>
                <w:sz w:val="21"/>
                <w:szCs w:val="21"/>
                <w:highlight w:val="none"/>
                <w:lang w:val="en-US" w:eastAsia="zh-CN" w:bidi="ar-SA"/>
              </w:rPr>
              <w:t>林</w:t>
            </w:r>
          </w:p>
        </w:tc>
        <w:tc>
          <w:tcPr>
            <w:tcW w:w="632" w:type="pct"/>
            <w:vMerge w:val="continue"/>
            <w:tcBorders>
              <w:left w:val="single" w:color="000000" w:sz="4" w:space="0"/>
              <w:right w:val="single" w:color="000000" w:sz="4" w:space="0"/>
            </w:tcBorders>
            <w:noWrap/>
            <w:vAlign w:val="center"/>
          </w:tcPr>
          <w:p w14:paraId="637791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533" w:type="pct"/>
            <w:vMerge w:val="continue"/>
            <w:tcBorders>
              <w:left w:val="single" w:color="000000" w:sz="4" w:space="0"/>
              <w:right w:val="single" w:color="000000" w:sz="4" w:space="0"/>
            </w:tcBorders>
            <w:noWrap/>
            <w:vAlign w:val="center"/>
          </w:tcPr>
          <w:p w14:paraId="531E93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r>
      <w:tr w14:paraId="7F9197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47B94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continue"/>
            <w:tcBorders>
              <w:left w:val="single" w:color="000000" w:sz="4" w:space="0"/>
              <w:bottom w:val="single" w:color="000000" w:sz="4" w:space="0"/>
              <w:right w:val="single" w:color="000000" w:sz="4" w:space="0"/>
            </w:tcBorders>
            <w:noWrap/>
            <w:vAlign w:val="center"/>
          </w:tcPr>
          <w:p w14:paraId="75975D78">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1014" w:type="pct"/>
            <w:vMerge w:val="continue"/>
            <w:tcBorders>
              <w:left w:val="single" w:color="000000" w:sz="4" w:space="0"/>
              <w:bottom w:val="single" w:color="auto" w:sz="4" w:space="0"/>
              <w:right w:val="single" w:color="000000" w:sz="4" w:space="0"/>
            </w:tcBorders>
            <w:noWrap/>
            <w:vAlign w:val="center"/>
          </w:tcPr>
          <w:p w14:paraId="279BAB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943" w:type="pct"/>
            <w:tcBorders>
              <w:top w:val="single" w:color="000000" w:sz="4" w:space="0"/>
              <w:left w:val="single" w:color="000000" w:sz="4" w:space="0"/>
              <w:bottom w:val="single" w:color="auto" w:sz="4" w:space="0"/>
              <w:right w:val="single" w:color="000000" w:sz="4" w:space="0"/>
            </w:tcBorders>
            <w:noWrap/>
            <w:vAlign w:val="center"/>
          </w:tcPr>
          <w:p w14:paraId="1CEB69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5.</w:t>
            </w:r>
            <w:r>
              <w:rPr>
                <w:rFonts w:hint="default" w:ascii="Times New Roman" w:hAnsi="Times New Roman" w:eastAsia="宋体" w:cs="Times New Roman"/>
                <w:snapToGrid w:val="0"/>
                <w:color w:val="auto"/>
                <w:kern w:val="0"/>
                <w:sz w:val="21"/>
                <w:szCs w:val="21"/>
                <w:highlight w:val="none"/>
                <w:lang w:val="en-US" w:eastAsia="zh-CN" w:bidi="ar-SA"/>
              </w:rPr>
              <w:t>刺槐</w:t>
            </w:r>
            <w:r>
              <w:rPr>
                <w:rFonts w:hint="eastAsia" w:ascii="Times New Roman" w:hAnsi="Times New Roman" w:eastAsia="宋体" w:cs="Times New Roman"/>
                <w:snapToGrid w:val="0"/>
                <w:color w:val="auto"/>
                <w:kern w:val="0"/>
                <w:sz w:val="21"/>
                <w:szCs w:val="21"/>
                <w:highlight w:val="none"/>
                <w:lang w:val="en-US" w:eastAsia="zh-CN" w:bidi="ar-SA"/>
              </w:rPr>
              <w:t>林</w:t>
            </w:r>
          </w:p>
        </w:tc>
        <w:tc>
          <w:tcPr>
            <w:tcW w:w="717" w:type="pct"/>
            <w:tcBorders>
              <w:top w:val="single" w:color="000000" w:sz="4" w:space="0"/>
              <w:left w:val="single" w:color="000000" w:sz="4" w:space="0"/>
              <w:bottom w:val="single" w:color="auto" w:sz="4" w:space="0"/>
              <w:right w:val="single" w:color="000000" w:sz="4" w:space="0"/>
            </w:tcBorders>
            <w:noWrap/>
            <w:vAlign w:val="center"/>
          </w:tcPr>
          <w:p w14:paraId="09CA84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（5）</w:t>
            </w:r>
            <w:r>
              <w:rPr>
                <w:rFonts w:hint="default" w:ascii="Times New Roman" w:hAnsi="Times New Roman" w:eastAsia="宋体" w:cs="Times New Roman"/>
                <w:snapToGrid w:val="0"/>
                <w:color w:val="auto"/>
                <w:kern w:val="0"/>
                <w:sz w:val="21"/>
                <w:szCs w:val="21"/>
                <w:highlight w:val="none"/>
                <w:lang w:val="en-US" w:eastAsia="zh-CN" w:bidi="ar-SA"/>
              </w:rPr>
              <w:t>刺槐</w:t>
            </w:r>
            <w:r>
              <w:rPr>
                <w:rFonts w:hint="eastAsia" w:ascii="Times New Roman" w:hAnsi="Times New Roman" w:eastAsia="宋体" w:cs="Times New Roman"/>
                <w:snapToGrid w:val="0"/>
                <w:color w:val="auto"/>
                <w:kern w:val="0"/>
                <w:sz w:val="21"/>
                <w:szCs w:val="21"/>
                <w:highlight w:val="none"/>
                <w:lang w:val="en-US" w:eastAsia="zh-CN" w:bidi="ar-SA"/>
              </w:rPr>
              <w:t>林</w:t>
            </w:r>
          </w:p>
        </w:tc>
        <w:tc>
          <w:tcPr>
            <w:tcW w:w="632" w:type="pct"/>
            <w:vMerge w:val="continue"/>
            <w:tcBorders>
              <w:left w:val="single" w:color="000000" w:sz="4" w:space="0"/>
              <w:bottom w:val="single" w:color="auto" w:sz="4" w:space="0"/>
              <w:right w:val="single" w:color="000000" w:sz="4" w:space="0"/>
            </w:tcBorders>
            <w:noWrap/>
            <w:vAlign w:val="center"/>
          </w:tcPr>
          <w:p w14:paraId="52F1D8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533" w:type="pct"/>
            <w:vMerge w:val="continue"/>
            <w:tcBorders>
              <w:left w:val="single" w:color="000000" w:sz="4" w:space="0"/>
              <w:bottom w:val="single" w:color="auto" w:sz="4" w:space="0"/>
              <w:right w:val="single" w:color="000000" w:sz="4" w:space="0"/>
            </w:tcBorders>
            <w:noWrap/>
            <w:vAlign w:val="center"/>
          </w:tcPr>
          <w:p w14:paraId="4D4BAD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r>
      <w:tr w14:paraId="17A70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09DEA4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continue"/>
            <w:tcBorders>
              <w:left w:val="single" w:color="000000" w:sz="4" w:space="0"/>
              <w:bottom w:val="single" w:color="000000" w:sz="4" w:space="0"/>
              <w:right w:val="single" w:color="000000" w:sz="4" w:space="0"/>
            </w:tcBorders>
            <w:noWrap/>
            <w:vAlign w:val="center"/>
          </w:tcPr>
          <w:p w14:paraId="321F948D">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1014" w:type="pct"/>
            <w:tcBorders>
              <w:top w:val="single" w:color="auto" w:sz="4" w:space="0"/>
              <w:left w:val="single" w:color="000000" w:sz="4" w:space="0"/>
              <w:bottom w:val="single" w:color="000000" w:sz="4" w:space="0"/>
              <w:right w:val="single" w:color="000000" w:sz="4" w:space="0"/>
            </w:tcBorders>
            <w:noWrap/>
            <w:vAlign w:val="center"/>
          </w:tcPr>
          <w:p w14:paraId="0D9C9C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w:t>
            </w:r>
            <w:r>
              <w:rPr>
                <w:rFonts w:hint="eastAsia" w:ascii="Times New Roman" w:hAnsi="Times New Roman" w:eastAsia="宋体" w:cs="Times New Roman"/>
                <w:b w:val="0"/>
                <w:bCs w:val="0"/>
                <w:i w:val="0"/>
                <w:iCs w:val="0"/>
                <w:snapToGrid/>
                <w:color w:val="auto"/>
                <w:kern w:val="0"/>
                <w:sz w:val="21"/>
                <w:szCs w:val="21"/>
                <w:highlight w:val="none"/>
                <w:u w:val="none"/>
                <w:lang w:val="en-US" w:eastAsia="zh-CN" w:bidi="ar"/>
              </w:rPr>
              <w:t>三</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w:t>
            </w:r>
            <w:r>
              <w:rPr>
                <w:rFonts w:hint="eastAsia" w:ascii="Times New Roman" w:hAnsi="Times New Roman" w:eastAsia="宋体" w:cs="Times New Roman"/>
                <w:b w:val="0"/>
                <w:bCs w:val="0"/>
                <w:i w:val="0"/>
                <w:iCs w:val="0"/>
                <w:snapToGrid/>
                <w:color w:val="auto"/>
                <w:kern w:val="0"/>
                <w:sz w:val="21"/>
                <w:szCs w:val="21"/>
                <w:highlight w:val="none"/>
                <w:u w:val="none"/>
                <w:lang w:val="en-US" w:eastAsia="zh-CN" w:bidi="ar"/>
              </w:rPr>
              <w:t>竹林</w:t>
            </w:r>
          </w:p>
        </w:tc>
        <w:tc>
          <w:tcPr>
            <w:tcW w:w="943" w:type="pct"/>
            <w:tcBorders>
              <w:top w:val="single" w:color="auto" w:sz="4" w:space="0"/>
              <w:left w:val="single" w:color="000000" w:sz="4" w:space="0"/>
              <w:bottom w:val="single" w:color="000000" w:sz="4" w:space="0"/>
              <w:right w:val="single" w:color="000000" w:sz="4" w:space="0"/>
            </w:tcBorders>
            <w:noWrap/>
            <w:vAlign w:val="center"/>
          </w:tcPr>
          <w:p w14:paraId="78A287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等线" w:cs="Times New Roman"/>
                <w:i w:val="0"/>
                <w:iCs w:val="0"/>
                <w:color w:val="auto"/>
                <w:kern w:val="0"/>
                <w:sz w:val="21"/>
                <w:szCs w:val="21"/>
                <w:highlight w:val="none"/>
                <w:u w:val="none"/>
                <w:lang w:val="en-US" w:eastAsia="zh-CN" w:bidi="ar"/>
              </w:rPr>
              <w:t>6</w:t>
            </w:r>
            <w:r>
              <w:rPr>
                <w:rFonts w:hint="default" w:ascii="Times New Roman" w:hAnsi="Times New Roman" w:eastAsia="等线"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丘陵、山地竹林</w:t>
            </w:r>
          </w:p>
        </w:tc>
        <w:tc>
          <w:tcPr>
            <w:tcW w:w="717" w:type="pct"/>
            <w:tcBorders>
              <w:top w:val="single" w:color="auto" w:sz="4" w:space="0"/>
              <w:left w:val="single" w:color="000000" w:sz="4" w:space="0"/>
              <w:bottom w:val="single" w:color="000000" w:sz="4" w:space="0"/>
              <w:right w:val="single" w:color="000000" w:sz="4" w:space="0"/>
            </w:tcBorders>
            <w:noWrap/>
            <w:vAlign w:val="center"/>
          </w:tcPr>
          <w:p w14:paraId="348B39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pPr>
            <w:r>
              <w:rPr>
                <w:rFonts w:hint="eastAsia" w:eastAsia="等线" w:cs="Times New Roman"/>
                <w:i w:val="0"/>
                <w:iCs w:val="0"/>
                <w:color w:val="auto"/>
                <w:kern w:val="0"/>
                <w:sz w:val="21"/>
                <w:szCs w:val="21"/>
                <w:highlight w:val="none"/>
                <w:u w:val="none"/>
                <w:lang w:val="en-US" w:eastAsia="zh-CN" w:bidi="ar"/>
              </w:rPr>
              <w:t>（6）</w:t>
            </w:r>
            <w:r>
              <w:rPr>
                <w:rFonts w:hint="default" w:ascii="Times New Roman" w:hAnsi="Times New Roman" w:eastAsia="宋体" w:cs="Times New Roman"/>
                <w:i w:val="0"/>
                <w:iCs w:val="0"/>
                <w:color w:val="auto"/>
                <w:kern w:val="0"/>
                <w:sz w:val="21"/>
                <w:szCs w:val="21"/>
                <w:highlight w:val="none"/>
                <w:u w:val="none"/>
                <w:lang w:val="en-US" w:eastAsia="zh-CN" w:bidi="ar"/>
              </w:rPr>
              <w:t>慈竹林</w:t>
            </w:r>
          </w:p>
        </w:tc>
        <w:tc>
          <w:tcPr>
            <w:tcW w:w="632" w:type="pct"/>
            <w:tcBorders>
              <w:top w:val="single" w:color="auto" w:sz="4" w:space="0"/>
              <w:left w:val="single" w:color="000000" w:sz="4" w:space="0"/>
              <w:bottom w:val="single" w:color="000000" w:sz="4" w:space="0"/>
              <w:right w:val="single" w:color="000000" w:sz="4" w:space="0"/>
            </w:tcBorders>
            <w:noWrap/>
            <w:vAlign w:val="center"/>
          </w:tcPr>
          <w:p w14:paraId="116B05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55.58</w:t>
            </w:r>
          </w:p>
        </w:tc>
        <w:tc>
          <w:tcPr>
            <w:tcW w:w="533" w:type="pct"/>
            <w:tcBorders>
              <w:top w:val="single" w:color="auto" w:sz="4" w:space="0"/>
              <w:left w:val="single" w:color="000000" w:sz="4" w:space="0"/>
              <w:bottom w:val="single" w:color="000000" w:sz="4" w:space="0"/>
              <w:right w:val="single" w:color="000000" w:sz="4" w:space="0"/>
            </w:tcBorders>
            <w:noWrap/>
            <w:vAlign w:val="center"/>
          </w:tcPr>
          <w:p w14:paraId="616198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6.56</w:t>
            </w:r>
          </w:p>
        </w:tc>
      </w:tr>
      <w:tr w14:paraId="46EB7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47A1E5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restart"/>
            <w:tcBorders>
              <w:top w:val="single" w:color="000000" w:sz="4" w:space="0"/>
              <w:left w:val="single" w:color="000000" w:sz="4" w:space="0"/>
              <w:bottom w:val="single" w:color="000000" w:sz="4" w:space="0"/>
              <w:right w:val="single" w:color="000000" w:sz="4" w:space="0"/>
            </w:tcBorders>
            <w:noWrap/>
            <w:vAlign w:val="center"/>
          </w:tcPr>
          <w:p w14:paraId="1657A3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三、</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灌丛和灌草丛</w:t>
            </w:r>
          </w:p>
        </w:tc>
        <w:tc>
          <w:tcPr>
            <w:tcW w:w="1014" w:type="pct"/>
            <w:tcBorders>
              <w:top w:val="single" w:color="000000" w:sz="4" w:space="0"/>
              <w:left w:val="single" w:color="000000" w:sz="4" w:space="0"/>
              <w:bottom w:val="single" w:color="000000" w:sz="4" w:space="0"/>
              <w:right w:val="single" w:color="000000" w:sz="4" w:space="0"/>
            </w:tcBorders>
            <w:noWrap/>
            <w:vAlign w:val="center"/>
          </w:tcPr>
          <w:p w14:paraId="7C4939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w:t>
            </w:r>
            <w:r>
              <w:rPr>
                <w:rFonts w:hint="eastAsia" w:ascii="Times New Roman" w:hAnsi="Times New Roman" w:cs="Times New Roman"/>
                <w:b w:val="0"/>
                <w:bCs w:val="0"/>
                <w:i w:val="0"/>
                <w:iCs w:val="0"/>
                <w:snapToGrid/>
                <w:color w:val="auto"/>
                <w:kern w:val="0"/>
                <w:sz w:val="21"/>
                <w:szCs w:val="21"/>
                <w:highlight w:val="none"/>
                <w:u w:val="none"/>
                <w:lang w:val="en-US" w:eastAsia="zh-CN" w:bidi="ar"/>
              </w:rPr>
              <w:t>四</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）落叶阔叶灌丛</w:t>
            </w: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101153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bidi="ar"/>
              </w:rPr>
              <w:t>7</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.低山丘陵落叶阔叶灌丛</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7403C5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（7）</w:t>
            </w:r>
            <w:r>
              <w:rPr>
                <w:rFonts w:hint="default" w:ascii="Times New Roman" w:hAnsi="Times New Roman" w:eastAsia="宋体" w:cs="Times New Roman"/>
                <w:color w:val="auto"/>
                <w:sz w:val="21"/>
                <w:szCs w:val="21"/>
                <w:lang w:val="en-US" w:eastAsia="zh-CN"/>
              </w:rPr>
              <w:t>马桑、火棘、黄荆</w:t>
            </w:r>
          </w:p>
        </w:tc>
        <w:tc>
          <w:tcPr>
            <w:tcW w:w="632" w:type="pct"/>
            <w:tcBorders>
              <w:top w:val="single" w:color="000000" w:sz="4" w:space="0"/>
              <w:left w:val="single" w:color="000000" w:sz="4" w:space="0"/>
              <w:bottom w:val="single" w:color="000000" w:sz="4" w:space="0"/>
              <w:right w:val="single" w:color="000000" w:sz="4" w:space="0"/>
            </w:tcBorders>
            <w:noWrap/>
            <w:vAlign w:val="center"/>
          </w:tcPr>
          <w:p w14:paraId="713D6C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62.09</w:t>
            </w:r>
          </w:p>
        </w:tc>
        <w:tc>
          <w:tcPr>
            <w:tcW w:w="533" w:type="pct"/>
            <w:tcBorders>
              <w:top w:val="single" w:color="000000" w:sz="4" w:space="0"/>
              <w:left w:val="single" w:color="000000" w:sz="4" w:space="0"/>
              <w:bottom w:val="single" w:color="000000" w:sz="4" w:space="0"/>
              <w:right w:val="single" w:color="000000" w:sz="4" w:space="0"/>
            </w:tcBorders>
            <w:noWrap/>
            <w:vAlign w:val="center"/>
          </w:tcPr>
          <w:p w14:paraId="746717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7.33</w:t>
            </w:r>
          </w:p>
        </w:tc>
      </w:tr>
      <w:tr w14:paraId="2E52A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403" w:type="pct"/>
            <w:vMerge w:val="continue"/>
            <w:tcBorders>
              <w:top w:val="single" w:color="000000" w:sz="4" w:space="0"/>
              <w:left w:val="single" w:color="000000" w:sz="4" w:space="0"/>
              <w:bottom w:val="single" w:color="000000" w:sz="4" w:space="0"/>
              <w:right w:val="single" w:color="000000" w:sz="4" w:space="0"/>
            </w:tcBorders>
            <w:noWrap/>
            <w:vAlign w:val="center"/>
          </w:tcPr>
          <w:p w14:paraId="4CC7DD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continue"/>
            <w:tcBorders>
              <w:top w:val="single" w:color="000000" w:sz="4" w:space="0"/>
              <w:left w:val="single" w:color="000000" w:sz="4" w:space="0"/>
              <w:bottom w:val="single" w:color="000000" w:sz="4" w:space="0"/>
              <w:right w:val="single" w:color="000000" w:sz="4" w:space="0"/>
            </w:tcBorders>
            <w:noWrap/>
            <w:vAlign w:val="center"/>
          </w:tcPr>
          <w:p w14:paraId="52BD8F9D">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1014" w:type="pct"/>
            <w:tcBorders>
              <w:top w:val="single" w:color="000000" w:sz="4" w:space="0"/>
              <w:left w:val="single" w:color="000000" w:sz="4" w:space="0"/>
              <w:bottom w:val="single" w:color="000000" w:sz="4" w:space="0"/>
              <w:right w:val="single" w:color="000000" w:sz="4" w:space="0"/>
            </w:tcBorders>
            <w:noWrap/>
            <w:vAlign w:val="center"/>
          </w:tcPr>
          <w:p w14:paraId="1ECC95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w:t>
            </w:r>
            <w:r>
              <w:rPr>
                <w:rFonts w:hint="eastAsia" w:ascii="Times New Roman" w:hAnsi="Times New Roman" w:cs="Times New Roman"/>
                <w:b w:val="0"/>
                <w:bCs w:val="0"/>
                <w:i w:val="0"/>
                <w:iCs w:val="0"/>
                <w:snapToGrid/>
                <w:color w:val="auto"/>
                <w:kern w:val="0"/>
                <w:sz w:val="21"/>
                <w:szCs w:val="21"/>
                <w:highlight w:val="none"/>
                <w:u w:val="none"/>
                <w:lang w:val="en-US" w:eastAsia="zh-CN" w:bidi="ar"/>
              </w:rPr>
              <w:t>五</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）灌草丛</w:t>
            </w:r>
          </w:p>
        </w:tc>
        <w:tc>
          <w:tcPr>
            <w:tcW w:w="943" w:type="pct"/>
            <w:tcBorders>
              <w:top w:val="single" w:color="000000" w:sz="4" w:space="0"/>
              <w:left w:val="single" w:color="000000" w:sz="4" w:space="0"/>
              <w:bottom w:val="single" w:color="000000" w:sz="4" w:space="0"/>
              <w:right w:val="single" w:color="000000" w:sz="4" w:space="0"/>
            </w:tcBorders>
            <w:noWrap/>
            <w:vAlign w:val="center"/>
          </w:tcPr>
          <w:p w14:paraId="2AEC21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bidi="ar"/>
              </w:rPr>
              <w:t>8</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.禾草草丛</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67CAD1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eastAsia" w:cs="Times New Roman"/>
                <w:b w:val="0"/>
                <w:bCs w:val="0"/>
                <w:i w:val="0"/>
                <w:iCs w:val="0"/>
                <w:snapToGrid/>
                <w:color w:val="auto"/>
                <w:kern w:val="0"/>
                <w:sz w:val="21"/>
                <w:szCs w:val="21"/>
                <w:highlight w:val="none"/>
                <w:u w:val="none"/>
                <w:lang w:val="en-US" w:eastAsia="zh-CN" w:bidi="ar"/>
              </w:rPr>
              <w:t>（8）</w:t>
            </w: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芒草丛</w:t>
            </w:r>
          </w:p>
        </w:tc>
        <w:tc>
          <w:tcPr>
            <w:tcW w:w="632" w:type="pct"/>
            <w:tcBorders>
              <w:top w:val="single" w:color="000000" w:sz="4" w:space="0"/>
              <w:left w:val="single" w:color="000000" w:sz="4" w:space="0"/>
              <w:bottom w:val="single" w:color="000000" w:sz="4" w:space="0"/>
              <w:right w:val="single" w:color="000000" w:sz="4" w:space="0"/>
            </w:tcBorders>
            <w:noWrap/>
            <w:vAlign w:val="center"/>
          </w:tcPr>
          <w:p w14:paraId="4CEA85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15.47</w:t>
            </w:r>
          </w:p>
        </w:tc>
        <w:tc>
          <w:tcPr>
            <w:tcW w:w="533" w:type="pct"/>
            <w:tcBorders>
              <w:top w:val="single" w:color="000000" w:sz="4" w:space="0"/>
              <w:left w:val="single" w:color="000000" w:sz="4" w:space="0"/>
              <w:bottom w:val="single" w:color="000000" w:sz="4" w:space="0"/>
              <w:right w:val="single" w:color="000000" w:sz="4" w:space="0"/>
            </w:tcBorders>
            <w:noWrap/>
            <w:vAlign w:val="center"/>
          </w:tcPr>
          <w:p w14:paraId="305081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1.83</w:t>
            </w:r>
          </w:p>
        </w:tc>
      </w:tr>
      <w:tr w14:paraId="08880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403" w:type="pct"/>
            <w:vMerge w:val="restart"/>
            <w:tcBorders>
              <w:top w:val="single" w:color="000000" w:sz="4" w:space="0"/>
              <w:left w:val="single" w:color="000000" w:sz="4" w:space="0"/>
              <w:bottom w:val="single" w:color="000000" w:sz="4" w:space="0"/>
              <w:right w:val="single" w:color="000000" w:sz="4" w:space="0"/>
            </w:tcBorders>
            <w:noWrap/>
            <w:vAlign w:val="center"/>
          </w:tcPr>
          <w:p w14:paraId="1EC75F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人工植被</w:t>
            </w:r>
          </w:p>
        </w:tc>
        <w:tc>
          <w:tcPr>
            <w:tcW w:w="755" w:type="pct"/>
            <w:vMerge w:val="restart"/>
            <w:tcBorders>
              <w:top w:val="single" w:color="000000" w:sz="4" w:space="0"/>
              <w:left w:val="single" w:color="000000" w:sz="4" w:space="0"/>
              <w:bottom w:val="single" w:color="000000" w:sz="4" w:space="0"/>
              <w:right w:val="single" w:color="000000" w:sz="4" w:space="0"/>
            </w:tcBorders>
            <w:noWrap/>
            <w:vAlign w:val="center"/>
          </w:tcPr>
          <w:p w14:paraId="4818B0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耕地</w:t>
            </w:r>
          </w:p>
        </w:tc>
        <w:tc>
          <w:tcPr>
            <w:tcW w:w="2674" w:type="pct"/>
            <w:gridSpan w:val="3"/>
            <w:tcBorders>
              <w:top w:val="single" w:color="000000" w:sz="4" w:space="0"/>
              <w:left w:val="single" w:color="000000" w:sz="4" w:space="0"/>
              <w:bottom w:val="single" w:color="000000" w:sz="4" w:space="0"/>
              <w:right w:val="single" w:color="000000" w:sz="4" w:space="0"/>
            </w:tcBorders>
            <w:noWrap/>
            <w:vAlign w:val="center"/>
          </w:tcPr>
          <w:p w14:paraId="6D0895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水田</w:t>
            </w:r>
          </w:p>
        </w:tc>
        <w:tc>
          <w:tcPr>
            <w:tcW w:w="632" w:type="pct"/>
            <w:vMerge w:val="restart"/>
            <w:tcBorders>
              <w:top w:val="single" w:color="000000" w:sz="4" w:space="0"/>
              <w:left w:val="single" w:color="000000" w:sz="4" w:space="0"/>
              <w:right w:val="single" w:color="000000" w:sz="4" w:space="0"/>
            </w:tcBorders>
            <w:noWrap/>
            <w:vAlign w:val="center"/>
          </w:tcPr>
          <w:p w14:paraId="2EBE42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503.01</w:t>
            </w:r>
          </w:p>
        </w:tc>
        <w:tc>
          <w:tcPr>
            <w:tcW w:w="533" w:type="pct"/>
            <w:vMerge w:val="restart"/>
            <w:tcBorders>
              <w:top w:val="single" w:color="000000" w:sz="4" w:space="0"/>
              <w:left w:val="single" w:color="000000" w:sz="4" w:space="0"/>
              <w:right w:val="single" w:color="000000" w:sz="4" w:space="0"/>
            </w:tcBorders>
            <w:noWrap/>
            <w:vAlign w:val="center"/>
          </w:tcPr>
          <w:p w14:paraId="562A1A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59.35</w:t>
            </w:r>
          </w:p>
        </w:tc>
      </w:tr>
      <w:tr w14:paraId="211AF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403" w:type="pct"/>
            <w:vMerge w:val="continue"/>
            <w:tcBorders>
              <w:top w:val="single" w:color="000000" w:sz="4" w:space="0"/>
              <w:left w:val="single" w:color="000000" w:sz="4" w:space="0"/>
              <w:bottom w:val="single" w:color="auto" w:sz="4" w:space="0"/>
              <w:right w:val="single" w:color="000000" w:sz="4" w:space="0"/>
            </w:tcBorders>
            <w:noWrap/>
            <w:vAlign w:val="center"/>
          </w:tcPr>
          <w:p w14:paraId="5E594C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755" w:type="pct"/>
            <w:vMerge w:val="continue"/>
            <w:tcBorders>
              <w:top w:val="single" w:color="000000" w:sz="4" w:space="0"/>
              <w:left w:val="single" w:color="000000" w:sz="4" w:space="0"/>
              <w:bottom w:val="single" w:color="auto" w:sz="4" w:space="0"/>
              <w:right w:val="single" w:color="000000" w:sz="4" w:space="0"/>
            </w:tcBorders>
            <w:noWrap/>
            <w:vAlign w:val="center"/>
          </w:tcPr>
          <w:p w14:paraId="06511057">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2674" w:type="pct"/>
            <w:gridSpan w:val="3"/>
            <w:tcBorders>
              <w:top w:val="single" w:color="000000" w:sz="4" w:space="0"/>
              <w:left w:val="single" w:color="000000" w:sz="4" w:space="0"/>
              <w:bottom w:val="single" w:color="000000" w:sz="4" w:space="0"/>
              <w:right w:val="single" w:color="000000" w:sz="4" w:space="0"/>
            </w:tcBorders>
            <w:noWrap/>
            <w:vAlign w:val="center"/>
          </w:tcPr>
          <w:p w14:paraId="2D6166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旱地</w:t>
            </w:r>
          </w:p>
        </w:tc>
        <w:tc>
          <w:tcPr>
            <w:tcW w:w="632" w:type="pct"/>
            <w:vMerge w:val="continue"/>
            <w:tcBorders>
              <w:left w:val="single" w:color="000000" w:sz="4" w:space="0"/>
              <w:bottom w:val="single" w:color="000000" w:sz="4" w:space="0"/>
              <w:right w:val="single" w:color="000000" w:sz="4" w:space="0"/>
            </w:tcBorders>
            <w:noWrap/>
            <w:vAlign w:val="center"/>
          </w:tcPr>
          <w:p w14:paraId="2BCC3A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c>
          <w:tcPr>
            <w:tcW w:w="533" w:type="pct"/>
            <w:vMerge w:val="continue"/>
            <w:tcBorders>
              <w:left w:val="single" w:color="000000" w:sz="4" w:space="0"/>
              <w:bottom w:val="single" w:color="000000" w:sz="4" w:space="0"/>
              <w:right w:val="single" w:color="000000" w:sz="4" w:space="0"/>
            </w:tcBorders>
            <w:noWrap/>
            <w:vAlign w:val="center"/>
          </w:tcPr>
          <w:p w14:paraId="016BF2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p>
        </w:tc>
      </w:tr>
      <w:tr w14:paraId="60F5B6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403" w:type="pct"/>
            <w:tcBorders>
              <w:top w:val="single" w:color="000000" w:sz="4" w:space="0"/>
              <w:left w:val="single" w:color="000000" w:sz="4" w:space="0"/>
              <w:bottom w:val="single" w:color="000000" w:sz="4" w:space="0"/>
              <w:right w:val="single" w:color="000000" w:sz="4" w:space="0"/>
            </w:tcBorders>
            <w:noWrap/>
            <w:vAlign w:val="center"/>
          </w:tcPr>
          <w:p w14:paraId="51BC3D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非植被</w:t>
            </w:r>
          </w:p>
        </w:tc>
        <w:tc>
          <w:tcPr>
            <w:tcW w:w="3430" w:type="pct"/>
            <w:gridSpan w:val="4"/>
            <w:tcBorders>
              <w:top w:val="single" w:color="000000" w:sz="4" w:space="0"/>
              <w:left w:val="single" w:color="000000" w:sz="4" w:space="0"/>
              <w:bottom w:val="single" w:color="000000" w:sz="4" w:space="0"/>
              <w:right w:val="single" w:color="000000" w:sz="4" w:space="0"/>
            </w:tcBorders>
            <w:noWrap/>
            <w:vAlign w:val="center"/>
          </w:tcPr>
          <w:p w14:paraId="26B1FE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建设用地、水域、交通运输用地等</w:t>
            </w:r>
          </w:p>
        </w:tc>
        <w:tc>
          <w:tcPr>
            <w:tcW w:w="632" w:type="pct"/>
            <w:tcBorders>
              <w:top w:val="single" w:color="000000" w:sz="4" w:space="0"/>
              <w:left w:val="single" w:color="000000" w:sz="4" w:space="0"/>
              <w:bottom w:val="single" w:color="000000" w:sz="4" w:space="0"/>
              <w:right w:val="single" w:color="000000" w:sz="4" w:space="0"/>
            </w:tcBorders>
            <w:noWrap/>
            <w:vAlign w:val="center"/>
          </w:tcPr>
          <w:p w14:paraId="513060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129.03</w:t>
            </w:r>
          </w:p>
        </w:tc>
        <w:tc>
          <w:tcPr>
            <w:tcW w:w="533" w:type="pct"/>
            <w:tcBorders>
              <w:top w:val="single" w:color="000000" w:sz="4" w:space="0"/>
              <w:left w:val="single" w:color="000000" w:sz="4" w:space="0"/>
              <w:bottom w:val="single" w:color="000000" w:sz="4" w:space="0"/>
              <w:right w:val="single" w:color="000000" w:sz="4" w:space="0"/>
            </w:tcBorders>
            <w:noWrap/>
            <w:vAlign w:val="center"/>
          </w:tcPr>
          <w:p w14:paraId="77D3EC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15.22</w:t>
            </w:r>
          </w:p>
        </w:tc>
      </w:tr>
      <w:tr w14:paraId="7BA0E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 w:hRule="atLeast"/>
          <w:jc w:val="center"/>
        </w:trPr>
        <w:tc>
          <w:tcPr>
            <w:tcW w:w="3833" w:type="pct"/>
            <w:gridSpan w:val="5"/>
            <w:tcBorders>
              <w:top w:val="single" w:color="000000" w:sz="4" w:space="0"/>
              <w:left w:val="single" w:color="000000" w:sz="4" w:space="0"/>
              <w:bottom w:val="single" w:color="000000" w:sz="4" w:space="0"/>
              <w:right w:val="single" w:color="000000" w:sz="4" w:space="0"/>
            </w:tcBorders>
            <w:noWrap/>
            <w:vAlign w:val="center"/>
          </w:tcPr>
          <w:p w14:paraId="074C0D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合计</w:t>
            </w:r>
          </w:p>
        </w:tc>
        <w:tc>
          <w:tcPr>
            <w:tcW w:w="632" w:type="pct"/>
            <w:tcBorders>
              <w:top w:val="single" w:color="000000" w:sz="4" w:space="0"/>
              <w:left w:val="single" w:color="000000" w:sz="4" w:space="0"/>
              <w:bottom w:val="single" w:color="000000" w:sz="4" w:space="0"/>
              <w:right w:val="single" w:color="000000" w:sz="4" w:space="0"/>
            </w:tcBorders>
            <w:noWrap/>
            <w:vAlign w:val="center"/>
          </w:tcPr>
          <w:p w14:paraId="05E453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val="en-US" w:eastAsia="zh-CN"/>
              </w:rPr>
            </w:pPr>
            <w:r>
              <w:rPr>
                <w:rFonts w:hint="eastAsia" w:ascii="Times New Roman" w:hAnsi="Times New Roman" w:cs="Times New Roman"/>
                <w:b w:val="0"/>
                <w:bCs w:val="0"/>
                <w:i w:val="0"/>
                <w:iCs w:val="0"/>
                <w:snapToGrid/>
                <w:color w:val="auto"/>
                <w:kern w:val="0"/>
                <w:sz w:val="21"/>
                <w:szCs w:val="21"/>
                <w:highlight w:val="none"/>
                <w:u w:val="none"/>
                <w:lang w:val="en-US" w:eastAsia="zh-CN"/>
              </w:rPr>
              <w:t>847.47</w:t>
            </w:r>
          </w:p>
        </w:tc>
        <w:tc>
          <w:tcPr>
            <w:tcW w:w="533" w:type="pct"/>
            <w:tcBorders>
              <w:top w:val="single" w:color="000000" w:sz="4" w:space="0"/>
              <w:left w:val="single" w:color="000000" w:sz="4" w:space="0"/>
              <w:bottom w:val="single" w:color="000000" w:sz="4" w:space="0"/>
              <w:right w:val="single" w:color="000000" w:sz="4" w:space="0"/>
            </w:tcBorders>
            <w:noWrap/>
            <w:vAlign w:val="center"/>
          </w:tcPr>
          <w:p w14:paraId="04491C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b w:val="0"/>
                <w:bCs w:val="0"/>
                <w:i w:val="0"/>
                <w:iCs w:val="0"/>
                <w:snapToGrid/>
                <w:color w:val="auto"/>
                <w:kern w:val="0"/>
                <w:sz w:val="21"/>
                <w:szCs w:val="21"/>
                <w:highlight w:val="none"/>
                <w:u w:val="none"/>
                <w:lang w:eastAsia="zh-CN"/>
              </w:rPr>
            </w:pPr>
            <w:r>
              <w:rPr>
                <w:rFonts w:hint="default" w:ascii="Times New Roman" w:hAnsi="Times New Roman" w:eastAsia="宋体" w:cs="Times New Roman"/>
                <w:b w:val="0"/>
                <w:bCs w:val="0"/>
                <w:i w:val="0"/>
                <w:iCs w:val="0"/>
                <w:snapToGrid/>
                <w:color w:val="auto"/>
                <w:kern w:val="0"/>
                <w:sz w:val="21"/>
                <w:szCs w:val="21"/>
                <w:highlight w:val="none"/>
                <w:u w:val="none"/>
                <w:lang w:val="en-US" w:eastAsia="zh-CN" w:bidi="ar"/>
              </w:rPr>
              <w:t>100.00</w:t>
            </w:r>
          </w:p>
        </w:tc>
      </w:tr>
    </w:tbl>
    <w:p w14:paraId="44384079">
      <w:pPr>
        <w:keepNext w:val="0"/>
        <w:keepLines w:val="0"/>
        <w:pageBreakBefore w:val="0"/>
        <w:widowControl w:val="0"/>
        <w:kinsoku/>
        <w:wordWrap/>
        <w:overflowPunct/>
        <w:topLinePunct w:val="0"/>
        <w:autoSpaceDE/>
        <w:autoSpaceDN/>
        <w:bidi w:val="0"/>
        <w:adjustRightInd w:val="0"/>
        <w:snapToGrid w:val="0"/>
        <w:ind w:left="0"/>
        <w:textAlignment w:val="auto"/>
        <w:rPr>
          <w:rFonts w:hint="eastAsia" w:cs="Times New Roman"/>
          <w:b w:val="0"/>
          <w:bCs w:val="0"/>
          <w:color w:val="auto"/>
          <w:spacing w:val="-4"/>
          <w:sz w:val="24"/>
          <w:szCs w:val="24"/>
          <w:lang w:val="en-US" w:eastAsia="zh-CN"/>
        </w:rPr>
      </w:pPr>
      <w:r>
        <w:rPr>
          <w:rFonts w:hint="eastAsia" w:cs="Times New Roman"/>
          <w:color w:val="auto"/>
          <w:highlight w:val="none"/>
          <w:lang w:val="en-US" w:eastAsia="zh-CN"/>
        </w:rPr>
        <w:t>验收调查范围内</w:t>
      </w:r>
      <w:r>
        <w:rPr>
          <w:rFonts w:hint="default" w:ascii="Times New Roman" w:hAnsi="Times New Roman" w:eastAsia="宋体" w:cs="Times New Roman"/>
          <w:b w:val="0"/>
          <w:bCs w:val="0"/>
          <w:color w:val="auto"/>
          <w:spacing w:val="-4"/>
          <w:sz w:val="24"/>
          <w:szCs w:val="24"/>
        </w:rPr>
        <w:t>由于人为活动较强，植被受人为干扰较严重，现状植被多以次生林、灌丛和灌草丛为主，地带性植被多呈斑块状分布于</w:t>
      </w:r>
      <w:r>
        <w:rPr>
          <w:rFonts w:hint="default" w:ascii="Times New Roman" w:hAnsi="Times New Roman" w:eastAsia="宋体" w:cs="Times New Roman"/>
          <w:b w:val="0"/>
          <w:bCs w:val="0"/>
          <w:color w:val="auto"/>
          <w:spacing w:val="-4"/>
          <w:sz w:val="24"/>
          <w:szCs w:val="24"/>
          <w:lang w:eastAsia="zh-CN"/>
        </w:rPr>
        <w:t>人为干扰较低的深山</w:t>
      </w:r>
      <w:r>
        <w:rPr>
          <w:rFonts w:hint="default" w:ascii="Times New Roman" w:hAnsi="Times New Roman" w:eastAsia="宋体" w:cs="Times New Roman"/>
          <w:b w:val="0"/>
          <w:bCs w:val="0"/>
          <w:color w:val="auto"/>
          <w:spacing w:val="-4"/>
          <w:sz w:val="24"/>
          <w:szCs w:val="24"/>
        </w:rPr>
        <w:t>，面积较小，且种类较少</w:t>
      </w:r>
      <w:r>
        <w:rPr>
          <w:rFonts w:hint="default" w:ascii="Times New Roman" w:hAnsi="Times New Roman" w:eastAsia="宋体" w:cs="Times New Roman"/>
          <w:b w:val="0"/>
          <w:bCs w:val="0"/>
          <w:color w:val="auto"/>
          <w:spacing w:val="-4"/>
          <w:sz w:val="24"/>
          <w:szCs w:val="24"/>
          <w:lang w:eastAsia="zh-CN"/>
        </w:rPr>
        <w:t>；</w:t>
      </w:r>
      <w:r>
        <w:rPr>
          <w:rFonts w:hint="default" w:ascii="Times New Roman" w:hAnsi="Times New Roman" w:eastAsia="宋体" w:cs="Times New Roman"/>
          <w:b w:val="0"/>
          <w:bCs w:val="0"/>
          <w:color w:val="auto"/>
          <w:spacing w:val="-4"/>
          <w:sz w:val="24"/>
          <w:szCs w:val="24"/>
          <w:lang w:val="en-US" w:eastAsia="zh-CN"/>
        </w:rPr>
        <w:t>典型植被现状图见下图</w:t>
      </w:r>
      <w:r>
        <w:rPr>
          <w:rFonts w:hint="eastAsia" w:cs="Times New Roman"/>
          <w:b w:val="0"/>
          <w:bCs w:val="0"/>
          <w:color w:val="auto"/>
          <w:spacing w:val="-4"/>
          <w:sz w:val="24"/>
          <w:szCs w:val="24"/>
          <w:lang w:val="en-US" w:eastAsia="zh-CN"/>
        </w:rPr>
        <w:t>：</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2"/>
        <w:gridCol w:w="3960"/>
      </w:tblGrid>
      <w:tr w14:paraId="7C063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83" w:hRule="atLeast"/>
        </w:trPr>
        <w:tc>
          <w:tcPr>
            <w:tcW w:w="2521" w:type="pct"/>
            <w:noWrap w:val="0"/>
            <w:vAlign w:val="top"/>
          </w:tcPr>
          <w:p w14:paraId="1517F8C5">
            <w:pPr>
              <w:bidi w:val="0"/>
              <w:ind w:left="0" w:leftChars="0" w:firstLine="0" w:firstLineChars="0"/>
              <w:rPr>
                <w:rFonts w:hint="default" w:ascii="Times New Roman" w:hAnsi="Times New Roman" w:eastAsia="宋体" w:cs="Times New Roman"/>
                <w:b/>
                <w:bCs/>
                <w:color w:val="auto"/>
                <w:spacing w:val="-4"/>
                <w:sz w:val="24"/>
                <w:szCs w:val="24"/>
                <w:vertAlign w:val="baseline"/>
                <w:lang w:eastAsia="zh-CN"/>
              </w:rPr>
            </w:pPr>
            <w:r>
              <w:rPr>
                <w:rFonts w:hint="default" w:ascii="Times New Roman" w:hAnsi="Times New Roman" w:eastAsia="宋体" w:cs="Times New Roman"/>
                <w:b/>
                <w:bCs/>
                <w:color w:val="auto"/>
                <w:spacing w:val="-4"/>
                <w:sz w:val="24"/>
                <w:szCs w:val="24"/>
                <w:vertAlign w:val="baseline"/>
                <w:lang w:eastAsia="zh-CN"/>
              </w:rPr>
              <w:drawing>
                <wp:inline distT="0" distB="0" distL="114300" distR="114300">
                  <wp:extent cx="3017520" cy="2220595"/>
                  <wp:effectExtent l="0" t="0" r="11430" b="8255"/>
                  <wp:docPr id="19" name="图片 1" descr="微信图片_20251013133637_419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微信图片_20251013133637_419_6"/>
                          <pic:cNvPicPr>
                            <a:picLocks noChangeAspect="1"/>
                          </pic:cNvPicPr>
                        </pic:nvPicPr>
                        <pic:blipFill>
                          <a:blip r:embed="rId34"/>
                          <a:stretch>
                            <a:fillRect/>
                          </a:stretch>
                        </pic:blipFill>
                        <pic:spPr>
                          <a:xfrm>
                            <a:off x="0" y="0"/>
                            <a:ext cx="3017520" cy="2220595"/>
                          </a:xfrm>
                          <a:prstGeom prst="rect">
                            <a:avLst/>
                          </a:prstGeom>
                          <a:noFill/>
                          <a:ln>
                            <a:noFill/>
                          </a:ln>
                        </pic:spPr>
                      </pic:pic>
                    </a:graphicData>
                  </a:graphic>
                </wp:inline>
              </w:drawing>
            </w:r>
          </w:p>
        </w:tc>
        <w:tc>
          <w:tcPr>
            <w:tcW w:w="2478" w:type="pct"/>
            <w:noWrap w:val="0"/>
            <w:vAlign w:val="top"/>
          </w:tcPr>
          <w:p w14:paraId="118B5608">
            <w:pPr>
              <w:bidi w:val="0"/>
              <w:ind w:left="0" w:leftChars="0" w:firstLine="0" w:firstLineChars="0"/>
              <w:rPr>
                <w:rFonts w:hint="default" w:ascii="Times New Roman" w:hAnsi="Times New Roman" w:eastAsia="宋体" w:cs="Times New Roman"/>
                <w:b/>
                <w:bCs/>
                <w:color w:val="auto"/>
                <w:spacing w:val="-4"/>
                <w:sz w:val="24"/>
                <w:szCs w:val="24"/>
                <w:vertAlign w:val="baseline"/>
                <w:lang w:eastAsia="zh-CN"/>
              </w:rPr>
            </w:pPr>
            <w:r>
              <w:rPr>
                <w:rFonts w:hint="default" w:ascii="Times New Roman" w:hAnsi="Times New Roman" w:cs="Times New Roman"/>
                <w:color w:val="auto"/>
              </w:rPr>
              <w:drawing>
                <wp:inline distT="0" distB="0" distL="114300" distR="114300">
                  <wp:extent cx="2606040" cy="2261870"/>
                  <wp:effectExtent l="0" t="0" r="3810" b="508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35"/>
                          <a:stretch>
                            <a:fillRect/>
                          </a:stretch>
                        </pic:blipFill>
                        <pic:spPr>
                          <a:xfrm>
                            <a:off x="0" y="0"/>
                            <a:ext cx="2606040" cy="2261870"/>
                          </a:xfrm>
                          <a:prstGeom prst="rect">
                            <a:avLst/>
                          </a:prstGeom>
                          <a:noFill/>
                          <a:ln>
                            <a:noFill/>
                          </a:ln>
                        </pic:spPr>
                      </pic:pic>
                    </a:graphicData>
                  </a:graphic>
                </wp:inline>
              </w:drawing>
            </w:r>
          </w:p>
        </w:tc>
      </w:tr>
      <w:tr w14:paraId="6628E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3" w:hRule="atLeast"/>
        </w:trPr>
        <w:tc>
          <w:tcPr>
            <w:tcW w:w="2521" w:type="pct"/>
            <w:noWrap w:val="0"/>
            <w:vAlign w:val="top"/>
          </w:tcPr>
          <w:p w14:paraId="583891B2">
            <w:pPr>
              <w:bidi w:val="0"/>
              <w:ind w:left="0" w:leftChars="0" w:firstLine="0" w:firstLineChars="0"/>
              <w:jc w:val="center"/>
              <w:rPr>
                <w:rFonts w:hint="default" w:ascii="Times New Roman" w:hAnsi="Times New Roman" w:eastAsia="宋体" w:cs="Times New Roman"/>
                <w:b/>
                <w:bCs/>
                <w:color w:val="auto"/>
                <w:spacing w:val="-4"/>
                <w:sz w:val="21"/>
                <w:szCs w:val="21"/>
                <w:vertAlign w:val="baseline"/>
                <w:lang w:eastAsia="zh-CN"/>
              </w:rPr>
            </w:pPr>
            <w:r>
              <w:rPr>
                <w:rFonts w:hint="eastAsia" w:cs="Times New Roman"/>
                <w:b/>
                <w:bCs/>
                <w:color w:val="auto"/>
                <w:spacing w:val="-4"/>
                <w:sz w:val="21"/>
                <w:szCs w:val="21"/>
                <w:vertAlign w:val="baseline"/>
                <w:lang w:val="en-US" w:eastAsia="zh-CN"/>
              </w:rPr>
              <w:t xml:space="preserve">图5.2-3 </w:t>
            </w:r>
            <w:r>
              <w:rPr>
                <w:rFonts w:hint="default" w:ascii="Times New Roman" w:hAnsi="Times New Roman" w:eastAsia="宋体" w:cs="Times New Roman"/>
                <w:b/>
                <w:bCs/>
                <w:color w:val="auto"/>
                <w:spacing w:val="-4"/>
                <w:sz w:val="21"/>
                <w:szCs w:val="21"/>
                <w:vertAlign w:val="baseline"/>
                <w:lang w:val="en-US" w:eastAsia="zh-CN"/>
              </w:rPr>
              <w:t>典型人工植被现状图</w:t>
            </w:r>
          </w:p>
        </w:tc>
        <w:tc>
          <w:tcPr>
            <w:tcW w:w="2478" w:type="pct"/>
            <w:noWrap w:val="0"/>
            <w:vAlign w:val="top"/>
          </w:tcPr>
          <w:p w14:paraId="703B0AAE">
            <w:pPr>
              <w:bidi w:val="0"/>
              <w:ind w:left="0" w:leftChars="0" w:firstLine="0" w:firstLineChars="0"/>
              <w:jc w:val="center"/>
              <w:rPr>
                <w:rFonts w:hint="default" w:ascii="Times New Roman" w:hAnsi="Times New Roman" w:cs="Times New Roman"/>
                <w:color w:val="auto"/>
                <w:sz w:val="21"/>
                <w:szCs w:val="21"/>
              </w:rPr>
            </w:pPr>
            <w:r>
              <w:rPr>
                <w:rFonts w:hint="eastAsia" w:cs="Times New Roman"/>
                <w:b/>
                <w:bCs/>
                <w:color w:val="auto"/>
                <w:spacing w:val="-4"/>
                <w:sz w:val="21"/>
                <w:szCs w:val="21"/>
                <w:vertAlign w:val="baseline"/>
                <w:lang w:val="en-US" w:eastAsia="zh-CN"/>
              </w:rPr>
              <w:t xml:space="preserve">图5.2-4 </w:t>
            </w:r>
            <w:r>
              <w:rPr>
                <w:rFonts w:hint="default" w:ascii="Times New Roman" w:hAnsi="Times New Roman" w:eastAsia="宋体" w:cs="Times New Roman"/>
                <w:b/>
                <w:bCs/>
                <w:color w:val="auto"/>
                <w:spacing w:val="-4"/>
                <w:sz w:val="21"/>
                <w:szCs w:val="21"/>
                <w:vertAlign w:val="baseline"/>
                <w:lang w:val="en-US" w:eastAsia="zh-CN"/>
              </w:rPr>
              <w:t>典型</w:t>
            </w:r>
            <w:r>
              <w:rPr>
                <w:rFonts w:hint="default" w:ascii="Times New Roman" w:hAnsi="Times New Roman" w:eastAsia="宋体" w:cs="Times New Roman"/>
                <w:b/>
                <w:bCs/>
                <w:color w:val="auto"/>
                <w:sz w:val="21"/>
                <w:szCs w:val="21"/>
                <w:lang w:val="en-US" w:eastAsia="zh-CN"/>
              </w:rPr>
              <w:t>阔叶林</w:t>
            </w:r>
            <w:r>
              <w:rPr>
                <w:rFonts w:hint="default" w:ascii="Times New Roman" w:hAnsi="Times New Roman" w:eastAsia="宋体" w:cs="Times New Roman"/>
                <w:b/>
                <w:bCs/>
                <w:color w:val="auto"/>
                <w:spacing w:val="-4"/>
                <w:sz w:val="21"/>
                <w:szCs w:val="21"/>
                <w:vertAlign w:val="baseline"/>
                <w:lang w:val="en-US" w:eastAsia="zh-CN"/>
              </w:rPr>
              <w:t>现状图</w:t>
            </w:r>
          </w:p>
        </w:tc>
      </w:tr>
      <w:tr w14:paraId="366CB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3" w:hRule="atLeast"/>
        </w:trPr>
        <w:tc>
          <w:tcPr>
            <w:tcW w:w="2521" w:type="pct"/>
            <w:noWrap w:val="0"/>
            <w:vAlign w:val="top"/>
          </w:tcPr>
          <w:p w14:paraId="64A92307">
            <w:pPr>
              <w:bidi w:val="0"/>
              <w:ind w:left="0" w:leftChars="0" w:firstLine="0" w:firstLineChars="0"/>
              <w:rPr>
                <w:rFonts w:hint="default" w:ascii="Times New Roman" w:hAnsi="Times New Roman" w:eastAsia="宋体" w:cs="Times New Roman"/>
                <w:b/>
                <w:bCs/>
                <w:color w:val="auto"/>
                <w:spacing w:val="-4"/>
                <w:sz w:val="24"/>
                <w:szCs w:val="24"/>
                <w:vertAlign w:val="baseline"/>
                <w:lang w:eastAsia="zh-CN"/>
              </w:rPr>
            </w:pPr>
            <w:r>
              <w:rPr>
                <w:rFonts w:hint="default" w:ascii="Times New Roman" w:hAnsi="Times New Roman" w:cs="Times New Roman"/>
                <w:color w:val="auto"/>
              </w:rPr>
              <w:drawing>
                <wp:inline distT="0" distB="0" distL="114300" distR="114300">
                  <wp:extent cx="2763520" cy="1681480"/>
                  <wp:effectExtent l="0" t="0" r="17780" b="1397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36"/>
                          <a:stretch>
                            <a:fillRect/>
                          </a:stretch>
                        </pic:blipFill>
                        <pic:spPr>
                          <a:xfrm>
                            <a:off x="0" y="0"/>
                            <a:ext cx="2763520" cy="1681480"/>
                          </a:xfrm>
                          <a:prstGeom prst="rect">
                            <a:avLst/>
                          </a:prstGeom>
                          <a:noFill/>
                          <a:ln>
                            <a:noFill/>
                          </a:ln>
                        </pic:spPr>
                      </pic:pic>
                    </a:graphicData>
                  </a:graphic>
                </wp:inline>
              </w:drawing>
            </w:r>
          </w:p>
        </w:tc>
        <w:tc>
          <w:tcPr>
            <w:tcW w:w="2478" w:type="pct"/>
            <w:noWrap w:val="0"/>
            <w:vAlign w:val="top"/>
          </w:tcPr>
          <w:p w14:paraId="0A3B363D">
            <w:pPr>
              <w:bidi w:val="0"/>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354580" cy="1744980"/>
                  <wp:effectExtent l="0" t="0" r="7620" b="762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37"/>
                          <a:stretch>
                            <a:fillRect/>
                          </a:stretch>
                        </pic:blipFill>
                        <pic:spPr>
                          <a:xfrm>
                            <a:off x="0" y="0"/>
                            <a:ext cx="2354580" cy="1744980"/>
                          </a:xfrm>
                          <a:prstGeom prst="rect">
                            <a:avLst/>
                          </a:prstGeom>
                          <a:noFill/>
                          <a:ln>
                            <a:noFill/>
                          </a:ln>
                        </pic:spPr>
                      </pic:pic>
                    </a:graphicData>
                  </a:graphic>
                </wp:inline>
              </w:drawing>
            </w:r>
          </w:p>
        </w:tc>
      </w:tr>
      <w:tr w14:paraId="20DBB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1" w:type="pct"/>
            <w:noWrap w:val="0"/>
            <w:vAlign w:val="top"/>
          </w:tcPr>
          <w:p w14:paraId="2BA39CDF">
            <w:pPr>
              <w:bidi w:val="0"/>
              <w:ind w:left="0" w:leftChars="0" w:firstLine="0" w:firstLineChars="0"/>
              <w:jc w:val="center"/>
              <w:rPr>
                <w:rFonts w:hint="default" w:ascii="Times New Roman" w:hAnsi="Times New Roman" w:eastAsia="宋体" w:cs="Times New Roman"/>
                <w:b/>
                <w:bCs/>
                <w:color w:val="auto"/>
                <w:spacing w:val="-4"/>
                <w:sz w:val="21"/>
                <w:szCs w:val="21"/>
                <w:vertAlign w:val="baseline"/>
                <w:lang w:val="en-US" w:eastAsia="zh-CN"/>
              </w:rPr>
            </w:pPr>
            <w:r>
              <w:rPr>
                <w:rFonts w:hint="eastAsia" w:ascii="Times New Roman" w:hAnsi="Times New Roman" w:eastAsia="宋体" w:cs="Times New Roman"/>
                <w:b/>
                <w:bCs/>
                <w:color w:val="auto"/>
                <w:spacing w:val="-4"/>
                <w:sz w:val="21"/>
                <w:szCs w:val="21"/>
                <w:vertAlign w:val="baseline"/>
                <w:lang w:val="en-US" w:eastAsia="zh-CN"/>
              </w:rPr>
              <w:t xml:space="preserve">图5.2-5 </w:t>
            </w:r>
            <w:r>
              <w:rPr>
                <w:rFonts w:hint="default" w:ascii="Times New Roman" w:hAnsi="Times New Roman" w:eastAsia="宋体" w:cs="Times New Roman"/>
                <w:b/>
                <w:bCs/>
                <w:color w:val="auto"/>
                <w:spacing w:val="-4"/>
                <w:sz w:val="21"/>
                <w:szCs w:val="21"/>
                <w:vertAlign w:val="baseline"/>
                <w:lang w:val="en-US" w:eastAsia="zh-CN"/>
              </w:rPr>
              <w:t>典型阔叶灌丛现状图</w:t>
            </w:r>
          </w:p>
        </w:tc>
        <w:tc>
          <w:tcPr>
            <w:tcW w:w="2478" w:type="pct"/>
            <w:noWrap w:val="0"/>
            <w:vAlign w:val="top"/>
          </w:tcPr>
          <w:p w14:paraId="37B75643">
            <w:pPr>
              <w:bidi w:val="0"/>
              <w:ind w:left="0" w:leftChars="0" w:firstLine="0" w:firstLineChars="0"/>
              <w:jc w:val="center"/>
              <w:rPr>
                <w:rFonts w:hint="default" w:ascii="Times New Roman" w:hAnsi="Times New Roman" w:eastAsia="宋体" w:cs="Times New Roman"/>
                <w:b/>
                <w:bCs/>
                <w:color w:val="auto"/>
                <w:spacing w:val="-4"/>
                <w:sz w:val="21"/>
                <w:szCs w:val="21"/>
                <w:vertAlign w:val="baseline"/>
                <w:lang w:val="en-US" w:eastAsia="zh-CN"/>
              </w:rPr>
            </w:pPr>
            <w:r>
              <w:rPr>
                <w:rFonts w:hint="eastAsia" w:ascii="Times New Roman" w:hAnsi="Times New Roman" w:eastAsia="宋体" w:cs="Times New Roman"/>
                <w:b/>
                <w:bCs/>
                <w:color w:val="auto"/>
                <w:spacing w:val="-4"/>
                <w:sz w:val="21"/>
                <w:szCs w:val="21"/>
                <w:vertAlign w:val="baseline"/>
                <w:lang w:val="en-US" w:eastAsia="zh-CN"/>
              </w:rPr>
              <w:t xml:space="preserve">图5.2-6 </w:t>
            </w:r>
            <w:r>
              <w:rPr>
                <w:rFonts w:hint="default" w:ascii="Times New Roman" w:hAnsi="Times New Roman" w:eastAsia="宋体" w:cs="Times New Roman"/>
                <w:b/>
                <w:bCs/>
                <w:color w:val="auto"/>
                <w:spacing w:val="-4"/>
                <w:sz w:val="21"/>
                <w:szCs w:val="21"/>
                <w:vertAlign w:val="baseline"/>
                <w:lang w:val="en-US" w:eastAsia="zh-CN"/>
              </w:rPr>
              <w:t>典型针叶林现状图</w:t>
            </w:r>
          </w:p>
        </w:tc>
      </w:tr>
    </w:tbl>
    <w:p w14:paraId="5AADF461">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A.针叶林</w:t>
      </w:r>
    </w:p>
    <w:p w14:paraId="16B45BB2">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针叶林是指以针叶树为建群种所组成的各种森林群落的总称，是我国分布最广的一种植被型，包括寒温性暖性针叶林、温性针叶林和暖性针叶林3个类型。它们对生态环境条件要求各不相同，既有喜阴、耐冷湿的耐</w:t>
      </w:r>
      <w:r>
        <w:rPr>
          <w:rFonts w:hint="eastAsia" w:cs="Times New Roman"/>
          <w:b w:val="0"/>
          <w:bCs w:val="0"/>
          <w:color w:val="auto"/>
          <w:spacing w:val="-4"/>
          <w:sz w:val="24"/>
          <w:szCs w:val="24"/>
          <w:lang w:val="en-US" w:eastAsia="zh-CN"/>
        </w:rPr>
        <w:t>阴</w:t>
      </w:r>
      <w:r>
        <w:rPr>
          <w:rFonts w:hint="default" w:cs="Times New Roman"/>
          <w:b w:val="0"/>
          <w:bCs w:val="0"/>
          <w:color w:val="auto"/>
          <w:spacing w:val="-4"/>
          <w:sz w:val="24"/>
          <w:szCs w:val="24"/>
          <w:lang w:val="en-US" w:eastAsia="zh-CN"/>
        </w:rPr>
        <w:t>树种，又有喜阳、耐干旱的喜光树种，有的在干热的环境里生长旺盛，有的在冷湿的条件下苍劲挺拔。针叶林的立木通常高大、挺拔，单位面积蓄积量很高，是我国经济用材的主要来源，并能提供大量的林副产品，具有重要的经济价值。针叶林由于建群种高大挺拔，群落的层次分化比较明显，通常可以分为乔木层、灌木层、草本层和地被层。由于它是一个由多种成分构成的复杂生态系统，因此在自然条件下具有较强的稳定性，对外界的干扰具有较强的自动调节能力，但是在人为严重的干扰下，就会破坏其动态平衡，并引起一系列不良后果。</w:t>
      </w:r>
    </w:p>
    <w:p w14:paraId="7EECE491">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针叶林主要是以马尾松、柏木为代表的亚热带性质的暖性针叶林，主要分布在海拔400</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1200m之间。马尾松林、柏木林的自然整枝和生长发育进行得比较快，在形成特有的群落环境方面具有强烈的建群作用。另外，马尾松、柏木林具有较强的抗旱及保水性，对水土保持有重要作用。</w:t>
      </w:r>
    </w:p>
    <w:p w14:paraId="180D5658">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①马尾松林</w:t>
      </w:r>
    </w:p>
    <w:p w14:paraId="704D9782">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eastAsia" w:cs="Times New Roman"/>
          <w:b w:val="0"/>
          <w:bCs w:val="0"/>
          <w:color w:val="auto"/>
          <w:spacing w:val="-4"/>
          <w:sz w:val="24"/>
          <w:szCs w:val="24"/>
          <w:lang w:val="en-US" w:eastAsia="zh-CN"/>
        </w:rPr>
        <w:t>调查范围内分</w:t>
      </w:r>
      <w:r>
        <w:rPr>
          <w:rFonts w:hint="default" w:cs="Times New Roman"/>
          <w:b w:val="0"/>
          <w:bCs w:val="0"/>
          <w:color w:val="auto"/>
          <w:spacing w:val="-4"/>
          <w:sz w:val="24"/>
          <w:szCs w:val="24"/>
          <w:lang w:val="en-US" w:eastAsia="zh-CN"/>
        </w:rPr>
        <w:t>布的马尾松林以马尾松为主形成的单优势群落，其乔木层盖度多在50%</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75%左右，乔木树种除马尾松以外，有杉木、香樟、栓皮栎等伴生。群落灌木层盖度约15%</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30%，常见有野桐、盐肤木、臭牡丹、铁仔、女贞、野漆树、檵木、空心泡、毛叶木姜子等，草本层盖度约20%</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30%，常见以芒、芒萁、沿阶草、千里光、红盖鳞毛蕨、荩草、蜈蚣草、淡竹叶、艾蒿、黄鹌菜、蝴蝶花、丝茅、狗脊蕨、鬼针草等。层间层植物以藤本为主，常见菝葜、海金沙、香花崖豆藤等。</w:t>
      </w:r>
    </w:p>
    <w:p w14:paraId="2967358D">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②柏木林</w:t>
      </w:r>
    </w:p>
    <w:p w14:paraId="117AAC5D">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eastAsia" w:cs="Times New Roman"/>
          <w:b w:val="0"/>
          <w:bCs w:val="0"/>
          <w:color w:val="auto"/>
          <w:spacing w:val="-4"/>
          <w:sz w:val="24"/>
          <w:szCs w:val="24"/>
          <w:lang w:val="en-US" w:eastAsia="zh-CN"/>
        </w:rPr>
        <w:t>调查范围内</w:t>
      </w:r>
      <w:r>
        <w:rPr>
          <w:rFonts w:hint="default" w:cs="Times New Roman"/>
          <w:b w:val="0"/>
          <w:bCs w:val="0"/>
          <w:color w:val="auto"/>
          <w:spacing w:val="-4"/>
          <w:sz w:val="24"/>
          <w:szCs w:val="24"/>
          <w:lang w:val="en-US" w:eastAsia="zh-CN"/>
        </w:rPr>
        <w:t>柏木林为单优势群落。一般乔木层盖度在55%</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70%左右，除柏木以外，还见有白栎等乔木，乔木物种单一。灌木层盖度约20%</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30%，常以盐肤木、金佛山荚蒾、宜昌悬钩子、白栎、铁仔、杜茎山、女贞、野漆树、山莓、野桐、马桑、化香树、火棘、构树、川莓、檵木、牡荆、臭牡丹等为主。草本层的盖度可达20%</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40%，常见有芒、芒萁、沿阶草、千里光、红盖鳞毛蕨、荩草、蜈蚣草、五节芒、白茅、狗脊蕨、三脉紫菀、鬼针草、淡竹叶、竹叶草、东风草等物种。</w:t>
      </w:r>
    </w:p>
    <w:p w14:paraId="20E51565">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B阔叶林</w:t>
      </w:r>
    </w:p>
    <w:p w14:paraId="496BB564">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阔叶树种构成的森林群落在我国温暖而湿润和半湿润的气候条件下</w:t>
      </w:r>
      <w:r>
        <w:rPr>
          <w:rFonts w:hint="eastAsia" w:cs="Times New Roman"/>
          <w:b w:val="0"/>
          <w:bCs w:val="0"/>
          <w:color w:val="auto"/>
          <w:spacing w:val="-4"/>
          <w:sz w:val="24"/>
          <w:szCs w:val="24"/>
          <w:lang w:val="en-US" w:eastAsia="zh-CN"/>
        </w:rPr>
        <w:t>广泛</w:t>
      </w:r>
      <w:r>
        <w:rPr>
          <w:rFonts w:hint="default" w:cs="Times New Roman"/>
          <w:b w:val="0"/>
          <w:bCs w:val="0"/>
          <w:color w:val="auto"/>
          <w:spacing w:val="-4"/>
          <w:sz w:val="24"/>
          <w:szCs w:val="24"/>
          <w:lang w:val="en-US" w:eastAsia="zh-CN"/>
        </w:rPr>
        <w:t>分布，占有广阔的分布区域。我国有丰富的阔叶树种，在不同的自然环境条件下，构成各种各样的阔叶林群落。落叶阔叶林是我国北方暖温带地区阔叶林中主要的森林植被类型，要求的土壤条件一般较针叶林严格，最好的生境是具有土壤深厚而比较肥沃、通透性良好、排水和保水良好的土壤。在我国宽广的亚热带地区，具有代表性的典型森林植被是常绿阔叶林，但也可能因为人为原因或气候条件形成常绿、落叶阔叶混交林。在亚热带的山区常绿阔叶林带和山地针叶林地带中森林遭到破坏后，在森林迹地上可以出现过渡性的次生落叶阔叶林，这种次生森林群落为原有的森林恢复创造了</w:t>
      </w:r>
      <w:r>
        <w:rPr>
          <w:rFonts w:hint="eastAsia" w:cs="Times New Roman"/>
          <w:b w:val="0"/>
          <w:bCs w:val="0"/>
          <w:color w:val="auto"/>
          <w:spacing w:val="-4"/>
          <w:sz w:val="24"/>
          <w:szCs w:val="24"/>
          <w:lang w:val="en-US" w:eastAsia="zh-CN"/>
        </w:rPr>
        <w:t>有利条件</w:t>
      </w:r>
      <w:r>
        <w:rPr>
          <w:rFonts w:hint="default" w:cs="Times New Roman"/>
          <w:b w:val="0"/>
          <w:bCs w:val="0"/>
          <w:color w:val="auto"/>
          <w:spacing w:val="-4"/>
          <w:sz w:val="24"/>
          <w:szCs w:val="24"/>
          <w:lang w:val="en-US" w:eastAsia="zh-CN"/>
        </w:rPr>
        <w:t>。</w:t>
      </w:r>
    </w:p>
    <w:p w14:paraId="2D18EFFD">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eastAsia" w:cs="Times New Roman"/>
          <w:b w:val="0"/>
          <w:bCs w:val="0"/>
          <w:color w:val="auto"/>
          <w:spacing w:val="-4"/>
          <w:sz w:val="24"/>
          <w:szCs w:val="24"/>
          <w:lang w:val="en-US" w:eastAsia="zh-CN"/>
        </w:rPr>
        <w:t>调查范围</w:t>
      </w:r>
      <w:r>
        <w:rPr>
          <w:rFonts w:hint="default" w:cs="Times New Roman"/>
          <w:b w:val="0"/>
          <w:bCs w:val="0"/>
          <w:color w:val="auto"/>
          <w:spacing w:val="-4"/>
          <w:sz w:val="24"/>
          <w:szCs w:val="24"/>
          <w:lang w:val="en-US" w:eastAsia="zh-CN"/>
        </w:rPr>
        <w:t>内阔叶林主要有香樟林、桤木林、刺槐林。</w:t>
      </w:r>
    </w:p>
    <w:p w14:paraId="44EF021E">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①香樟林</w:t>
      </w:r>
    </w:p>
    <w:p w14:paraId="2C3FBB62">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香樟林广泛分布在</w:t>
      </w:r>
      <w:r>
        <w:rPr>
          <w:rFonts w:hint="eastAsia" w:cs="Times New Roman"/>
          <w:b w:val="0"/>
          <w:bCs w:val="0"/>
          <w:color w:val="auto"/>
          <w:spacing w:val="-4"/>
          <w:sz w:val="24"/>
          <w:szCs w:val="24"/>
          <w:lang w:val="en-US" w:eastAsia="zh-CN"/>
        </w:rPr>
        <w:t>调查范围内</w:t>
      </w:r>
      <w:r>
        <w:rPr>
          <w:rFonts w:hint="default" w:cs="Times New Roman"/>
          <w:b w:val="0"/>
          <w:bCs w:val="0"/>
          <w:color w:val="auto"/>
          <w:spacing w:val="-4"/>
          <w:sz w:val="24"/>
          <w:szCs w:val="24"/>
          <w:lang w:val="en-US" w:eastAsia="zh-CN"/>
        </w:rPr>
        <w:t>，在</w:t>
      </w:r>
      <w:r>
        <w:rPr>
          <w:rFonts w:hint="eastAsia" w:cs="Times New Roman"/>
          <w:b w:val="0"/>
          <w:bCs w:val="0"/>
          <w:color w:val="auto"/>
          <w:spacing w:val="-4"/>
          <w:sz w:val="24"/>
          <w:szCs w:val="24"/>
          <w:lang w:val="en-US" w:eastAsia="zh-CN"/>
        </w:rPr>
        <w:t>调查范围内</w:t>
      </w:r>
      <w:r>
        <w:rPr>
          <w:rFonts w:hint="default" w:cs="Times New Roman"/>
          <w:b w:val="0"/>
          <w:bCs w:val="0"/>
          <w:color w:val="auto"/>
          <w:spacing w:val="-4"/>
          <w:sz w:val="24"/>
          <w:szCs w:val="24"/>
          <w:lang w:val="en-US" w:eastAsia="zh-CN"/>
        </w:rPr>
        <w:t>的丘陵区域多见，成片分布，为人工林，群落盖度达到80%以上，长势良好。林下成分简单，主要为蓬蘽、鹅观草、荩草等植物。</w:t>
      </w:r>
    </w:p>
    <w:p w14:paraId="0BC09D01">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②桤木林</w:t>
      </w:r>
    </w:p>
    <w:p w14:paraId="49616292">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优势种为桤木，平均高度15m，群落盖度达到70%以上，长势良好。草本层主要伴生种狗尾草、五节芒等。</w:t>
      </w:r>
    </w:p>
    <w:p w14:paraId="67CC319E">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③刺槐林</w:t>
      </w:r>
    </w:p>
    <w:p w14:paraId="3A277E23">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优势种为刺槐，主要伴生种有马尾松、毛竹等；灌木层盖度20%，层均高1.5m，优势种为荆条，高1-2m，主要的伴生种有酸枣、西伯利亚小檗等；草本层高约0.2m，优势种为鹿角卷柏，盖度为20%，主要伴生种为求米草、黄背草、白羊草、结缕草等。</w:t>
      </w:r>
    </w:p>
    <w:p w14:paraId="4B4E2EE1">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C竹林</w:t>
      </w:r>
    </w:p>
    <w:p w14:paraId="7F04E49B">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竹林在群落结构和植物种类组成、群落的生态外貌、群落的地理分布等特征方面都比较特殊，形成一类木本状多年生常绿植物群落类型。通常，竹林是一些竹类构成的单优势种群落。一般竹类的繁殖主要是无性繁殖，以它的地下茎在土内蔓延，从地下茎的节处侧芽伸出地表形成竹笋，生长发育成为竹秆。由于</w:t>
      </w:r>
      <w:r>
        <w:rPr>
          <w:rFonts w:hint="eastAsia" w:cs="Times New Roman"/>
          <w:b w:val="0"/>
          <w:bCs w:val="0"/>
          <w:color w:val="auto"/>
          <w:spacing w:val="-4"/>
          <w:sz w:val="24"/>
          <w:szCs w:val="24"/>
          <w:lang w:val="en-US" w:eastAsia="zh-CN"/>
        </w:rPr>
        <w:t>一株</w:t>
      </w:r>
      <w:r>
        <w:rPr>
          <w:rFonts w:hint="default" w:cs="Times New Roman"/>
          <w:b w:val="0"/>
          <w:bCs w:val="0"/>
          <w:color w:val="auto"/>
          <w:spacing w:val="-4"/>
          <w:sz w:val="24"/>
          <w:szCs w:val="24"/>
          <w:lang w:val="en-US" w:eastAsia="zh-CN"/>
        </w:rPr>
        <w:t>植株的地下茎在土内的蔓延面积较大，因此竹笋到处伸出，可以形成一片竹林。竹类植物生态适应性广，经济价值高，用途广，各种竹林是我国的一种重要的植被资源。</w:t>
      </w:r>
    </w:p>
    <w:p w14:paraId="37FA09F3">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eastAsia" w:cs="Times New Roman"/>
          <w:b w:val="0"/>
          <w:bCs w:val="0"/>
          <w:color w:val="auto"/>
          <w:spacing w:val="-4"/>
          <w:sz w:val="24"/>
          <w:szCs w:val="24"/>
          <w:lang w:val="en-US" w:eastAsia="zh-CN"/>
        </w:rPr>
        <w:t>调查范围内</w:t>
      </w:r>
      <w:r>
        <w:rPr>
          <w:rFonts w:hint="default" w:cs="Times New Roman"/>
          <w:b w:val="0"/>
          <w:bCs w:val="0"/>
          <w:color w:val="auto"/>
          <w:spacing w:val="-4"/>
          <w:sz w:val="24"/>
          <w:szCs w:val="24"/>
          <w:lang w:val="en-US" w:eastAsia="zh-CN"/>
        </w:rPr>
        <w:t>分布的竹林主要为慈竹林。慈竹林多在居民点周围，上述竹林其林下空旷，植物物种组成极为单一。</w:t>
      </w:r>
    </w:p>
    <w:p w14:paraId="256B111C">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①慈竹林</w:t>
      </w:r>
    </w:p>
    <w:p w14:paraId="3241046E">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慈竹林属丛生竹，集中分布于低山、丘陵、河谷地区，沿箐沟自上而下带状分布。属人工栽培而成，评价区沿线均有分布。</w:t>
      </w:r>
    </w:p>
    <w:p w14:paraId="2AF66C82">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根据现场调查，慈竹林相整齐，结构单纯，乔木树种仅慈竹单优势种，杆高9</w:t>
      </w:r>
      <w:r>
        <w:rPr>
          <w:rFonts w:hint="eastAsia" w:cs="Times New Roman"/>
          <w:b w:val="0"/>
          <w:bCs w:val="0"/>
          <w:color w:val="auto"/>
          <w:spacing w:val="-4"/>
          <w:sz w:val="24"/>
          <w:szCs w:val="24"/>
          <w:lang w:val="en-US" w:eastAsia="zh-CN"/>
        </w:rPr>
        <w:t>～</w:t>
      </w:r>
      <w:r>
        <w:rPr>
          <w:rFonts w:hint="default" w:cs="Times New Roman"/>
          <w:b w:val="0"/>
          <w:bCs w:val="0"/>
          <w:color w:val="auto"/>
          <w:spacing w:val="-4"/>
          <w:sz w:val="24"/>
          <w:szCs w:val="24"/>
          <w:lang w:val="en-US" w:eastAsia="zh-CN"/>
        </w:rPr>
        <w:t>10m左右，杆径粗5cm，群落盖度高达65%。由于竹林冠层空间和地下茎的挤压，林下结构组成简单，物种组成单一，林下物种稀少，主要为竹叶枯落层覆盖，地表灌草本资源匮乏。灌木层盖度较小，有盐肤木、臭牡丹、铁仔、棕榈、白栎等分布。草本有芒萁、渐尖毛蕨、蝴蝶花、喜旱莲子草、芒等。</w:t>
      </w:r>
    </w:p>
    <w:p w14:paraId="27D7FAF2">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D落叶阔叶灌丛植被</w:t>
      </w:r>
    </w:p>
    <w:p w14:paraId="6478CEDB">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①马桑、火棘、黄荆灌丛群系</w:t>
      </w:r>
    </w:p>
    <w:p w14:paraId="009C5AE3">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该群落主要分布主要在林下、林缘、山脚、路边、农田两旁及砍伐迹地上出现，受人类活动干扰影响极大，群落结构不稳定，易向阔叶林演替群落灌木层组成种类较为庞杂，总盖度达60%以上，以马桑、火棘、盐肤木为优势种，平均高度2.5m。其他灌木种类有牡荆、荚蒾、杜鹃、野桐、川莓、山合欢、黄荆、多种悬钩子、美丽胡枝子、山胡椒、皱叶荚蒾等多种灌木类型。</w:t>
      </w:r>
    </w:p>
    <w:p w14:paraId="3A2B2576">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草本植物生长茂盛，分层明显。芒居于草本层第Ⅰ亚层植物，高度约1.2m、野胡萝卜、小蓬草、鬼针草、蜈蚣草、黄鹌菜、地果、千里光、丝茅等居于第Ⅱ亚层，高度30～60cm，车前、聚花过路黄、蕺菜、葎草、草莓等居于第Ⅲ亚层，高度在20cm以下。另外还有多种蕨类植物如毛蕨、狗脊在草本层生长。</w:t>
      </w:r>
    </w:p>
    <w:p w14:paraId="12AF2AE9">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E草丛植被</w:t>
      </w:r>
    </w:p>
    <w:p w14:paraId="2786B154">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①芒、丝茅、五节芒、小蓬草、狗脊群系</w:t>
      </w:r>
    </w:p>
    <w:p w14:paraId="08E5FC16">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芒、丝茅、五节芒、小蓬草、狗脊草丛可出现在河谷、盆地、河漫滩上的阶地、山地、丘陵地带。在四川各地分布十分广泛。由于芒、丝茅、五节芒、小蓬草、狗脊等的生活力很强，因而可以在不同的生境条件下出现。芒、丝茅对土壤的酸碱度要求亦不大严格，因此在石灰岩为基岩发育的石灰土或砂页岩等发育的酸性土上都有分布。在撂荒地上，首先遇到的就是芒、丝茅草丛，在一些地段上，丝茅生长密集，地下茎很发达，相互交织成网，其他植物很难侵入，可以形成几乎是纯丝茅的草丛。</w:t>
      </w:r>
    </w:p>
    <w:p w14:paraId="2CC8E0AC">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eastAsia" w:cs="Times New Roman"/>
          <w:b w:val="0"/>
          <w:bCs w:val="0"/>
          <w:color w:val="auto"/>
          <w:spacing w:val="-4"/>
          <w:sz w:val="24"/>
          <w:szCs w:val="24"/>
          <w:lang w:val="en-US" w:eastAsia="zh-CN"/>
        </w:rPr>
        <w:t>调查范围内</w:t>
      </w:r>
      <w:r>
        <w:rPr>
          <w:rFonts w:hint="default" w:cs="Times New Roman"/>
          <w:b w:val="0"/>
          <w:bCs w:val="0"/>
          <w:color w:val="auto"/>
          <w:spacing w:val="-4"/>
          <w:sz w:val="24"/>
          <w:szCs w:val="24"/>
          <w:lang w:val="en-US" w:eastAsia="zh-CN"/>
        </w:rPr>
        <w:t>芒、丝茅、五节芒、小蓬草、狗脊群系主要分布在林下、林缘、山脚、路边、农田两旁，草本层的高度为60—300厘米，层覆盖度在70%—90%之间。其伴生植物有黄花蒿、鬼针草、荩草、野胡萝卜、马唐、土荆芥、酢浆草、莎草、黄茅、抱茎小苦荬、地果、苦苣菜、四脉金茅、婆婆针、小飞蓬、蛇莓、夏枯草、车前等，在群落中散生有少数灌木，如马桑、牡荆、美丽胡枝子及麻栎、白栎幼树等。</w:t>
      </w:r>
    </w:p>
    <w:p w14:paraId="7F1430EF">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F栽培植被</w:t>
      </w:r>
    </w:p>
    <w:p w14:paraId="42551AFF">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栽培植被指人类在自然环境中，根据人类生产、生活的需要，通过人为的经营、管理措施而培育形成的植被类型。在</w:t>
      </w:r>
      <w:r>
        <w:rPr>
          <w:rFonts w:hint="eastAsia" w:cs="Times New Roman"/>
          <w:b w:val="0"/>
          <w:bCs w:val="0"/>
          <w:color w:val="auto"/>
          <w:spacing w:val="-4"/>
          <w:sz w:val="24"/>
          <w:szCs w:val="24"/>
          <w:lang w:val="en-US" w:eastAsia="zh-CN"/>
        </w:rPr>
        <w:t>调查</w:t>
      </w:r>
      <w:r>
        <w:rPr>
          <w:rFonts w:hint="default" w:cs="Times New Roman"/>
          <w:b w:val="0"/>
          <w:bCs w:val="0"/>
          <w:color w:val="auto"/>
          <w:spacing w:val="-4"/>
          <w:sz w:val="24"/>
          <w:szCs w:val="24"/>
          <w:lang w:val="en-US" w:eastAsia="zh-CN"/>
        </w:rPr>
        <w:t>区域，栽培植被</w:t>
      </w:r>
      <w:r>
        <w:rPr>
          <w:rFonts w:hint="eastAsia" w:cs="Times New Roman"/>
          <w:b w:val="0"/>
          <w:bCs w:val="0"/>
          <w:color w:val="auto"/>
          <w:spacing w:val="-4"/>
          <w:sz w:val="24"/>
          <w:szCs w:val="24"/>
          <w:lang w:val="en-US" w:eastAsia="zh-CN"/>
        </w:rPr>
        <w:t>以农业技术措施为主</w:t>
      </w:r>
      <w:r>
        <w:rPr>
          <w:rFonts w:hint="default" w:cs="Times New Roman"/>
          <w:b w:val="0"/>
          <w:bCs w:val="0"/>
          <w:color w:val="auto"/>
          <w:spacing w:val="-4"/>
          <w:sz w:val="24"/>
          <w:szCs w:val="24"/>
          <w:lang w:val="en-US" w:eastAsia="zh-CN"/>
        </w:rPr>
        <w:t>培育形成的农田植被，现分别就各类栽培植被分析如下：</w:t>
      </w:r>
    </w:p>
    <w:p w14:paraId="00AC836E">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①一年两熟水稻作物</w:t>
      </w:r>
    </w:p>
    <w:p w14:paraId="2DC746CD">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14:paraId="3744DF53">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②一年两作为主的蔬菜组合</w:t>
      </w:r>
    </w:p>
    <w:p w14:paraId="1533279F">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14:paraId="4FBE594B">
      <w:pPr>
        <w:keepNext w:val="0"/>
        <w:keepLines w:val="0"/>
        <w:pageBreakBefore w:val="0"/>
        <w:widowControl w:val="0"/>
        <w:kinsoku/>
        <w:wordWrap/>
        <w:overflowPunct/>
        <w:topLinePunct w:val="0"/>
        <w:autoSpaceDE/>
        <w:autoSpaceDN/>
        <w:bidi w:val="0"/>
        <w:adjustRightInd w:val="0"/>
        <w:snapToGrid w:val="0"/>
        <w:ind w:left="0"/>
        <w:textAlignment w:val="auto"/>
        <w:rPr>
          <w:rFonts w:hint="default"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③以玉米、洋芋、红薯、豆类为主的作物组合</w:t>
      </w:r>
    </w:p>
    <w:p w14:paraId="7520F1A2">
      <w:pPr>
        <w:keepNext w:val="0"/>
        <w:keepLines w:val="0"/>
        <w:pageBreakBefore w:val="0"/>
        <w:widowControl w:val="0"/>
        <w:kinsoku/>
        <w:wordWrap/>
        <w:overflowPunct/>
        <w:topLinePunct w:val="0"/>
        <w:autoSpaceDE/>
        <w:autoSpaceDN/>
        <w:bidi w:val="0"/>
        <w:adjustRightInd w:val="0"/>
        <w:snapToGrid w:val="0"/>
        <w:ind w:left="0"/>
        <w:textAlignment w:val="auto"/>
        <w:rPr>
          <w:rFonts w:hint="eastAsia" w:cs="Times New Roman"/>
          <w:b w:val="0"/>
          <w:bCs w:val="0"/>
          <w:color w:val="auto"/>
          <w:spacing w:val="-4"/>
          <w:sz w:val="24"/>
          <w:szCs w:val="24"/>
          <w:lang w:val="en-US" w:eastAsia="zh-CN"/>
        </w:rPr>
      </w:pPr>
      <w:r>
        <w:rPr>
          <w:rFonts w:hint="default" w:cs="Times New Roman"/>
          <w:b w:val="0"/>
          <w:bCs w:val="0"/>
          <w:color w:val="auto"/>
          <w:spacing w:val="-4"/>
          <w:sz w:val="24"/>
          <w:szCs w:val="24"/>
          <w:lang w:val="en-US" w:eastAsia="zh-CN"/>
        </w:rPr>
        <w:t>属于草本类型大田农作物型旱地作物亚型，本作物组合广泛分布于四川盆地边缘的丘陵地区。调查区域内局部灌溉条件较差的地方实行这种作物组合</w:t>
      </w:r>
      <w:r>
        <w:rPr>
          <w:rFonts w:hint="eastAsia" w:cs="Times New Roman"/>
          <w:b w:val="0"/>
          <w:bCs w:val="0"/>
          <w:color w:val="auto"/>
          <w:spacing w:val="-4"/>
          <w:sz w:val="24"/>
          <w:szCs w:val="24"/>
          <w:lang w:val="en-US" w:eastAsia="zh-CN"/>
        </w:rPr>
        <w:t>。</w:t>
      </w:r>
    </w:p>
    <w:p w14:paraId="2786EE4B">
      <w:pPr>
        <w:keepNext w:val="0"/>
        <w:keepLines w:val="0"/>
        <w:widowControl/>
        <w:suppressLineNumbers w:val="0"/>
        <w:jc w:val="left"/>
        <w:rPr>
          <w:color w:val="auto"/>
        </w:rPr>
      </w:pPr>
      <w:r>
        <w:rPr>
          <w:rFonts w:hint="eastAsia" w:ascii="宋体" w:hAnsi="宋体" w:cs="宋体"/>
          <w:b/>
          <w:bCs/>
          <w:color w:val="auto"/>
          <w:kern w:val="0"/>
          <w:sz w:val="24"/>
          <w:szCs w:val="24"/>
          <w:lang w:val="en-US" w:eastAsia="zh-CN" w:bidi="ar"/>
        </w:rPr>
        <w:t>I</w:t>
      </w:r>
      <w:r>
        <w:rPr>
          <w:rFonts w:hint="eastAsia" w:ascii="宋体" w:hAnsi="宋体" w:eastAsia="宋体" w:cs="宋体"/>
          <w:color w:val="auto"/>
          <w:kern w:val="0"/>
          <w:sz w:val="24"/>
          <w:szCs w:val="24"/>
          <w:lang w:val="en-US" w:eastAsia="zh-CN" w:bidi="ar"/>
        </w:rPr>
        <w:t>国家重点保护植物和珍稀濒危植物的种类及分布</w:t>
      </w:r>
    </w:p>
    <w:p w14:paraId="503B43F1">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依据</w:t>
      </w:r>
      <w:r>
        <w:rPr>
          <w:rFonts w:ascii="Courier New" w:hAnsi="Courier New" w:eastAsia="宋体" w:cs="Courier New"/>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国家重点保护野生植物名录</w:t>
      </w:r>
      <w:r>
        <w:rPr>
          <w:rFonts w:hint="default" w:ascii="Courier New" w:hAnsi="Courier New" w:eastAsia="宋体" w:cs="Courier New"/>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，调查区有银杏（</w:t>
      </w:r>
      <w:r>
        <w:rPr>
          <w:rFonts w:hint="default" w:ascii="Times New Roman" w:hAnsi="Times New Roman" w:eastAsia="宋体" w:cs="Times New Roman"/>
          <w:i/>
          <w:iCs/>
          <w:color w:val="auto"/>
          <w:kern w:val="0"/>
          <w:sz w:val="24"/>
          <w:szCs w:val="24"/>
          <w:lang w:val="en-US" w:eastAsia="zh-CN" w:bidi="ar"/>
        </w:rPr>
        <w:t>Ginkgobiloba</w:t>
      </w:r>
      <w:r>
        <w:rPr>
          <w:rFonts w:hint="eastAsia" w:ascii="宋体" w:hAnsi="宋体" w:eastAsia="宋体" w:cs="宋体"/>
          <w:color w:val="auto"/>
          <w:kern w:val="0"/>
          <w:sz w:val="24"/>
          <w:szCs w:val="24"/>
          <w:lang w:val="en-US" w:eastAsia="zh-CN" w:bidi="ar"/>
        </w:rPr>
        <w:t>）、水杉（</w:t>
      </w:r>
      <w:r>
        <w:rPr>
          <w:rFonts w:hint="default" w:ascii="Times New Roman" w:hAnsi="Times New Roman" w:eastAsia="宋体" w:cs="Times New Roman"/>
          <w:i/>
          <w:iCs/>
          <w:color w:val="auto"/>
          <w:kern w:val="0"/>
          <w:sz w:val="24"/>
          <w:szCs w:val="24"/>
          <w:lang w:val="en-US" w:eastAsia="zh-CN" w:bidi="ar"/>
        </w:rPr>
        <w:t>Metasequoiaglyptostroboides</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种国家Ⅰ级重点保护植物；国家Ⅱ级重点保护植物</w:t>
      </w:r>
      <w:r>
        <w:rPr>
          <w:rFonts w:hint="default" w:ascii="Times New Roman" w:hAnsi="Times New Roman" w:eastAsia="宋体" w:cs="Times New Roman"/>
          <w:color w:val="auto"/>
          <w:kern w:val="0"/>
          <w:sz w:val="24"/>
          <w:szCs w:val="24"/>
          <w:lang w:val="en-US" w:eastAsia="zh-CN" w:bidi="ar"/>
        </w:rPr>
        <w:t>4</w:t>
      </w:r>
      <w:r>
        <w:rPr>
          <w:rFonts w:hint="eastAsia" w:ascii="宋体" w:hAnsi="宋体" w:eastAsia="宋体" w:cs="宋体"/>
          <w:color w:val="auto"/>
          <w:kern w:val="0"/>
          <w:sz w:val="24"/>
          <w:szCs w:val="24"/>
          <w:lang w:val="en-US" w:eastAsia="zh-CN" w:bidi="ar"/>
        </w:rPr>
        <w:t>种，即苏铁（</w:t>
      </w:r>
      <w:r>
        <w:rPr>
          <w:rFonts w:hint="default" w:ascii="Times New Roman" w:hAnsi="Times New Roman" w:eastAsia="宋体" w:cs="Times New Roman"/>
          <w:i/>
          <w:iCs/>
          <w:color w:val="auto"/>
          <w:kern w:val="0"/>
          <w:sz w:val="24"/>
          <w:szCs w:val="24"/>
          <w:lang w:val="en-US" w:eastAsia="zh-CN" w:bidi="ar"/>
        </w:rPr>
        <w:t>Cycasrevolute</w:t>
      </w:r>
      <w:r>
        <w:rPr>
          <w:rFonts w:hint="eastAsia" w:ascii="宋体" w:hAnsi="宋体" w:eastAsia="宋体" w:cs="宋体"/>
          <w:color w:val="auto"/>
          <w:kern w:val="0"/>
          <w:sz w:val="24"/>
          <w:szCs w:val="24"/>
          <w:lang w:val="en-US" w:eastAsia="zh-CN" w:bidi="ar"/>
        </w:rPr>
        <w:t>）、樟（</w:t>
      </w:r>
      <w:r>
        <w:rPr>
          <w:rFonts w:hint="default" w:ascii="Times New Roman" w:hAnsi="Times New Roman" w:eastAsia="宋体" w:cs="Times New Roman"/>
          <w:i/>
          <w:iCs/>
          <w:color w:val="auto"/>
          <w:kern w:val="0"/>
          <w:sz w:val="24"/>
          <w:szCs w:val="24"/>
          <w:lang w:val="en-US" w:eastAsia="zh-CN" w:bidi="ar"/>
        </w:rPr>
        <w:t>Cinnamomumcamphora</w:t>
      </w:r>
      <w:r>
        <w:rPr>
          <w:rFonts w:hint="eastAsia" w:ascii="宋体" w:hAnsi="宋体" w:eastAsia="宋体" w:cs="宋体"/>
          <w:color w:val="auto"/>
          <w:kern w:val="0"/>
          <w:sz w:val="24"/>
          <w:szCs w:val="24"/>
          <w:lang w:val="en-US" w:eastAsia="zh-CN" w:bidi="ar"/>
        </w:rPr>
        <w:t>）、楠木（</w:t>
      </w:r>
      <w:r>
        <w:rPr>
          <w:rFonts w:hint="default" w:ascii="Times New Roman" w:hAnsi="Times New Roman" w:eastAsia="宋体" w:cs="Times New Roman"/>
          <w:i/>
          <w:iCs/>
          <w:color w:val="auto"/>
          <w:kern w:val="0"/>
          <w:sz w:val="24"/>
          <w:szCs w:val="24"/>
          <w:lang w:val="en-US" w:eastAsia="zh-CN" w:bidi="ar"/>
        </w:rPr>
        <w:t>Phoebezhennan</w:t>
      </w:r>
      <w:r>
        <w:rPr>
          <w:rFonts w:hint="eastAsia" w:ascii="宋体" w:hAnsi="宋体" w:eastAsia="宋体" w:cs="宋体"/>
          <w:color w:val="auto"/>
          <w:kern w:val="0"/>
          <w:sz w:val="24"/>
          <w:szCs w:val="24"/>
          <w:lang w:val="en-US" w:eastAsia="zh-CN" w:bidi="ar"/>
        </w:rPr>
        <w:t>）和喜树（</w:t>
      </w:r>
      <w:r>
        <w:rPr>
          <w:rFonts w:hint="default" w:ascii="Times New Roman" w:hAnsi="Times New Roman" w:eastAsia="宋体" w:cs="Times New Roman"/>
          <w:i/>
          <w:iCs/>
          <w:color w:val="auto"/>
          <w:kern w:val="0"/>
          <w:sz w:val="24"/>
          <w:szCs w:val="24"/>
          <w:lang w:val="en-US" w:eastAsia="zh-CN" w:bidi="ar"/>
        </w:rPr>
        <w:t>Camptothecaacuminata</w:t>
      </w:r>
      <w:r>
        <w:rPr>
          <w:rFonts w:hint="eastAsia" w:ascii="宋体" w:hAnsi="宋体" w:eastAsia="宋体" w:cs="宋体"/>
          <w:color w:val="auto"/>
          <w:kern w:val="0"/>
          <w:sz w:val="24"/>
          <w:szCs w:val="24"/>
          <w:lang w:val="en-US" w:eastAsia="zh-CN" w:bidi="ar"/>
        </w:rPr>
        <w:t>）。</w:t>
      </w:r>
    </w:p>
    <w:p w14:paraId="76419A77">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上述</w:t>
      </w:r>
      <w:r>
        <w:rPr>
          <w:rFonts w:hint="default" w:ascii="Times New Roman" w:hAnsi="Times New Roman" w:eastAsia="宋体" w:cs="Times New Roman"/>
          <w:color w:val="auto"/>
          <w:kern w:val="0"/>
          <w:sz w:val="24"/>
          <w:szCs w:val="24"/>
          <w:lang w:val="en-US" w:eastAsia="zh-CN" w:bidi="ar"/>
        </w:rPr>
        <w:t>6</w:t>
      </w:r>
      <w:r>
        <w:rPr>
          <w:rFonts w:hint="eastAsia" w:ascii="宋体" w:hAnsi="宋体" w:eastAsia="宋体" w:cs="宋体"/>
          <w:color w:val="auto"/>
          <w:kern w:val="0"/>
          <w:sz w:val="24"/>
          <w:szCs w:val="24"/>
          <w:lang w:val="en-US" w:eastAsia="zh-CN" w:bidi="ar"/>
        </w:rPr>
        <w:t>种植物在拟建公路沿线均为栽培种，农宅、道路附近有少量栽培，区内无野生的国家重点保护植物分布。</w:t>
      </w:r>
    </w:p>
    <w:p w14:paraId="1B3D711B">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cs="宋体"/>
          <w:color w:val="auto"/>
          <w:kern w:val="0"/>
          <w:sz w:val="24"/>
          <w:szCs w:val="24"/>
          <w:lang w:val="en-US" w:eastAsia="zh-CN" w:bidi="ar"/>
        </w:rPr>
        <w:t>调查</w:t>
      </w:r>
      <w:r>
        <w:rPr>
          <w:rFonts w:hint="eastAsia" w:ascii="宋体" w:hAnsi="宋体" w:eastAsia="宋体" w:cs="宋体"/>
          <w:color w:val="auto"/>
          <w:kern w:val="0"/>
          <w:sz w:val="24"/>
          <w:szCs w:val="24"/>
          <w:lang w:val="en-US" w:eastAsia="zh-CN" w:bidi="ar"/>
        </w:rPr>
        <w:t>区内列入保护“名录”中的物种均为人工种植的物种，这类物种不受国家法律的保护。</w:t>
      </w:r>
    </w:p>
    <w:p w14:paraId="5947FC6E">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这些物种多种植于居民点周围或道路两侧作为绿化、观赏之用。因此，这些列入保护植物名录的种类在</w:t>
      </w:r>
      <w:r>
        <w:rPr>
          <w:rFonts w:hint="eastAsia" w:ascii="宋体" w:hAnsi="宋体" w:cs="宋体"/>
          <w:color w:val="auto"/>
          <w:kern w:val="0"/>
          <w:sz w:val="24"/>
          <w:szCs w:val="24"/>
          <w:lang w:val="en-US" w:eastAsia="zh-CN" w:bidi="ar"/>
        </w:rPr>
        <w:t>调查</w:t>
      </w:r>
      <w:r>
        <w:rPr>
          <w:rFonts w:hint="eastAsia" w:ascii="宋体" w:hAnsi="宋体" w:eastAsia="宋体" w:cs="宋体"/>
          <w:color w:val="auto"/>
          <w:kern w:val="0"/>
          <w:sz w:val="24"/>
          <w:szCs w:val="24"/>
          <w:lang w:val="en-US" w:eastAsia="zh-CN" w:bidi="ar"/>
        </w:rPr>
        <w:t>区多为线性或零散分布，在</w:t>
      </w:r>
      <w:r>
        <w:rPr>
          <w:rFonts w:hint="eastAsia" w:ascii="宋体" w:hAnsi="宋体" w:cs="宋体"/>
          <w:color w:val="auto"/>
          <w:kern w:val="0"/>
          <w:sz w:val="24"/>
          <w:szCs w:val="24"/>
          <w:lang w:val="en-US" w:eastAsia="zh-CN" w:bidi="ar"/>
        </w:rPr>
        <w:t>调查</w:t>
      </w:r>
      <w:r>
        <w:rPr>
          <w:rFonts w:hint="eastAsia" w:ascii="宋体" w:hAnsi="宋体" w:eastAsia="宋体" w:cs="宋体"/>
          <w:color w:val="auto"/>
          <w:kern w:val="0"/>
          <w:sz w:val="24"/>
          <w:szCs w:val="24"/>
          <w:lang w:val="en-US" w:eastAsia="zh-CN" w:bidi="ar"/>
        </w:rPr>
        <w:t>区内无保护植物集中分布的敏感区域。</w:t>
      </w:r>
    </w:p>
    <w:p w14:paraId="3B848839">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cs="宋体"/>
          <w:b/>
          <w:bCs/>
          <w:color w:val="auto"/>
          <w:kern w:val="0"/>
          <w:sz w:val="24"/>
          <w:szCs w:val="24"/>
          <w:lang w:val="en-US" w:eastAsia="zh-CN" w:bidi="ar"/>
        </w:rPr>
        <w:t>J</w:t>
      </w:r>
      <w:r>
        <w:rPr>
          <w:rFonts w:hint="eastAsia" w:ascii="宋体" w:hAnsi="宋体" w:eastAsia="宋体" w:cs="宋体"/>
          <w:color w:val="auto"/>
          <w:kern w:val="0"/>
          <w:sz w:val="24"/>
          <w:szCs w:val="24"/>
          <w:lang w:val="en-US" w:eastAsia="zh-CN" w:bidi="ar"/>
        </w:rPr>
        <w:t>项目沿线的古树名木</w:t>
      </w:r>
    </w:p>
    <w:p w14:paraId="78EACFA7">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经过调查和咨询，项目沿线评价范围内没有古树名木分布。</w:t>
      </w:r>
    </w:p>
    <w:p w14:paraId="58C439E6">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总体而言，由于评价区内农业生产历史悠久，居民点分布广泛，古树名木以黄葛树最多，其次有少量银杏、柏树、香樟，其他古树名木种类如黄连木、水青冈、槐树等属于偶见古树名木。现阶段经过调查和咨询，项目沿线</w:t>
      </w:r>
      <w:r>
        <w:rPr>
          <w:rFonts w:hint="eastAsia" w:ascii="宋体" w:hAnsi="宋体" w:cs="宋体"/>
          <w:color w:val="auto"/>
          <w:kern w:val="0"/>
          <w:sz w:val="24"/>
          <w:szCs w:val="24"/>
          <w:lang w:val="en-US" w:eastAsia="zh-CN" w:bidi="ar"/>
        </w:rPr>
        <w:t>调查</w:t>
      </w:r>
      <w:r>
        <w:rPr>
          <w:rFonts w:hint="eastAsia" w:ascii="宋体" w:hAnsi="宋体" w:eastAsia="宋体" w:cs="宋体"/>
          <w:color w:val="auto"/>
          <w:kern w:val="0"/>
          <w:sz w:val="24"/>
          <w:szCs w:val="24"/>
          <w:lang w:val="en-US" w:eastAsia="zh-CN" w:bidi="ar"/>
        </w:rPr>
        <w:t>范围内没有古树名木分布。</w:t>
      </w:r>
    </w:p>
    <w:p w14:paraId="364EA3C1">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5.1.2</w:t>
      </w:r>
      <w:r>
        <w:rPr>
          <w:rFonts w:hint="default" w:ascii="Times New Roman" w:hAnsi="Times New Roman" w:cs="Times New Roman"/>
          <w:color w:val="auto"/>
        </w:rPr>
        <w:t>陆生植被影响调查</w:t>
      </w:r>
    </w:p>
    <w:p w14:paraId="39E1445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根据资料，建设单位及施工单位在施工过程中主要采取了以下措施减缓对陆生植物的破坏：</w:t>
      </w:r>
    </w:p>
    <w:p w14:paraId="26F2DF0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（1）工程通过优化、调整线路，避让了</w:t>
      </w:r>
      <w:r>
        <w:rPr>
          <w:rFonts w:hint="eastAsia" w:cs="Times New Roman"/>
          <w:color w:val="auto"/>
          <w:szCs w:val="24"/>
          <w:lang w:val="en-US" w:eastAsia="zh-CN"/>
        </w:rPr>
        <w:t>林地</w:t>
      </w:r>
      <w:r>
        <w:rPr>
          <w:rFonts w:hint="default" w:ascii="Times New Roman" w:hAnsi="Times New Roman" w:cs="Times New Roman"/>
          <w:color w:val="auto"/>
          <w:szCs w:val="24"/>
        </w:rPr>
        <w:t>。经调查工程施工未对保护植物造成影响。</w:t>
      </w:r>
    </w:p>
    <w:p w14:paraId="32ED50E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（2）施工场地、施工便道不涉及耕地集中区及基本农田保护区。</w:t>
      </w:r>
    </w:p>
    <w:p w14:paraId="337AD54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（3）采取宣传教育、制定管理办法，设置宣传标牌、生态保护警示等方式加大环保宣传的力度，强化施工队伍的环保意识。</w:t>
      </w:r>
    </w:p>
    <w:p w14:paraId="4F073C0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（4）工程施工时收集保存工程永久占地、临时用地所占用耕地的表层熟土，在绿化施工时，用于路堤边坡、中分带取弃土场回填。</w:t>
      </w:r>
    </w:p>
    <w:p w14:paraId="1B4E9A1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（5）各施工单位重视对施工人员的防火知识教育，未发生由人为原因导致的森林火灾。</w:t>
      </w:r>
    </w:p>
    <w:p w14:paraId="7B1D7C6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（8）工程完建后，对临时占地区进行了迹地恢复，永久占地区结合景观要求进行了绿化。</w:t>
      </w:r>
    </w:p>
    <w:p w14:paraId="039953F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（9）植被绿化和迹地恢复过程</w:t>
      </w:r>
      <w:r>
        <w:rPr>
          <w:rFonts w:hint="eastAsia" w:cs="Times New Roman"/>
          <w:color w:val="auto"/>
          <w:szCs w:val="24"/>
          <w:lang w:eastAsia="zh-CN"/>
        </w:rPr>
        <w:t>中合</w:t>
      </w:r>
      <w:r>
        <w:rPr>
          <w:rFonts w:hint="default" w:ascii="Times New Roman" w:hAnsi="Times New Roman" w:cs="Times New Roman"/>
          <w:color w:val="auto"/>
          <w:szCs w:val="24"/>
        </w:rPr>
        <w:t>理运用本土树种，以乔、灌、草为一体合理搭配进行造景。</w:t>
      </w:r>
    </w:p>
    <w:p w14:paraId="3FE6B93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（10）施工期对受施工扰动的区域进行了植被恢复。</w:t>
      </w:r>
    </w:p>
    <w:p w14:paraId="67E9585D">
      <w:pPr>
        <w:keepNext w:val="0"/>
        <w:keepLines w:val="0"/>
        <w:pageBreakBefore w:val="0"/>
        <w:widowControl w:val="0"/>
        <w:kinsoku/>
        <w:wordWrap/>
        <w:overflowPunct/>
        <w:topLinePunct w:val="0"/>
        <w:autoSpaceDE/>
        <w:autoSpaceDN/>
        <w:bidi w:val="0"/>
        <w:adjustRightInd w:val="0"/>
        <w:snapToGrid w:val="0"/>
        <w:ind w:left="0"/>
        <w:textAlignment w:val="auto"/>
        <w:rPr>
          <w:rFonts w:hint="eastAsia" w:cs="Times New Roman"/>
          <w:b w:val="0"/>
          <w:bCs w:val="0"/>
          <w:color w:val="auto"/>
          <w:spacing w:val="-4"/>
          <w:sz w:val="24"/>
          <w:szCs w:val="24"/>
          <w:lang w:val="en-US" w:eastAsia="zh-CN"/>
        </w:rPr>
      </w:pPr>
      <w:r>
        <w:rPr>
          <w:rFonts w:hint="default" w:ascii="Times New Roman" w:hAnsi="Times New Roman" w:cs="Times New Roman"/>
          <w:color w:val="auto"/>
          <w:szCs w:val="24"/>
        </w:rPr>
        <w:t>因</w:t>
      </w:r>
      <w:r>
        <w:rPr>
          <w:rFonts w:hint="eastAsia" w:cs="Times New Roman"/>
          <w:color w:val="auto"/>
          <w:szCs w:val="24"/>
          <w:lang w:eastAsia="zh-CN"/>
        </w:rPr>
        <w:t>广安市过境高速公路东环线及渝广高速支线（</w:t>
      </w:r>
      <w:r>
        <w:rPr>
          <w:rFonts w:hint="eastAsia" w:cs="Times New Roman"/>
          <w:color w:val="auto"/>
          <w:szCs w:val="24"/>
          <w:lang w:val="en-US" w:eastAsia="zh-CN"/>
        </w:rPr>
        <w:t>重庆合川</w:t>
      </w:r>
      <w:r>
        <w:rPr>
          <w:rFonts w:hint="eastAsia" w:cs="Times New Roman"/>
          <w:color w:val="auto"/>
          <w:szCs w:val="24"/>
          <w:lang w:eastAsia="zh-CN"/>
        </w:rPr>
        <w:t>境）</w:t>
      </w:r>
      <w:r>
        <w:rPr>
          <w:rFonts w:hint="default" w:ascii="Times New Roman" w:hAnsi="Times New Roman" w:cs="Times New Roman"/>
          <w:color w:val="auto"/>
          <w:szCs w:val="24"/>
        </w:rPr>
        <w:t>已建成运行多年，已于</w:t>
      </w:r>
      <w:r>
        <w:rPr>
          <w:rFonts w:hint="default" w:ascii="Times New Roman" w:hAnsi="Times New Roman" w:cs="Times New Roman"/>
          <w:color w:val="auto"/>
          <w:szCs w:val="24"/>
          <w:lang w:eastAsia="zh-CN"/>
        </w:rPr>
        <w:t>20</w:t>
      </w:r>
      <w:r>
        <w:rPr>
          <w:rFonts w:hint="eastAsia" w:cs="Times New Roman"/>
          <w:color w:val="auto"/>
          <w:szCs w:val="24"/>
          <w:lang w:val="en-US" w:eastAsia="zh-CN"/>
        </w:rPr>
        <w:t>21</w:t>
      </w:r>
      <w:r>
        <w:rPr>
          <w:rFonts w:hint="default" w:ascii="Times New Roman" w:hAnsi="Times New Roman" w:cs="Times New Roman"/>
          <w:color w:val="auto"/>
          <w:szCs w:val="24"/>
          <w:lang w:eastAsia="zh-CN"/>
        </w:rPr>
        <w:t>年</w:t>
      </w:r>
      <w:r>
        <w:rPr>
          <w:rFonts w:hint="eastAsia" w:cs="Times New Roman"/>
          <w:color w:val="auto"/>
          <w:szCs w:val="24"/>
          <w:lang w:val="en-US" w:eastAsia="zh-CN"/>
        </w:rPr>
        <w:t>12</w:t>
      </w:r>
      <w:r>
        <w:rPr>
          <w:rFonts w:hint="default" w:ascii="Times New Roman" w:hAnsi="Times New Roman" w:cs="Times New Roman"/>
          <w:color w:val="auto"/>
          <w:szCs w:val="24"/>
          <w:lang w:eastAsia="zh-CN"/>
        </w:rPr>
        <w:t>月完成</w:t>
      </w:r>
      <w:r>
        <w:rPr>
          <w:rFonts w:hint="default" w:ascii="Times New Roman" w:hAnsi="Times New Roman" w:cs="Times New Roman"/>
          <w:color w:val="auto"/>
          <w:szCs w:val="24"/>
        </w:rPr>
        <w:t>水土保持设施验收。根据现场调查，在工程影响范围内，未发现有植物种群消失或灭绝的现象，未影响古树名木，种植植物均为乡土景观植物，不涉及外来物种</w:t>
      </w:r>
      <w:r>
        <w:rPr>
          <w:rFonts w:hint="default" w:ascii="Times New Roman" w:hAnsi="Times New Roman" w:cs="Times New Roman"/>
          <w:color w:val="auto"/>
          <w:szCs w:val="24"/>
          <w:lang w:eastAsia="zh-CN"/>
        </w:rPr>
        <w:t>。</w:t>
      </w:r>
      <w:r>
        <w:rPr>
          <w:rFonts w:hint="default" w:ascii="Times New Roman" w:hAnsi="Times New Roman" w:cs="Times New Roman"/>
          <w:color w:val="auto"/>
          <w:szCs w:val="24"/>
        </w:rPr>
        <w:t>目前绿化措施的效果较好。</w:t>
      </w:r>
    </w:p>
    <w:p w14:paraId="1DA34254">
      <w:pPr>
        <w:pStyle w:val="3"/>
        <w:numPr>
          <w:ilvl w:val="0"/>
          <w:numId w:val="0"/>
        </w:numPr>
        <w:ind w:left="578" w:leftChars="0" w:hanging="578" w:firstLineChars="0"/>
        <w:rPr>
          <w:rFonts w:hint="default" w:ascii="Times New Roman" w:hAnsi="Times New Roman" w:cs="Times New Roman"/>
          <w:color w:val="auto"/>
        </w:rPr>
      </w:pPr>
      <w:bookmarkStart w:id="101" w:name="_Toc21487"/>
      <w:bookmarkStart w:id="102" w:name="_Toc23491"/>
      <w:r>
        <w:rPr>
          <w:rFonts w:hint="eastAsia" w:ascii="Times New Roman" w:hAnsi="Times New Roman" w:cs="Times New Roman"/>
          <w:b/>
          <w:bCs/>
          <w:color w:val="auto"/>
          <w:kern w:val="2"/>
          <w:sz w:val="32"/>
          <w:szCs w:val="32"/>
          <w:lang w:val="en-US" w:eastAsia="zh-CN" w:bidi="ar-SA"/>
        </w:rPr>
        <w:t>5.2</w:t>
      </w:r>
      <w:r>
        <w:rPr>
          <w:rFonts w:hint="default" w:ascii="Times New Roman" w:hAnsi="Times New Roman" w:cs="Times New Roman"/>
          <w:color w:val="auto"/>
        </w:rPr>
        <w:t>工程建设对陆生动物的影响调查</w:t>
      </w:r>
      <w:bookmarkEnd w:id="101"/>
      <w:bookmarkEnd w:id="102"/>
    </w:p>
    <w:p w14:paraId="7C9B35E3">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5.2.1</w:t>
      </w:r>
      <w:r>
        <w:rPr>
          <w:rFonts w:hint="default" w:ascii="Times New Roman" w:hAnsi="Times New Roman" w:cs="Times New Roman"/>
          <w:color w:val="auto"/>
        </w:rPr>
        <w:t>陆生动物现状调查</w:t>
      </w:r>
    </w:p>
    <w:p w14:paraId="1C2B170D">
      <w:pPr>
        <w:numPr>
          <w:ilvl w:val="2"/>
          <w:numId w:val="0"/>
        </w:numPr>
        <w:ind w:left="720" w:leftChars="0" w:hanging="720" w:firstLineChars="0"/>
        <w:outlineLvl w:val="9"/>
        <w:rPr>
          <w:rFonts w:hint="eastAsia" w:ascii="Times New Roman" w:hAnsi="Times New Roman" w:cs="Times New Roman"/>
          <w:b/>
          <w:bCs/>
          <w:color w:val="auto"/>
          <w:kern w:val="2"/>
          <w:sz w:val="30"/>
          <w:szCs w:val="30"/>
          <w:lang w:val="en-US" w:eastAsia="zh-CN" w:bidi="ar-SA"/>
        </w:rPr>
      </w:pPr>
      <w:r>
        <w:rPr>
          <w:rFonts w:hint="eastAsia" w:ascii="Times New Roman" w:hAnsi="Times New Roman" w:eastAsia="宋体" w:cs="Times New Roman"/>
          <w:color w:val="auto"/>
          <w:szCs w:val="24"/>
          <w:lang w:val="en-US" w:eastAsia="zh-CN"/>
        </w:rPr>
        <w:t>1、</w:t>
      </w:r>
      <w:r>
        <w:rPr>
          <w:rFonts w:hint="default" w:ascii="Times New Roman" w:hAnsi="Times New Roman" w:eastAsia="宋体" w:cs="Times New Roman"/>
          <w:color w:val="auto"/>
          <w:szCs w:val="24"/>
          <w:lang w:val="en-US" w:eastAsia="zh-CN"/>
        </w:rPr>
        <w:t>区域动物种类多样性</w:t>
      </w:r>
      <w:r>
        <w:rPr>
          <w:rFonts w:hint="eastAsia" w:ascii="Times New Roman" w:hAnsi="Times New Roman" w:cs="Times New Roman"/>
          <w:b/>
          <w:bCs/>
          <w:color w:val="auto"/>
          <w:kern w:val="2"/>
          <w:sz w:val="30"/>
          <w:szCs w:val="30"/>
          <w:lang w:val="en-US" w:eastAsia="zh-CN" w:bidi="ar-SA"/>
        </w:rPr>
        <w:t>​</w:t>
      </w:r>
    </w:p>
    <w:p w14:paraId="10F7E20E">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由于项目</w:t>
      </w:r>
      <w:r>
        <w:rPr>
          <w:rFonts w:hint="eastAsia" w:cs="Times New Roman"/>
          <w:b w:val="0"/>
          <w:bCs w:val="0"/>
          <w:color w:val="auto"/>
          <w:spacing w:val="-4"/>
          <w:sz w:val="24"/>
          <w:szCs w:val="24"/>
          <w:lang w:val="en-US" w:eastAsia="zh-CN"/>
        </w:rPr>
        <w:t>调查范围内</w:t>
      </w:r>
      <w:r>
        <w:rPr>
          <w:rFonts w:hint="eastAsia" w:ascii="Times New Roman" w:hAnsi="Times New Roman" w:cs="Times New Roman"/>
          <w:color w:val="auto"/>
          <w:lang w:val="en-US" w:eastAsia="zh-CN"/>
        </w:rPr>
        <w:t>现有土地开发利用程度较高，人类活动对当地野生动物影响较大，野生动物组成比较简单，种类较少，多为鸟类和小型啮齿类动物，鸟类繁殖期多在食物资源丰富的春夏季，啮齿类动物多无固定繁殖期，蛇类越冬期主要在11月至次年4月。</w:t>
      </w:r>
    </w:p>
    <w:p w14:paraId="786A7366">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ascii="Times New Roman" w:hAnsi="Times New Roman" w:eastAsia="宋体" w:cs="Times New Roman"/>
          <w:color w:val="auto"/>
          <w:szCs w:val="24"/>
          <w:lang w:val="en-US" w:eastAsia="zh-CN"/>
        </w:rPr>
        <w:t>经实地调查、访问并结合相关历史资料</w:t>
      </w:r>
      <w:r>
        <w:rPr>
          <w:rFonts w:hint="eastAsia" w:ascii="Times New Roman" w:hAnsi="Times New Roman" w:cs="Times New Roman"/>
          <w:color w:val="auto"/>
          <w:lang w:val="en-US" w:eastAsia="zh-CN"/>
        </w:rPr>
        <w:t>，</w:t>
      </w:r>
      <w:r>
        <w:rPr>
          <w:rFonts w:hint="eastAsia" w:cs="Times New Roman"/>
          <w:b w:val="0"/>
          <w:bCs w:val="0"/>
          <w:color w:val="auto"/>
          <w:spacing w:val="-4"/>
          <w:sz w:val="24"/>
          <w:szCs w:val="24"/>
          <w:lang w:val="en-US" w:eastAsia="zh-CN"/>
        </w:rPr>
        <w:t>调查范围内</w:t>
      </w:r>
      <w:r>
        <w:rPr>
          <w:rFonts w:hint="eastAsia" w:ascii="Times New Roman" w:hAnsi="Times New Roman" w:cs="Times New Roman"/>
          <w:color w:val="auto"/>
          <w:lang w:val="en-US" w:eastAsia="zh-CN"/>
        </w:rPr>
        <w:t>及周边物种组成如下</w:t>
      </w:r>
      <w:r>
        <w:rPr>
          <w:rFonts w:hint="eastAsia" w:cs="Times New Roman"/>
          <w:color w:val="auto"/>
          <w:lang w:val="en-US" w:eastAsia="zh-CN"/>
        </w:rPr>
        <w:t>：</w:t>
      </w:r>
    </w:p>
    <w:p w14:paraId="2FD02299">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（1）两栖类</w:t>
      </w:r>
    </w:p>
    <w:p w14:paraId="6DAAD395">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cs="Times New Roman"/>
          <w:b w:val="0"/>
          <w:bCs w:val="0"/>
          <w:color w:val="auto"/>
          <w:spacing w:val="-4"/>
          <w:sz w:val="24"/>
          <w:szCs w:val="24"/>
          <w:lang w:val="en-US" w:eastAsia="zh-CN"/>
        </w:rPr>
        <w:t>调查范围内</w:t>
      </w:r>
      <w:r>
        <w:rPr>
          <w:rFonts w:hint="eastAsia" w:ascii="Times New Roman" w:hAnsi="Times New Roman" w:cs="Times New Roman"/>
          <w:color w:val="auto"/>
          <w:lang w:val="en-US" w:eastAsia="zh-CN"/>
        </w:rPr>
        <w:t>两栖动物主要为蟾蜍科、蛙科，评价区内无国家级和市级保护两栖物种。</w:t>
      </w:r>
    </w:p>
    <w:p w14:paraId="2192F809">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（2）爬行类</w:t>
      </w:r>
    </w:p>
    <w:p w14:paraId="1C163DDD">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cs="Times New Roman"/>
          <w:b w:val="0"/>
          <w:bCs w:val="0"/>
          <w:color w:val="auto"/>
          <w:spacing w:val="-4"/>
          <w:sz w:val="24"/>
          <w:szCs w:val="24"/>
          <w:lang w:val="en-US" w:eastAsia="zh-CN"/>
        </w:rPr>
        <w:t>调查范围内</w:t>
      </w:r>
      <w:r>
        <w:rPr>
          <w:rFonts w:hint="eastAsia" w:ascii="Times New Roman" w:hAnsi="Times New Roman" w:cs="Times New Roman"/>
          <w:color w:val="auto"/>
          <w:lang w:val="en-US" w:eastAsia="zh-CN"/>
        </w:rPr>
        <w:t>主要分布游蛇科、壁虎科。有重庆市市级保护物种1种：乌梢蛇。</w:t>
      </w:r>
    </w:p>
    <w:p w14:paraId="21D931F8">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（3）鸟类</w:t>
      </w:r>
    </w:p>
    <w:p w14:paraId="3A255D2D">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cs="Times New Roman"/>
          <w:b w:val="0"/>
          <w:bCs w:val="0"/>
          <w:color w:val="auto"/>
          <w:spacing w:val="-4"/>
          <w:sz w:val="24"/>
          <w:szCs w:val="24"/>
          <w:lang w:val="en-US" w:eastAsia="zh-CN"/>
        </w:rPr>
        <w:t>调查范围内</w:t>
      </w:r>
      <w:r>
        <w:rPr>
          <w:rFonts w:hint="eastAsia" w:ascii="Times New Roman" w:hAnsi="Times New Roman" w:cs="Times New Roman"/>
          <w:color w:val="auto"/>
          <w:lang w:val="en-US" w:eastAsia="zh-CN"/>
        </w:rPr>
        <w:t>鸟类以雀形目为主。常见的有画眉科、鸫科等；无国家级保护物种，有重庆市市级保护物种1种：四声杜鹃。</w:t>
      </w:r>
    </w:p>
    <w:p w14:paraId="2413B5E4">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（4）兽类</w:t>
      </w:r>
    </w:p>
    <w:p w14:paraId="7375A5BC">
      <w:pPr>
        <w:keepNext w:val="0"/>
        <w:keepLines w:val="0"/>
        <w:pageBreakBefore w:val="0"/>
        <w:widowControl w:val="0"/>
        <w:kinsoku/>
        <w:wordWrap/>
        <w:overflowPunct/>
        <w:topLinePunct w:val="0"/>
        <w:autoSpaceDE/>
        <w:autoSpaceDN/>
        <w:bidi w:val="0"/>
        <w:adjustRightInd w:val="0"/>
        <w:snapToGrid w:val="0"/>
        <w:ind w:left="0"/>
        <w:textAlignment w:val="auto"/>
        <w:rPr>
          <w:rFonts w:hint="eastAsia" w:ascii="Times New Roman" w:hAnsi="Times New Roman" w:cs="Times New Roman"/>
          <w:color w:val="auto"/>
          <w:lang w:val="en-US" w:eastAsia="zh-CN"/>
        </w:rPr>
      </w:pPr>
      <w:r>
        <w:rPr>
          <w:rFonts w:hint="eastAsia" w:cs="Times New Roman"/>
          <w:b w:val="0"/>
          <w:bCs w:val="0"/>
          <w:color w:val="auto"/>
          <w:spacing w:val="-4"/>
          <w:sz w:val="24"/>
          <w:szCs w:val="24"/>
          <w:lang w:val="en-US" w:eastAsia="zh-CN"/>
        </w:rPr>
        <w:t>调查范围内</w:t>
      </w:r>
      <w:r>
        <w:rPr>
          <w:rFonts w:hint="eastAsia" w:ascii="Times New Roman" w:hAnsi="Times New Roman" w:cs="Times New Roman"/>
          <w:color w:val="auto"/>
          <w:lang w:val="en-US" w:eastAsia="zh-CN"/>
        </w:rPr>
        <w:t>兽类较少，主要为小型兽类（如兔目、啮齿目等）为主，草兔、小家鼠等，多与人类的经济活动区重叠。有重庆市市级保护物种1种：黄鼬。</w:t>
      </w:r>
    </w:p>
    <w:p w14:paraId="56FC24A0">
      <w:pPr>
        <w:bidi w:val="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w:t>
      </w:r>
      <w:r>
        <w:rPr>
          <w:rFonts w:hint="eastAsia" w:cs="Times New Roman"/>
          <w:color w:val="auto"/>
          <w:sz w:val="24"/>
          <w:highlight w:val="none"/>
          <w:lang w:val="en-US" w:eastAsia="zh-CN"/>
        </w:rPr>
        <w:t>调查</w:t>
      </w:r>
      <w:r>
        <w:rPr>
          <w:rFonts w:hint="default" w:ascii="Times New Roman" w:hAnsi="Times New Roman" w:eastAsia="宋体" w:cs="Times New Roman"/>
          <w:color w:val="auto"/>
          <w:sz w:val="24"/>
          <w:highlight w:val="none"/>
          <w:lang w:val="en-US" w:eastAsia="zh-CN"/>
        </w:rPr>
        <w:t>范围内重点保护、濒危、特有的野生动物</w:t>
      </w:r>
      <w:r>
        <w:rPr>
          <w:rFonts w:hint="eastAsia" w:cs="Times New Roman"/>
          <w:color w:val="auto"/>
          <w:sz w:val="24"/>
          <w:highlight w:val="none"/>
          <w:lang w:val="en-US" w:eastAsia="zh-CN"/>
        </w:rPr>
        <w:t>：</w:t>
      </w:r>
    </w:p>
    <w:p w14:paraId="1E7A07A2">
      <w:pPr>
        <w:bidi w:val="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根据实际调查及现场复核，参照</w:t>
      </w:r>
      <w:r>
        <w:rPr>
          <w:rFonts w:hint="default" w:ascii="Times New Roman" w:hAnsi="Times New Roman" w:eastAsia="宋体" w:cs="Times New Roman"/>
          <w:color w:val="auto"/>
          <w:highlight w:val="none"/>
          <w:lang w:val="en-US" w:eastAsia="zh-CN"/>
        </w:rPr>
        <w:t>《中国生物多样性红色名录》、</w:t>
      </w:r>
      <w:r>
        <w:rPr>
          <w:rFonts w:hint="default" w:ascii="Times New Roman" w:hAnsi="Times New Roman" w:eastAsia="宋体" w:cs="Times New Roman"/>
          <w:color w:val="auto"/>
          <w:sz w:val="24"/>
          <w:highlight w:val="none"/>
          <w:lang w:val="en-US" w:eastAsia="zh-CN"/>
        </w:rPr>
        <w:t>《国家重点保护野生动物名录2021》、《重庆市重点保护野生动物名录》</w:t>
      </w:r>
      <w:r>
        <w:rPr>
          <w:rFonts w:hint="default" w:ascii="Times New Roman" w:hAnsi="Times New Roman" w:eastAsia="宋体" w:cs="Times New Roman"/>
          <w:color w:val="auto"/>
          <w:highlight w:val="none"/>
        </w:rPr>
        <w:t>（渝林规范﹝2023﹞2号</w:t>
      </w:r>
      <w:r>
        <w:rPr>
          <w:rFonts w:hint="default" w:ascii="Times New Roman" w:hAnsi="Times New Roman" w:eastAsia="宋体" w:cs="Times New Roman"/>
          <w:bCs/>
          <w:color w:val="auto"/>
          <w:highlight w:val="none"/>
        </w:rPr>
        <w:t>）</w:t>
      </w:r>
      <w:r>
        <w:rPr>
          <w:rFonts w:hint="default" w:ascii="Times New Roman" w:hAnsi="Times New Roman" w:eastAsia="宋体" w:cs="Times New Roman"/>
          <w:color w:val="auto"/>
          <w:sz w:val="24"/>
          <w:highlight w:val="none"/>
          <w:lang w:val="en-US" w:eastAsia="zh-CN"/>
        </w:rPr>
        <w:t>及相关科考资料，在项目评价范围内，无国家</w:t>
      </w:r>
      <w:r>
        <w:rPr>
          <w:rFonts w:hint="default" w:ascii="Times New Roman" w:hAnsi="Times New Roman" w:eastAsia="宋体" w:cs="Times New Roman"/>
          <w:color w:val="auto"/>
          <w:highlight w:val="none"/>
          <w:lang w:val="en-US" w:eastAsia="zh-CN"/>
        </w:rPr>
        <w:t>重点保护野生动物分布</w:t>
      </w:r>
      <w:r>
        <w:rPr>
          <w:rFonts w:hint="default" w:ascii="Times New Roman" w:hAnsi="Times New Roman" w:eastAsia="宋体" w:cs="Times New Roman"/>
          <w:color w:val="auto"/>
          <w:sz w:val="24"/>
          <w:highlight w:val="none"/>
          <w:lang w:val="en-US" w:eastAsia="zh-CN"/>
        </w:rPr>
        <w:t>。</w:t>
      </w:r>
    </w:p>
    <w:p w14:paraId="38033F4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64" w:firstLineChars="200"/>
        <w:jc w:val="both"/>
        <w:textAlignment w:val="baseline"/>
        <w:rPr>
          <w:rFonts w:hint="default" w:ascii="Times New Roman" w:hAnsi="Times New Roman" w:eastAsia="宋体" w:cs="Times New Roman"/>
          <w:color w:val="auto"/>
          <w:sz w:val="24"/>
          <w:highlight w:val="none"/>
          <w:lang w:eastAsia="zh-CN"/>
        </w:rPr>
      </w:pPr>
      <w:r>
        <w:rPr>
          <w:rFonts w:hint="eastAsia" w:cs="Times New Roman"/>
          <w:b w:val="0"/>
          <w:bCs w:val="0"/>
          <w:color w:val="auto"/>
          <w:spacing w:val="-4"/>
          <w:sz w:val="24"/>
          <w:szCs w:val="24"/>
          <w:lang w:val="en-US" w:eastAsia="zh-CN"/>
        </w:rPr>
        <w:t>调查范围内</w:t>
      </w:r>
      <w:r>
        <w:rPr>
          <w:rFonts w:hint="default" w:ascii="Times New Roman" w:hAnsi="Times New Roman" w:eastAsia="宋体" w:cs="Times New Roman"/>
          <w:color w:val="auto"/>
          <w:sz w:val="24"/>
          <w:highlight w:val="none"/>
          <w:lang w:eastAsia="zh-CN"/>
        </w:rPr>
        <w:t>有重庆市级重点保护野生兽类</w:t>
      </w:r>
      <w:r>
        <w:rPr>
          <w:rFonts w:hint="default" w:ascii="Times New Roman" w:hAnsi="Times New Roman" w:eastAsia="宋体" w:cs="Times New Roman"/>
          <w:color w:val="auto"/>
          <w:sz w:val="24"/>
          <w:highlight w:val="none"/>
          <w:lang w:val="en-US" w:eastAsia="zh-CN"/>
        </w:rPr>
        <w:t>1种</w:t>
      </w:r>
      <w:r>
        <w:rPr>
          <w:rFonts w:hint="default" w:ascii="Times New Roman" w:hAnsi="Times New Roman" w:eastAsia="宋体" w:cs="Times New Roman"/>
          <w:color w:val="auto"/>
          <w:sz w:val="24"/>
          <w:highlight w:val="none"/>
          <w:lang w:eastAsia="zh-CN"/>
        </w:rPr>
        <w:t>：黄鼬；</w:t>
      </w:r>
      <w:r>
        <w:rPr>
          <w:rFonts w:hint="default" w:ascii="Times New Roman" w:hAnsi="Times New Roman" w:eastAsia="宋体" w:cs="Times New Roman"/>
          <w:color w:val="auto"/>
          <w:sz w:val="24"/>
          <w:highlight w:val="none"/>
          <w:lang w:val="en-US" w:eastAsia="zh-CN"/>
        </w:rPr>
        <w:t>鸟</w:t>
      </w:r>
      <w:r>
        <w:rPr>
          <w:rFonts w:hint="default" w:ascii="Times New Roman" w:hAnsi="Times New Roman" w:eastAsia="宋体" w:cs="Times New Roman"/>
          <w:color w:val="auto"/>
          <w:sz w:val="24"/>
          <w:highlight w:val="none"/>
          <w:lang w:eastAsia="zh-CN"/>
        </w:rPr>
        <w:t>类</w:t>
      </w:r>
      <w:r>
        <w:rPr>
          <w:rFonts w:hint="default" w:ascii="Times New Roman" w:hAnsi="Times New Roman" w:eastAsia="宋体" w:cs="Times New Roman"/>
          <w:color w:val="auto"/>
          <w:sz w:val="24"/>
          <w:highlight w:val="none"/>
          <w:lang w:val="en-US" w:eastAsia="zh-CN"/>
        </w:rPr>
        <w:t>1种</w:t>
      </w:r>
      <w:r>
        <w:rPr>
          <w:rFonts w:hint="default" w:ascii="Times New Roman" w:hAnsi="Times New Roman" w:eastAsia="宋体" w:cs="Times New Roman"/>
          <w:color w:val="auto"/>
          <w:sz w:val="24"/>
          <w:highlight w:val="none"/>
          <w:lang w:eastAsia="zh-CN"/>
        </w:rPr>
        <w:t>：四声杜鹃；爬行类</w:t>
      </w:r>
      <w:r>
        <w:rPr>
          <w:rFonts w:hint="default" w:ascii="Times New Roman" w:hAnsi="Times New Roman" w:eastAsia="宋体" w:cs="Times New Roman"/>
          <w:color w:val="auto"/>
          <w:sz w:val="24"/>
          <w:highlight w:val="none"/>
          <w:lang w:val="en-US" w:eastAsia="zh-CN"/>
        </w:rPr>
        <w:t>1种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乌梢蛇</w:t>
      </w:r>
      <w:r>
        <w:rPr>
          <w:rFonts w:hint="default" w:ascii="Times New Roman" w:hAnsi="Times New Roman" w:eastAsia="宋体" w:cs="Times New Roman"/>
          <w:color w:val="auto"/>
          <w:sz w:val="24"/>
          <w:highlight w:val="none"/>
          <w:lang w:eastAsia="zh-CN"/>
        </w:rPr>
        <w:t>。</w:t>
      </w:r>
    </w:p>
    <w:p w14:paraId="3ECDF24C">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上述重要野生动物调查结果见</w:t>
      </w:r>
      <w:r>
        <w:rPr>
          <w:rFonts w:hint="eastAsia" w:ascii="Times New Roman" w:hAnsi="Times New Roman" w:eastAsia="宋体" w:cs="Times New Roman"/>
          <w:color w:val="auto"/>
          <w:sz w:val="24"/>
          <w:highlight w:val="none"/>
          <w:lang w:val="en-US" w:eastAsia="zh-CN"/>
        </w:rPr>
        <w:t>下</w:t>
      </w:r>
      <w:r>
        <w:rPr>
          <w:rFonts w:hint="default" w:ascii="Times New Roman" w:hAnsi="Times New Roman" w:eastAsia="宋体" w:cs="Times New Roman"/>
          <w:color w:val="auto"/>
          <w:sz w:val="24"/>
          <w:highlight w:val="none"/>
          <w:lang w:val="en-US" w:eastAsia="zh-CN"/>
        </w:rPr>
        <w:t>表</w:t>
      </w:r>
    </w:p>
    <w:p w14:paraId="60897DB0">
      <w:pPr>
        <w:keepNext/>
        <w:keepLines w:val="0"/>
        <w:widowControl w:val="0"/>
        <w:numPr>
          <w:ilvl w:val="0"/>
          <w:numId w:val="0"/>
        </w:numPr>
        <w:kinsoku/>
        <w:overflowPunct w:val="0"/>
        <w:autoSpaceDE w:val="0"/>
        <w:autoSpaceDN w:val="0"/>
        <w:bidi w:val="0"/>
        <w:adjustRightInd w:val="0"/>
        <w:snapToGrid w:val="0"/>
        <w:spacing w:line="240" w:lineRule="auto"/>
        <w:ind w:left="0" w:leftChars="0" w:firstLine="0" w:firstLineChars="0"/>
        <w:jc w:val="center"/>
        <w:textAlignment w:val="baseline"/>
        <w:outlineLvl w:val="9"/>
        <w:rPr>
          <w:rFonts w:hint="default" w:ascii="Times New Roman" w:hAnsi="Times New Roman" w:eastAsia="宋体" w:cs="Times New Roman"/>
          <w:b/>
          <w:bCs/>
          <w:snapToGrid w:val="0"/>
          <w:color w:val="auto"/>
          <w:kern w:val="0"/>
          <w:sz w:val="21"/>
          <w:szCs w:val="21"/>
          <w:highlight w:val="none"/>
          <w:lang w:val="en-US" w:eastAsia="zh-CN" w:bidi="ar-SA"/>
        </w:rPr>
      </w:pPr>
      <w:r>
        <w:rPr>
          <w:rFonts w:hint="default" w:ascii="Times New Roman" w:hAnsi="Times New Roman" w:eastAsia="宋体" w:cs="Times New Roman"/>
          <w:b/>
          <w:bCs/>
          <w:snapToGrid w:val="0"/>
          <w:color w:val="auto"/>
          <w:kern w:val="0"/>
          <w:sz w:val="21"/>
          <w:szCs w:val="21"/>
          <w:highlight w:val="none"/>
          <w:lang w:val="en-US" w:eastAsia="zh-CN" w:bidi="ar-SA"/>
        </w:rPr>
        <w:t>表</w:t>
      </w:r>
      <w:r>
        <w:rPr>
          <w:rFonts w:hint="eastAsia" w:ascii="Times New Roman" w:hAnsi="Times New Roman" w:eastAsia="宋体" w:cs="Times New Roman"/>
          <w:b/>
          <w:bCs/>
          <w:snapToGrid w:val="0"/>
          <w:color w:val="auto"/>
          <w:kern w:val="0"/>
          <w:sz w:val="21"/>
          <w:szCs w:val="21"/>
          <w:highlight w:val="none"/>
          <w:lang w:val="en-US" w:eastAsia="zh-CN" w:bidi="ar-SA"/>
        </w:rPr>
        <w:t>5.2-1</w:t>
      </w:r>
      <w:r>
        <w:rPr>
          <w:rFonts w:hint="default" w:ascii="Times New Roman" w:hAnsi="Times New Roman" w:eastAsia="宋体" w:cs="Times New Roman"/>
          <w:b/>
          <w:bCs/>
          <w:snapToGrid w:val="0"/>
          <w:color w:val="auto"/>
          <w:kern w:val="0"/>
          <w:sz w:val="21"/>
          <w:szCs w:val="21"/>
          <w:highlight w:val="none"/>
          <w:lang w:val="en-US" w:eastAsia="zh-CN" w:bidi="ar-SA"/>
        </w:rPr>
        <w:t xml:space="preserve">  重要野生动物调查结果统计表</w:t>
      </w:r>
    </w:p>
    <w:tbl>
      <w:tblPr>
        <w:tblStyle w:val="21"/>
        <w:tblW w:w="48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2103"/>
        <w:gridCol w:w="909"/>
        <w:gridCol w:w="770"/>
        <w:gridCol w:w="679"/>
        <w:gridCol w:w="1740"/>
        <w:gridCol w:w="601"/>
        <w:gridCol w:w="929"/>
      </w:tblGrid>
      <w:tr w14:paraId="72A41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77D5E45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序号</w:t>
            </w:r>
          </w:p>
        </w:tc>
        <w:tc>
          <w:tcPr>
            <w:tcW w:w="2309" w:type="dxa"/>
            <w:tcBorders>
              <w:tl2br w:val="nil"/>
              <w:tr2bl w:val="nil"/>
            </w:tcBorders>
            <w:noWrap w:val="0"/>
            <w:vAlign w:val="center"/>
          </w:tcPr>
          <w:p w14:paraId="3B8F5D1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物种名称</w:t>
            </w:r>
          </w:p>
        </w:tc>
        <w:tc>
          <w:tcPr>
            <w:tcW w:w="1119" w:type="dxa"/>
            <w:tcBorders>
              <w:tl2br w:val="nil"/>
              <w:tr2bl w:val="nil"/>
            </w:tcBorders>
            <w:noWrap w:val="0"/>
            <w:vAlign w:val="center"/>
          </w:tcPr>
          <w:p w14:paraId="1A318E3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保护级别</w:t>
            </w:r>
          </w:p>
        </w:tc>
        <w:tc>
          <w:tcPr>
            <w:tcW w:w="920" w:type="dxa"/>
            <w:tcBorders>
              <w:tl2br w:val="nil"/>
              <w:tr2bl w:val="nil"/>
            </w:tcBorders>
            <w:noWrap w:val="0"/>
            <w:vAlign w:val="center"/>
          </w:tcPr>
          <w:p w14:paraId="5F5F719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濒危等级</w:t>
            </w:r>
          </w:p>
        </w:tc>
        <w:tc>
          <w:tcPr>
            <w:tcW w:w="789" w:type="dxa"/>
            <w:tcBorders>
              <w:tl2br w:val="nil"/>
              <w:tr2bl w:val="nil"/>
            </w:tcBorders>
            <w:noWrap w:val="0"/>
            <w:vAlign w:val="center"/>
          </w:tcPr>
          <w:p w14:paraId="08938FE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特有种</w:t>
            </w:r>
          </w:p>
        </w:tc>
        <w:tc>
          <w:tcPr>
            <w:tcW w:w="2221" w:type="dxa"/>
            <w:tcBorders>
              <w:tl2br w:val="nil"/>
              <w:tr2bl w:val="nil"/>
            </w:tcBorders>
            <w:noWrap w:val="0"/>
            <w:vAlign w:val="center"/>
          </w:tcPr>
          <w:p w14:paraId="04F487A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分布区域</w:t>
            </w:r>
          </w:p>
        </w:tc>
        <w:tc>
          <w:tcPr>
            <w:tcW w:w="677" w:type="dxa"/>
            <w:tcBorders>
              <w:tl2br w:val="nil"/>
              <w:tr2bl w:val="nil"/>
            </w:tcBorders>
            <w:noWrap w:val="0"/>
            <w:vAlign w:val="center"/>
          </w:tcPr>
          <w:p w14:paraId="6BCC6E3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资料来源</w:t>
            </w:r>
          </w:p>
        </w:tc>
        <w:tc>
          <w:tcPr>
            <w:tcW w:w="1057" w:type="dxa"/>
            <w:tcBorders>
              <w:tl2br w:val="nil"/>
              <w:tr2bl w:val="nil"/>
            </w:tcBorders>
            <w:noWrap w:val="0"/>
            <w:vAlign w:val="center"/>
          </w:tcPr>
          <w:p w14:paraId="2657FA6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工程占用情况</w:t>
            </w:r>
          </w:p>
        </w:tc>
      </w:tr>
      <w:tr w14:paraId="3B956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7BCED3C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w:t>
            </w:r>
          </w:p>
        </w:tc>
        <w:tc>
          <w:tcPr>
            <w:tcW w:w="2309" w:type="dxa"/>
            <w:tcBorders>
              <w:tl2br w:val="nil"/>
              <w:tr2bl w:val="nil"/>
            </w:tcBorders>
            <w:noWrap w:val="0"/>
            <w:vAlign w:val="center"/>
          </w:tcPr>
          <w:p w14:paraId="083AF82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四声杜鹃</w:t>
            </w:r>
            <w:r>
              <w:rPr>
                <w:rFonts w:hint="default" w:ascii="Times New Roman" w:hAnsi="Times New Roman" w:eastAsia="宋体" w:cs="Times New Roman"/>
                <w:i/>
                <w:iCs/>
                <w:snapToGrid w:val="0"/>
                <w:color w:val="auto"/>
                <w:kern w:val="0"/>
                <w:sz w:val="21"/>
                <w:szCs w:val="21"/>
                <w:highlight w:val="none"/>
                <w:lang w:val="en-US" w:eastAsia="zh-CN" w:bidi="ar-SA"/>
              </w:rPr>
              <w:t>Cuculus micropterus</w:t>
            </w:r>
          </w:p>
        </w:tc>
        <w:tc>
          <w:tcPr>
            <w:tcW w:w="1119" w:type="dxa"/>
            <w:tcBorders>
              <w:tl2br w:val="nil"/>
              <w:tr2bl w:val="nil"/>
            </w:tcBorders>
            <w:noWrap w:val="0"/>
            <w:vAlign w:val="center"/>
          </w:tcPr>
          <w:p w14:paraId="7982CD6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市级</w:t>
            </w:r>
          </w:p>
        </w:tc>
        <w:tc>
          <w:tcPr>
            <w:tcW w:w="920" w:type="dxa"/>
            <w:tcBorders>
              <w:tl2br w:val="nil"/>
              <w:tr2bl w:val="nil"/>
            </w:tcBorders>
            <w:noWrap w:val="0"/>
            <w:vAlign w:val="center"/>
          </w:tcPr>
          <w:p w14:paraId="1A43898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无危</w:t>
            </w:r>
          </w:p>
        </w:tc>
        <w:tc>
          <w:tcPr>
            <w:tcW w:w="789" w:type="dxa"/>
            <w:tcBorders>
              <w:tl2br w:val="nil"/>
              <w:tr2bl w:val="nil"/>
            </w:tcBorders>
            <w:noWrap w:val="0"/>
            <w:vAlign w:val="center"/>
          </w:tcPr>
          <w:p w14:paraId="15BCEBF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否</w:t>
            </w:r>
          </w:p>
        </w:tc>
        <w:tc>
          <w:tcPr>
            <w:tcW w:w="2221" w:type="dxa"/>
            <w:tcBorders>
              <w:tl2br w:val="nil"/>
              <w:tr2bl w:val="nil"/>
            </w:tcBorders>
            <w:noWrap w:val="0"/>
            <w:vAlign w:val="center"/>
          </w:tcPr>
          <w:p w14:paraId="7CECE14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评价区林地偶有个体</w:t>
            </w:r>
            <w:r>
              <w:rPr>
                <w:rFonts w:hint="default" w:ascii="Times New Roman" w:hAnsi="Times New Roman" w:eastAsia="宋体" w:cs="Times New Roman"/>
                <w:snapToGrid w:val="0"/>
                <w:color w:val="auto"/>
                <w:kern w:val="0"/>
                <w:sz w:val="21"/>
                <w:szCs w:val="21"/>
                <w:highlight w:val="none"/>
                <w:lang w:val="en-US" w:eastAsia="zh-CN" w:bidi="ar-SA"/>
              </w:rPr>
              <w:t>过境取食及活动，未分布栖息地，无分布生境</w:t>
            </w:r>
          </w:p>
        </w:tc>
        <w:tc>
          <w:tcPr>
            <w:tcW w:w="677" w:type="dxa"/>
            <w:vMerge w:val="restart"/>
            <w:tcBorders>
              <w:tl2br w:val="nil"/>
              <w:tr2bl w:val="nil"/>
            </w:tcBorders>
            <w:noWrap w:val="0"/>
            <w:vAlign w:val="center"/>
          </w:tcPr>
          <w:p w14:paraId="00B209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文献记录</w:t>
            </w:r>
          </w:p>
        </w:tc>
        <w:tc>
          <w:tcPr>
            <w:tcW w:w="1057" w:type="dxa"/>
            <w:vMerge w:val="restart"/>
            <w:tcBorders>
              <w:tl2br w:val="nil"/>
              <w:tr2bl w:val="nil"/>
            </w:tcBorders>
            <w:noWrap w:val="0"/>
            <w:vAlign w:val="center"/>
          </w:tcPr>
          <w:p w14:paraId="384639F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否，生境远离占地区</w:t>
            </w:r>
          </w:p>
        </w:tc>
      </w:tr>
      <w:tr w14:paraId="07C60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5CA9348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2309" w:type="dxa"/>
            <w:tcBorders>
              <w:tl2br w:val="nil"/>
              <w:tr2bl w:val="nil"/>
            </w:tcBorders>
            <w:noWrap w:val="0"/>
            <w:vAlign w:val="center"/>
          </w:tcPr>
          <w:p w14:paraId="507ABBD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黄鼬</w:t>
            </w:r>
            <w:r>
              <w:rPr>
                <w:rFonts w:hint="default" w:ascii="Times New Roman" w:hAnsi="Times New Roman" w:eastAsia="宋体" w:cs="Times New Roman"/>
                <w:i/>
                <w:iCs/>
                <w:snapToGrid w:val="0"/>
                <w:color w:val="auto"/>
                <w:kern w:val="0"/>
                <w:sz w:val="21"/>
                <w:szCs w:val="21"/>
                <w:highlight w:val="none"/>
                <w:lang w:val="en-US" w:eastAsia="zh-CN" w:bidi="ar-SA"/>
              </w:rPr>
              <w:t>Mustela sibirica</w:t>
            </w:r>
          </w:p>
        </w:tc>
        <w:tc>
          <w:tcPr>
            <w:tcW w:w="1119" w:type="dxa"/>
            <w:tcBorders>
              <w:tl2br w:val="nil"/>
              <w:tr2bl w:val="nil"/>
            </w:tcBorders>
            <w:noWrap w:val="0"/>
            <w:vAlign w:val="center"/>
          </w:tcPr>
          <w:p w14:paraId="052ECF8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市级</w:t>
            </w:r>
          </w:p>
        </w:tc>
        <w:tc>
          <w:tcPr>
            <w:tcW w:w="920" w:type="dxa"/>
            <w:tcBorders>
              <w:tl2br w:val="nil"/>
              <w:tr2bl w:val="nil"/>
            </w:tcBorders>
            <w:noWrap w:val="0"/>
            <w:vAlign w:val="center"/>
          </w:tcPr>
          <w:p w14:paraId="0817EA2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无危</w:t>
            </w:r>
          </w:p>
        </w:tc>
        <w:tc>
          <w:tcPr>
            <w:tcW w:w="789" w:type="dxa"/>
            <w:tcBorders>
              <w:tl2br w:val="nil"/>
              <w:tr2bl w:val="nil"/>
            </w:tcBorders>
            <w:noWrap w:val="0"/>
            <w:vAlign w:val="center"/>
          </w:tcPr>
          <w:p w14:paraId="1E45744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否</w:t>
            </w:r>
          </w:p>
        </w:tc>
        <w:tc>
          <w:tcPr>
            <w:tcW w:w="2221" w:type="dxa"/>
            <w:tcBorders>
              <w:tl2br w:val="nil"/>
              <w:tr2bl w:val="nil"/>
            </w:tcBorders>
            <w:noWrap w:val="0"/>
            <w:vAlign w:val="center"/>
          </w:tcPr>
          <w:p w14:paraId="163F7BE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评价区林地、灌丛偶有个体觅食、活动</w:t>
            </w:r>
          </w:p>
        </w:tc>
        <w:tc>
          <w:tcPr>
            <w:tcW w:w="677" w:type="dxa"/>
            <w:vMerge w:val="continue"/>
            <w:tcBorders>
              <w:tl2br w:val="nil"/>
              <w:tr2bl w:val="nil"/>
            </w:tcBorders>
            <w:noWrap w:val="0"/>
            <w:vAlign w:val="center"/>
          </w:tcPr>
          <w:p w14:paraId="020EFE6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c>
          <w:tcPr>
            <w:tcW w:w="1057" w:type="dxa"/>
            <w:vMerge w:val="continue"/>
            <w:tcBorders>
              <w:tl2br w:val="nil"/>
              <w:tr2bl w:val="nil"/>
            </w:tcBorders>
            <w:noWrap w:val="0"/>
            <w:vAlign w:val="center"/>
          </w:tcPr>
          <w:p w14:paraId="07605BC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r>
      <w:tr w14:paraId="74EAF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6FB6434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2309" w:type="dxa"/>
            <w:tcBorders>
              <w:tl2br w:val="nil"/>
              <w:tr2bl w:val="nil"/>
            </w:tcBorders>
            <w:noWrap w:val="0"/>
            <w:vAlign w:val="center"/>
          </w:tcPr>
          <w:p w14:paraId="3019E44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乌梢蛇</w:t>
            </w:r>
            <w:r>
              <w:rPr>
                <w:rFonts w:hint="eastAsia" w:cs="Times New Roman"/>
                <w:snapToGrid w:val="0"/>
                <w:color w:val="auto"/>
                <w:kern w:val="0"/>
                <w:sz w:val="21"/>
                <w:szCs w:val="21"/>
                <w:highlight w:val="none"/>
                <w:lang w:val="en-US" w:eastAsia="zh-CN" w:bidi="ar-SA"/>
              </w:rPr>
              <w:t>Zoaca chrysanthemides</w:t>
            </w:r>
          </w:p>
        </w:tc>
        <w:tc>
          <w:tcPr>
            <w:tcW w:w="1119" w:type="dxa"/>
            <w:tcBorders>
              <w:tl2br w:val="nil"/>
              <w:tr2bl w:val="nil"/>
            </w:tcBorders>
            <w:noWrap w:val="0"/>
            <w:vAlign w:val="center"/>
          </w:tcPr>
          <w:p w14:paraId="012CCD5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市级</w:t>
            </w:r>
          </w:p>
        </w:tc>
        <w:tc>
          <w:tcPr>
            <w:tcW w:w="920" w:type="dxa"/>
            <w:tcBorders>
              <w:tl2br w:val="nil"/>
              <w:tr2bl w:val="nil"/>
            </w:tcBorders>
            <w:noWrap w:val="0"/>
            <w:vAlign w:val="center"/>
          </w:tcPr>
          <w:p w14:paraId="4AE2C2D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易危</w:t>
            </w:r>
          </w:p>
        </w:tc>
        <w:tc>
          <w:tcPr>
            <w:tcW w:w="789" w:type="dxa"/>
            <w:tcBorders>
              <w:tl2br w:val="nil"/>
              <w:tr2bl w:val="nil"/>
            </w:tcBorders>
            <w:noWrap w:val="0"/>
            <w:vAlign w:val="center"/>
          </w:tcPr>
          <w:p w14:paraId="4EEAF6B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否</w:t>
            </w:r>
          </w:p>
        </w:tc>
        <w:tc>
          <w:tcPr>
            <w:tcW w:w="2221" w:type="dxa"/>
            <w:tcBorders>
              <w:tl2br w:val="nil"/>
              <w:tr2bl w:val="nil"/>
            </w:tcBorders>
            <w:noWrap w:val="0"/>
            <w:vAlign w:val="center"/>
          </w:tcPr>
          <w:p w14:paraId="6C110FE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评价区林地、灌丛、耕地生境偶见少数个体活动、觅食</w:t>
            </w:r>
          </w:p>
        </w:tc>
        <w:tc>
          <w:tcPr>
            <w:tcW w:w="677" w:type="dxa"/>
            <w:tcBorders>
              <w:tl2br w:val="nil"/>
              <w:tr2bl w:val="nil"/>
            </w:tcBorders>
            <w:noWrap w:val="0"/>
            <w:vAlign w:val="center"/>
          </w:tcPr>
          <w:p w14:paraId="08468A4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访问</w:t>
            </w:r>
          </w:p>
        </w:tc>
        <w:tc>
          <w:tcPr>
            <w:tcW w:w="1057" w:type="dxa"/>
            <w:vMerge w:val="continue"/>
            <w:tcBorders>
              <w:tl2br w:val="nil"/>
              <w:tr2bl w:val="nil"/>
            </w:tcBorders>
            <w:noWrap w:val="0"/>
            <w:vAlign w:val="center"/>
          </w:tcPr>
          <w:p w14:paraId="54DE495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p>
        </w:tc>
      </w:tr>
    </w:tbl>
    <w:p w14:paraId="36864BC7">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Cs w:val="24"/>
          <w:lang w:val="en-US" w:eastAsia="zh-CN"/>
        </w:rPr>
        <w:t>项目沿线</w:t>
      </w:r>
      <w:r>
        <w:rPr>
          <w:rFonts w:hint="eastAsia" w:cs="Times New Roman"/>
          <w:color w:val="auto"/>
          <w:szCs w:val="24"/>
          <w:lang w:val="en-US" w:eastAsia="zh-CN"/>
        </w:rPr>
        <w:t>调查</w:t>
      </w:r>
      <w:r>
        <w:rPr>
          <w:rFonts w:hint="eastAsia" w:ascii="Times New Roman" w:hAnsi="Times New Roman" w:eastAsia="宋体" w:cs="Times New Roman"/>
          <w:color w:val="auto"/>
          <w:szCs w:val="24"/>
          <w:lang w:val="en-US" w:eastAsia="zh-CN"/>
        </w:rPr>
        <w:t>范围内无国家重点保护野生动物及其生境集中、成规模分布。</w:t>
      </w:r>
    </w:p>
    <w:p w14:paraId="769D6D35">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营运</w:t>
      </w:r>
      <w:r>
        <w:rPr>
          <w:rFonts w:hint="default" w:ascii="Times New Roman" w:hAnsi="Times New Roman" w:eastAsia="宋体" w:cs="Times New Roman"/>
          <w:color w:val="auto"/>
          <w:sz w:val="24"/>
          <w:highlight w:val="none"/>
          <w:lang w:val="en-US" w:eastAsia="zh-CN"/>
        </w:rPr>
        <w:t>期间虽然会使项目占地影响区两栖爬行动物的种类和数量有所减少，但对整个项目区两栖爬行动物的种群数量的影响有限。一方面这些动物将迁徙</w:t>
      </w:r>
      <w:r>
        <w:rPr>
          <w:rFonts w:hint="eastAsia" w:cs="Times New Roman"/>
          <w:color w:val="auto"/>
          <w:sz w:val="24"/>
          <w:highlight w:val="none"/>
          <w:lang w:val="en-US" w:eastAsia="zh-CN"/>
        </w:rPr>
        <w:t>他</w:t>
      </w:r>
      <w:r>
        <w:rPr>
          <w:rFonts w:hint="default" w:ascii="Times New Roman" w:hAnsi="Times New Roman" w:eastAsia="宋体" w:cs="Times New Roman"/>
          <w:color w:val="auto"/>
          <w:sz w:val="24"/>
          <w:highlight w:val="none"/>
          <w:lang w:val="en-US" w:eastAsia="zh-CN"/>
        </w:rPr>
        <w:t>处，另一方面随着项目建设的完成，生境的恢复，两栖爬行动物的种群数量也很快得以恢复。</w:t>
      </w:r>
    </w:p>
    <w:p w14:paraId="27C5F8ED">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4"/>
          <w:highlight w:val="none"/>
          <w:lang w:val="en-US" w:eastAsia="zh-CN"/>
        </w:rPr>
        <w:t>调查</w:t>
      </w:r>
      <w:r>
        <w:rPr>
          <w:rFonts w:hint="default" w:ascii="Times New Roman" w:hAnsi="Times New Roman" w:eastAsia="宋体" w:cs="Times New Roman"/>
          <w:color w:val="auto"/>
          <w:sz w:val="24"/>
          <w:highlight w:val="none"/>
          <w:lang w:val="en-US" w:eastAsia="zh-CN"/>
        </w:rPr>
        <w:t>区没有鸟类集中的栖息或繁殖地。</w:t>
      </w:r>
      <w:r>
        <w:rPr>
          <w:rFonts w:hint="eastAsia" w:ascii="Times New Roman" w:hAnsi="Times New Roman" w:eastAsia="宋体" w:cs="Times New Roman"/>
          <w:color w:val="auto"/>
          <w:sz w:val="24"/>
          <w:highlight w:val="none"/>
          <w:lang w:val="en-US" w:eastAsia="zh-CN"/>
        </w:rPr>
        <w:t>营运</w:t>
      </w:r>
      <w:r>
        <w:rPr>
          <w:rFonts w:hint="default" w:ascii="Times New Roman" w:hAnsi="Times New Roman" w:eastAsia="宋体" w:cs="Times New Roman"/>
          <w:color w:val="auto"/>
          <w:sz w:val="24"/>
          <w:highlight w:val="none"/>
          <w:lang w:val="en-US" w:eastAsia="zh-CN"/>
        </w:rPr>
        <w:t>期间，人为活动、</w:t>
      </w:r>
      <w:r>
        <w:rPr>
          <w:rFonts w:hint="eastAsia" w:ascii="Times New Roman" w:hAnsi="Times New Roman" w:eastAsia="宋体" w:cs="Times New Roman"/>
          <w:color w:val="auto"/>
          <w:sz w:val="24"/>
          <w:highlight w:val="none"/>
          <w:lang w:val="en-US" w:eastAsia="zh-CN"/>
        </w:rPr>
        <w:t>交通</w:t>
      </w:r>
      <w:r>
        <w:rPr>
          <w:rFonts w:hint="default" w:ascii="Times New Roman" w:hAnsi="Times New Roman" w:eastAsia="宋体" w:cs="Times New Roman"/>
          <w:color w:val="auto"/>
          <w:sz w:val="24"/>
          <w:highlight w:val="none"/>
          <w:lang w:val="en-US" w:eastAsia="zh-CN"/>
        </w:rPr>
        <w:t>噪声等会惊吓干扰周边鸟类，鸟类会暂时避绕到影响区外觅食，由于大部分鸟类活动能力与范围较广，且迁徙方式不受本次地面路桥等建筑设施的影响，</w:t>
      </w:r>
      <w:r>
        <w:rPr>
          <w:rFonts w:hint="eastAsia" w:ascii="Times New Roman" w:hAnsi="Times New Roman" w:eastAsia="宋体" w:cs="Times New Roman"/>
          <w:color w:val="auto"/>
          <w:sz w:val="24"/>
          <w:highlight w:val="none"/>
          <w:lang w:val="en-US" w:eastAsia="zh-CN"/>
        </w:rPr>
        <w:t>且道路沿线基本为农用地，人工影响较大，</w:t>
      </w:r>
      <w:r>
        <w:rPr>
          <w:rFonts w:hint="default" w:ascii="Times New Roman" w:hAnsi="Times New Roman" w:eastAsia="宋体" w:cs="Times New Roman"/>
          <w:color w:val="auto"/>
          <w:sz w:val="24"/>
          <w:highlight w:val="none"/>
          <w:lang w:val="en-US" w:eastAsia="zh-CN"/>
        </w:rPr>
        <w:t>因此野生动物受</w:t>
      </w:r>
      <w:r>
        <w:rPr>
          <w:rFonts w:hint="eastAsia" w:ascii="Times New Roman" w:hAnsi="Times New Roman" w:eastAsia="宋体" w:cs="Times New Roman"/>
          <w:color w:val="auto"/>
          <w:sz w:val="24"/>
          <w:highlight w:val="none"/>
          <w:lang w:val="en-US" w:eastAsia="zh-CN"/>
        </w:rPr>
        <w:t>项目的</w:t>
      </w:r>
      <w:r>
        <w:rPr>
          <w:rFonts w:hint="default" w:ascii="Times New Roman" w:hAnsi="Times New Roman" w:eastAsia="宋体" w:cs="Times New Roman"/>
          <w:color w:val="auto"/>
          <w:sz w:val="24"/>
          <w:highlight w:val="none"/>
          <w:lang w:val="en-US" w:eastAsia="zh-CN"/>
        </w:rPr>
        <w:t>影响很小。</w:t>
      </w:r>
    </w:p>
    <w:p w14:paraId="5CCCDF61">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highlight w:val="none"/>
          <w:lang w:val="en-US" w:eastAsia="zh-CN"/>
        </w:rPr>
        <w:t>项目占地区土壤类型主要为水稻土和紫色土。土层厚度在30~ 80cm之间，抗蚀性较差</w:t>
      </w:r>
      <w:r>
        <w:rPr>
          <w:rFonts w:hint="default" w:ascii="Times New Roman" w:hAnsi="Times New Roman" w:eastAsia="宋体" w:cs="Times New Roman"/>
          <w:color w:val="auto"/>
          <w:lang w:val="en-US" w:eastAsia="zh-CN"/>
        </w:rPr>
        <w:t>。</w:t>
      </w:r>
    </w:p>
    <w:p w14:paraId="04398E4C">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5.2.2</w:t>
      </w:r>
      <w:r>
        <w:rPr>
          <w:rFonts w:hint="default" w:ascii="Times New Roman" w:hAnsi="Times New Roman" w:cs="Times New Roman"/>
          <w:color w:val="auto"/>
        </w:rPr>
        <w:t>陆生动物影响调查</w:t>
      </w:r>
    </w:p>
    <w:p w14:paraId="2C35CBAA">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工程建设过程中的施工影响较运行期而言属于短时间、局部范围的影响，主要表现在施工占地直接破坏栖息地可能直接导致个体死亡，噪声对个体的惊扰，或个体被车辆压死，被施工人员捕杀等方面。</w:t>
      </w:r>
    </w:p>
    <w:p w14:paraId="1C8F2EA9">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据调查，工程施工区自开工以来未发现国家级和省级珍稀濒危保护动物，没有发现受保护的鸟类集中繁殖地，也没有大型兽类栖息地。为了减少对动物的影响，施工期中严禁施工人员狩猎；尽量减少植被破坏，并采取有效的重建措施，为动物创造较好的栖息环境；加之陆生动物迁徙能力强，且同类生境易于在附近找到。因此，道路建设对陆生动物没有造成明显的影响。</w:t>
      </w:r>
    </w:p>
    <w:p w14:paraId="680AA55F">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从工程沿线环境现状调查情况分析，公路两侧桥涵布置比较完善，一定程度上降低了工程对沿线动物及其生存环境的影响。</w:t>
      </w:r>
      <w:bookmarkStart w:id="299" w:name="_GoBack"/>
      <w:bookmarkEnd w:id="299"/>
    </w:p>
    <w:p w14:paraId="56F91455">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根据工程建设期间监理记录以及走访林业等部门，未发生因工程建设伤害陆生动物事件，工程建设对区域陆生动物的影响较小。</w:t>
      </w:r>
    </w:p>
    <w:p w14:paraId="49741BDB">
      <w:pPr>
        <w:pStyle w:val="3"/>
        <w:numPr>
          <w:ilvl w:val="0"/>
          <w:numId w:val="0"/>
        </w:numPr>
        <w:ind w:left="578" w:leftChars="0" w:hanging="578" w:firstLineChars="0"/>
        <w:rPr>
          <w:rFonts w:hint="default" w:ascii="Times New Roman" w:hAnsi="Times New Roman" w:cs="Times New Roman"/>
          <w:color w:val="auto"/>
        </w:rPr>
      </w:pPr>
      <w:bookmarkStart w:id="103" w:name="_Toc5631"/>
      <w:bookmarkStart w:id="104" w:name="_Toc29939"/>
      <w:r>
        <w:rPr>
          <w:rFonts w:hint="eastAsia" w:ascii="Times New Roman" w:hAnsi="Times New Roman" w:cs="Times New Roman"/>
          <w:b/>
          <w:bCs/>
          <w:color w:val="auto"/>
          <w:kern w:val="2"/>
          <w:sz w:val="32"/>
          <w:szCs w:val="32"/>
          <w:lang w:val="en-US" w:eastAsia="zh-CN" w:bidi="ar-SA"/>
        </w:rPr>
        <w:t>5.3</w:t>
      </w:r>
      <w:r>
        <w:rPr>
          <w:rFonts w:hint="default" w:ascii="Times New Roman" w:hAnsi="Times New Roman" w:cs="Times New Roman"/>
          <w:color w:val="auto"/>
        </w:rPr>
        <w:t>工程建设对水生生态的影响调查</w:t>
      </w:r>
      <w:bookmarkEnd w:id="103"/>
      <w:bookmarkEnd w:id="104"/>
    </w:p>
    <w:p w14:paraId="26693861">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5.3.1</w:t>
      </w:r>
      <w:r>
        <w:rPr>
          <w:rFonts w:hint="default" w:ascii="Times New Roman" w:hAnsi="Times New Roman" w:cs="Times New Roman"/>
          <w:color w:val="auto"/>
        </w:rPr>
        <w:t>水生生物现状调查</w:t>
      </w:r>
    </w:p>
    <w:p w14:paraId="424AD505">
      <w:pPr>
        <w:adjustRightInd w:val="0"/>
        <w:snapToGrid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项目所在区域属</w:t>
      </w:r>
      <w:r>
        <w:rPr>
          <w:rFonts w:hint="default" w:ascii="Times New Roman" w:hAnsi="Times New Roman" w:eastAsia="宋体" w:cs="Times New Roman"/>
          <w:color w:val="auto"/>
          <w:highlight w:val="none"/>
          <w:lang w:val="en-US" w:eastAsia="zh-CN"/>
        </w:rPr>
        <w:t>嘉陵江</w:t>
      </w:r>
      <w:r>
        <w:rPr>
          <w:rFonts w:hint="default" w:ascii="Times New Roman" w:hAnsi="Times New Roman" w:eastAsia="宋体" w:cs="Times New Roman"/>
          <w:color w:val="auto"/>
          <w:highlight w:val="none"/>
        </w:rPr>
        <w:t>流域，项目沿线评价范围内的河流主要有</w:t>
      </w:r>
      <w:r>
        <w:rPr>
          <w:rFonts w:hint="default" w:ascii="Times New Roman" w:hAnsi="Times New Roman" w:eastAsia="宋体" w:cs="Times New Roman"/>
          <w:color w:val="auto"/>
          <w:highlight w:val="none"/>
          <w:lang w:val="en-US" w:eastAsia="zh-CN"/>
        </w:rPr>
        <w:t>代峨溪（属于渠江一级支流）、团结水库泄流沟</w:t>
      </w:r>
      <w:r>
        <w:rPr>
          <w:rFonts w:hint="default" w:ascii="Times New Roman" w:hAnsi="Times New Roman" w:eastAsia="宋体" w:cs="Times New Roman"/>
          <w:color w:val="auto"/>
          <w:highlight w:val="none"/>
        </w:rPr>
        <w:t>，水库有</w:t>
      </w:r>
      <w:r>
        <w:rPr>
          <w:rFonts w:hint="default" w:ascii="Times New Roman" w:hAnsi="Times New Roman" w:eastAsia="宋体" w:cs="Times New Roman"/>
          <w:color w:val="auto"/>
          <w:highlight w:val="none"/>
          <w:lang w:val="en-US" w:eastAsia="zh-CN"/>
        </w:rPr>
        <w:t>石庙子</w:t>
      </w:r>
      <w:r>
        <w:rPr>
          <w:rFonts w:hint="default" w:ascii="Times New Roman" w:hAnsi="Times New Roman" w:eastAsia="宋体" w:cs="Times New Roman"/>
          <w:color w:val="auto"/>
          <w:highlight w:val="none"/>
        </w:rPr>
        <w:t>水库</w:t>
      </w:r>
      <w:r>
        <w:rPr>
          <w:rFonts w:hint="default" w:ascii="Times New Roman" w:hAnsi="Times New Roman" w:eastAsia="宋体" w:cs="Times New Roman"/>
          <w:color w:val="auto"/>
          <w:highlight w:val="none"/>
          <w:lang w:val="en-US" w:eastAsia="zh-CN"/>
        </w:rPr>
        <w:t>。</w:t>
      </w:r>
    </w:p>
    <w:p w14:paraId="767B80D7">
      <w:pPr>
        <w:keepNext w:val="0"/>
        <w:keepLines w:val="0"/>
        <w:widowControl/>
        <w:suppressLineNumbers w:val="0"/>
        <w:jc w:val="left"/>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highlight w:val="none"/>
        </w:rPr>
        <w:t>根据</w:t>
      </w:r>
      <w:r>
        <w:rPr>
          <w:rFonts w:hint="default" w:ascii="Times New Roman" w:hAnsi="Times New Roman" w:cs="Times New Roman"/>
          <w:color w:val="auto"/>
          <w:highlight w:val="none"/>
          <w:lang w:val="en-US" w:eastAsia="zh-CN"/>
        </w:rPr>
        <w:t>调查访问及近期相关区域的调查数据</w:t>
      </w:r>
      <w:r>
        <w:rPr>
          <w:rFonts w:hint="default" w:ascii="Times New Roman" w:hAnsi="Times New Roman" w:eastAsia="宋体" w:cs="Times New Roman"/>
          <w:color w:val="auto"/>
          <w:highlight w:val="none"/>
        </w:rPr>
        <w:t>，</w:t>
      </w:r>
      <w:r>
        <w:rPr>
          <w:rFonts w:hint="eastAsia" w:ascii="宋体" w:hAnsi="宋体" w:eastAsia="宋体" w:cs="宋体"/>
          <w:snapToGrid w:val="0"/>
          <w:color w:val="auto"/>
          <w:kern w:val="0"/>
          <w:sz w:val="24"/>
          <w:szCs w:val="24"/>
          <w:lang w:val="en-US" w:eastAsia="zh-CN" w:bidi="ar"/>
        </w:rPr>
        <w:t>参考《四川鱼类志》、《中国淡水鱼类的分布区划》等</w:t>
      </w:r>
      <w:r>
        <w:rPr>
          <w:rFonts w:hint="eastAsia" w:ascii="宋体" w:hAnsi="宋体" w:cs="宋体"/>
          <w:snapToGrid w:val="0"/>
          <w:color w:val="auto"/>
          <w:kern w:val="0"/>
          <w:sz w:val="24"/>
          <w:szCs w:val="24"/>
          <w:lang w:val="en-US" w:eastAsia="zh-CN" w:bidi="ar"/>
        </w:rPr>
        <w:t>，评价区分布有泥鳅、</w:t>
      </w:r>
      <w:r>
        <w:rPr>
          <w:rFonts w:hint="default" w:ascii="Times New Roman" w:hAnsi="Times New Roman" w:cs="Times New Roman"/>
          <w:color w:val="auto"/>
          <w:sz w:val="24"/>
          <w:szCs w:val="24"/>
          <w:highlight w:val="none"/>
        </w:rPr>
        <w:t>鲫</w:t>
      </w:r>
      <w:r>
        <w:rPr>
          <w:rFonts w:hint="eastAsia" w:ascii="Times New Roman" w:hAnsi="Times New Roman" w:cs="Times New Roman"/>
          <w:color w:val="auto"/>
          <w:sz w:val="24"/>
          <w:szCs w:val="24"/>
          <w:highlight w:val="none"/>
          <w:lang w:val="en-US" w:eastAsia="zh-CN"/>
        </w:rPr>
        <w:t>鱼</w:t>
      </w:r>
      <w:r>
        <w:rPr>
          <w:rFonts w:hint="eastAsia" w:ascii="宋体" w:hAnsi="宋体" w:cs="宋体"/>
          <w:snapToGrid w:val="0"/>
          <w:color w:val="auto"/>
          <w:kern w:val="0"/>
          <w:sz w:val="24"/>
          <w:szCs w:val="24"/>
          <w:lang w:val="en-US" w:eastAsia="zh-CN" w:bidi="ar"/>
        </w:rPr>
        <w:t>、</w:t>
      </w:r>
      <w:r>
        <w:rPr>
          <w:rFonts w:hint="default" w:ascii="Times New Roman" w:hAnsi="Times New Roman" w:cs="Times New Roman"/>
          <w:color w:val="auto"/>
          <w:sz w:val="24"/>
          <w:szCs w:val="24"/>
          <w:highlight w:val="none"/>
        </w:rPr>
        <w:t>鲤</w:t>
      </w:r>
      <w:r>
        <w:rPr>
          <w:rFonts w:hint="eastAsia" w:ascii="Times New Roman" w:hAnsi="Times New Roman" w:cs="Times New Roman"/>
          <w:color w:val="auto"/>
          <w:sz w:val="24"/>
          <w:szCs w:val="24"/>
          <w:highlight w:val="none"/>
          <w:lang w:val="en-US" w:eastAsia="zh-CN"/>
        </w:rPr>
        <w:t>鱼</w:t>
      </w:r>
      <w:r>
        <w:rPr>
          <w:rFonts w:hint="eastAsia" w:ascii="宋体" w:hAnsi="宋体" w:cs="宋体"/>
          <w:snapToGrid w:val="0"/>
          <w:color w:val="auto"/>
          <w:kern w:val="0"/>
          <w:sz w:val="24"/>
          <w:szCs w:val="24"/>
          <w:lang w:val="en-US" w:eastAsia="zh-CN" w:bidi="ar"/>
        </w:rPr>
        <w:t>等常见鱼类</w:t>
      </w:r>
      <w:r>
        <w:rPr>
          <w:rFonts w:hint="default" w:ascii="Times New Roman" w:hAnsi="Times New Roman" w:eastAsia="宋体" w:cs="Times New Roman"/>
          <w:color w:val="auto"/>
          <w:highlight w:val="none"/>
        </w:rPr>
        <w:t>，未发现珍稀保护鱼类。</w:t>
      </w:r>
      <w:r>
        <w:rPr>
          <w:rFonts w:hint="default" w:ascii="Times New Roman" w:hAnsi="Times New Roman" w:eastAsia="宋体" w:cs="Times New Roman"/>
          <w:color w:val="auto"/>
          <w:kern w:val="2"/>
          <w:highlight w:val="none"/>
        </w:rPr>
        <w:t>项目区</w:t>
      </w:r>
      <w:r>
        <w:rPr>
          <w:rFonts w:hint="eastAsia"/>
          <w:color w:val="auto"/>
          <w:lang w:val="en-US" w:eastAsia="zh-CN"/>
        </w:rPr>
        <w:t>不涉及</w:t>
      </w:r>
      <w:r>
        <w:rPr>
          <w:rFonts w:hint="eastAsia" w:ascii="宋体" w:hAnsi="宋体" w:eastAsia="宋体" w:cs="宋体"/>
          <w:snapToGrid w:val="0"/>
          <w:color w:val="auto"/>
          <w:kern w:val="0"/>
          <w:sz w:val="24"/>
          <w:szCs w:val="24"/>
          <w:lang w:val="en-US" w:eastAsia="zh-CN" w:bidi="ar"/>
        </w:rPr>
        <w:t>鱼类重要生境</w:t>
      </w:r>
      <w:r>
        <w:rPr>
          <w:rFonts w:hint="eastAsia" w:ascii="宋体" w:hAnsi="宋体" w:cs="宋体"/>
          <w:snapToGrid w:val="0"/>
          <w:color w:val="auto"/>
          <w:kern w:val="0"/>
          <w:sz w:val="24"/>
          <w:szCs w:val="24"/>
          <w:lang w:val="en-US" w:eastAsia="zh-CN" w:bidi="ar"/>
        </w:rPr>
        <w:t>、</w:t>
      </w:r>
      <w:r>
        <w:rPr>
          <w:rFonts w:hint="default" w:ascii="Times New Roman" w:hAnsi="Times New Roman" w:eastAsia="宋体" w:cs="Times New Roman"/>
          <w:color w:val="auto"/>
          <w:kern w:val="2"/>
          <w:highlight w:val="none"/>
        </w:rPr>
        <w:t>鱼类“三场”和鱼类洄游通道分布，也无国家级和重庆市级重点保护鱼类和特有鱼类分布。</w:t>
      </w:r>
    </w:p>
    <w:p w14:paraId="2A8793D3">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5.3.2</w:t>
      </w:r>
      <w:r>
        <w:rPr>
          <w:rFonts w:hint="default" w:ascii="Times New Roman" w:hAnsi="Times New Roman" w:cs="Times New Roman"/>
          <w:color w:val="auto"/>
        </w:rPr>
        <w:t>水生生物影响调查</w:t>
      </w:r>
    </w:p>
    <w:p w14:paraId="69AE501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根据资料，建设单位及施工单位在施工期主要采取了以下措施保护水生生物：</w:t>
      </w:r>
    </w:p>
    <w:p w14:paraId="29FB576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（1）加强施工管理，生产废水处理后综合利用，生活污水收集后用于农林浇灌，不直接进入水体，减少了水体污染。</w:t>
      </w:r>
    </w:p>
    <w:p w14:paraId="526F14B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（2）工程各大桥桥墩施工均避开了鱼类繁殖季节。</w:t>
      </w:r>
    </w:p>
    <w:p w14:paraId="5520BED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（3）工程施工材料堆放避开水源和其他水体，且选择暴雨径流难以冲刷的地方。</w:t>
      </w:r>
    </w:p>
    <w:p w14:paraId="7F00DF5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（4）各建设单位合理组织施工程序和施工机械，对施工人员进行了生态保护宣传教育。</w:t>
      </w:r>
    </w:p>
    <w:p w14:paraId="1CB02CA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（5）施工</w:t>
      </w:r>
      <w:r>
        <w:rPr>
          <w:rFonts w:hint="eastAsia" w:cs="Times New Roman"/>
          <w:color w:val="auto"/>
          <w:szCs w:val="24"/>
          <w:lang w:eastAsia="zh-CN"/>
        </w:rPr>
        <w:t>期间</w:t>
      </w:r>
      <w:r>
        <w:rPr>
          <w:rFonts w:hint="default" w:ascii="Times New Roman" w:hAnsi="Times New Roman" w:cs="Times New Roman"/>
          <w:color w:val="auto"/>
          <w:szCs w:val="24"/>
        </w:rPr>
        <w:t>环境管理规定，严禁施工人员捕鱼。</w:t>
      </w:r>
    </w:p>
    <w:p w14:paraId="09F65FAE">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（6）水中进行桥梁施工时，产生的污水、垃圾和施工机械废油等污染物分别进行收集后处理，桥梁施工挖出的污泥、渣土等运至附近渣场进行处理，防止污染水生生物生境</w:t>
      </w:r>
    </w:p>
    <w:p w14:paraId="772C2B1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（7）在</w:t>
      </w:r>
      <w:r>
        <w:rPr>
          <w:rFonts w:hint="eastAsia" w:cs="Times New Roman"/>
          <w:color w:val="auto"/>
          <w:szCs w:val="24"/>
          <w:lang w:val="en-US" w:eastAsia="zh-CN"/>
        </w:rPr>
        <w:t>跨水体桥梁</w:t>
      </w:r>
      <w:r>
        <w:rPr>
          <w:rFonts w:hint="default" w:ascii="Times New Roman" w:hAnsi="Times New Roman" w:cs="Times New Roman"/>
          <w:color w:val="auto"/>
          <w:szCs w:val="24"/>
        </w:rPr>
        <w:t>路面桥面设置径流收集系统，对发生事故后的桥面路面径流水进行收集安全处置。</w:t>
      </w:r>
    </w:p>
    <w:p w14:paraId="5C3F6C6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（8）保持路面清洁，组织养护人员及时清理积聚在道路两侧粉尘和其他污染物，减缓因径流冲刷使污染物进入水体所造成的污染。</w:t>
      </w:r>
    </w:p>
    <w:p w14:paraId="258028D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据调查，工程运行至今，未发生</w:t>
      </w:r>
      <w:r>
        <w:rPr>
          <w:rFonts w:hint="eastAsia" w:cs="Times New Roman"/>
          <w:color w:val="auto"/>
          <w:szCs w:val="24"/>
          <w:lang w:eastAsia="zh-CN"/>
        </w:rPr>
        <w:t>因</w:t>
      </w:r>
      <w:r>
        <w:rPr>
          <w:rFonts w:hint="default" w:ascii="Times New Roman" w:hAnsi="Times New Roman" w:cs="Times New Roman"/>
          <w:color w:val="auto"/>
          <w:szCs w:val="24"/>
        </w:rPr>
        <w:t>危险品运输导致的水体污染事件，未发现工程建设对工程沿线水生生态造成严重影响。因此，道路建设及运行对水生生物及其生存环境没有造成明显的影响。</w:t>
      </w:r>
    </w:p>
    <w:p w14:paraId="632CBE47">
      <w:pPr>
        <w:pStyle w:val="3"/>
        <w:numPr>
          <w:ilvl w:val="0"/>
          <w:numId w:val="0"/>
        </w:numPr>
        <w:ind w:left="578" w:leftChars="0" w:hanging="578" w:firstLineChars="0"/>
        <w:rPr>
          <w:rFonts w:hint="default" w:ascii="Times New Roman" w:hAnsi="Times New Roman" w:cs="Times New Roman"/>
          <w:color w:val="auto"/>
        </w:rPr>
      </w:pPr>
      <w:bookmarkStart w:id="105" w:name="_Toc14896"/>
      <w:bookmarkStart w:id="106" w:name="_Toc4977"/>
      <w:bookmarkStart w:id="107" w:name="_Toc556"/>
      <w:r>
        <w:rPr>
          <w:rFonts w:hint="eastAsia" w:ascii="Times New Roman" w:hAnsi="Times New Roman" w:cs="Times New Roman"/>
          <w:b/>
          <w:bCs/>
          <w:color w:val="auto"/>
          <w:kern w:val="2"/>
          <w:sz w:val="32"/>
          <w:szCs w:val="32"/>
          <w:lang w:val="en-US" w:eastAsia="zh-CN" w:bidi="ar-SA"/>
        </w:rPr>
        <w:t>5.4</w:t>
      </w:r>
      <w:r>
        <w:rPr>
          <w:rFonts w:hint="default" w:ascii="Times New Roman" w:hAnsi="Times New Roman" w:cs="Times New Roman"/>
          <w:color w:val="auto"/>
        </w:rPr>
        <w:t>工程占地对生态环境影响调查</w:t>
      </w:r>
      <w:bookmarkEnd w:id="105"/>
      <w:bookmarkEnd w:id="106"/>
      <w:bookmarkEnd w:id="107"/>
    </w:p>
    <w:p w14:paraId="637723D8">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5.4.1</w:t>
      </w:r>
      <w:r>
        <w:rPr>
          <w:rFonts w:hint="default" w:ascii="Times New Roman" w:hAnsi="Times New Roman" w:cs="Times New Roman"/>
          <w:color w:val="auto"/>
        </w:rPr>
        <w:t>施工期对土地利用类型的影响分析</w:t>
      </w:r>
    </w:p>
    <w:p w14:paraId="4CDC1997">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spacing w:val="-4"/>
          <w:sz w:val="24"/>
          <w:szCs w:val="24"/>
          <w:lang w:val="en-US" w:eastAsia="zh-CN"/>
        </w:rPr>
        <w:t>验收调查</w:t>
      </w:r>
      <w:r>
        <w:rPr>
          <w:rFonts w:hint="default" w:ascii="Times New Roman" w:hAnsi="Times New Roman" w:eastAsia="宋体" w:cs="Times New Roman"/>
          <w:color w:val="auto"/>
          <w:kern w:val="2"/>
          <w:sz w:val="24"/>
          <w:szCs w:val="24"/>
          <w:highlight w:val="none"/>
          <w:lang w:val="en-US" w:eastAsia="zh-CN" w:bidi="ar-SA"/>
        </w:rPr>
        <w:t>范围内林地</w:t>
      </w:r>
      <w:r>
        <w:rPr>
          <w:rFonts w:hint="eastAsia" w:ascii="Times New Roman" w:hAnsi="Times New Roman" w:eastAsia="宋体" w:cs="Times New Roman"/>
          <w:color w:val="auto"/>
          <w:kern w:val="2"/>
          <w:sz w:val="24"/>
          <w:szCs w:val="24"/>
          <w:highlight w:val="none"/>
          <w:lang w:val="en-US" w:eastAsia="zh-CN" w:bidi="ar-SA"/>
        </w:rPr>
        <w:t>以及草地</w:t>
      </w:r>
      <w:r>
        <w:rPr>
          <w:rFonts w:hint="default" w:ascii="Times New Roman" w:hAnsi="Times New Roman" w:eastAsia="宋体" w:cs="Times New Roman"/>
          <w:color w:val="auto"/>
          <w:kern w:val="2"/>
          <w:sz w:val="24"/>
          <w:szCs w:val="24"/>
          <w:highlight w:val="none"/>
          <w:lang w:val="en-US" w:eastAsia="zh-CN" w:bidi="ar-SA"/>
        </w:rPr>
        <w:t>面积占总面积</w:t>
      </w:r>
      <w:r>
        <w:rPr>
          <w:rFonts w:hint="eastAsia" w:ascii="Times New Roman" w:hAnsi="Times New Roman" w:eastAsia="宋体" w:cs="Times New Roman"/>
          <w:color w:val="auto"/>
          <w:kern w:val="2"/>
          <w:sz w:val="24"/>
          <w:szCs w:val="24"/>
          <w:highlight w:val="none"/>
          <w:lang w:val="en-US" w:eastAsia="zh-CN" w:bidi="ar-SA"/>
        </w:rPr>
        <w:t>25.43</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spacing w:val="-4"/>
          <w:sz w:val="24"/>
          <w:szCs w:val="24"/>
          <w:lang w:val="en-US" w:eastAsia="zh-CN"/>
        </w:rPr>
        <w:t>验收调查</w:t>
      </w:r>
      <w:r>
        <w:rPr>
          <w:rFonts w:hint="default" w:ascii="Times New Roman" w:hAnsi="Times New Roman" w:eastAsia="宋体" w:cs="Times New Roman"/>
          <w:color w:val="auto"/>
          <w:kern w:val="2"/>
          <w:sz w:val="24"/>
          <w:szCs w:val="24"/>
          <w:highlight w:val="none"/>
          <w:lang w:val="en-US" w:eastAsia="zh-CN" w:bidi="ar-SA"/>
        </w:rPr>
        <w:t>内植被覆盖率较高，其余的主要为耕地占总面积</w:t>
      </w:r>
      <w:r>
        <w:rPr>
          <w:rFonts w:hint="eastAsia" w:ascii="Times New Roman" w:hAnsi="Times New Roman" w:eastAsia="宋体" w:cs="Times New Roman"/>
          <w:color w:val="auto"/>
          <w:kern w:val="2"/>
          <w:sz w:val="24"/>
          <w:szCs w:val="24"/>
          <w:highlight w:val="none"/>
          <w:lang w:val="en-US" w:eastAsia="zh-CN" w:bidi="ar-SA"/>
        </w:rPr>
        <w:t>59.36</w:t>
      </w:r>
      <w:r>
        <w:rPr>
          <w:rFonts w:hint="default" w:ascii="Times New Roman" w:hAnsi="Times New Roman" w:eastAsia="宋体" w:cs="Times New Roman"/>
          <w:color w:val="auto"/>
          <w:kern w:val="2"/>
          <w:sz w:val="24"/>
          <w:szCs w:val="24"/>
          <w:highlight w:val="none"/>
          <w:lang w:val="en-US" w:eastAsia="zh-CN" w:bidi="ar-SA"/>
        </w:rPr>
        <w:t>%，其他地类均占比较低。</w:t>
      </w:r>
    </w:p>
    <w:p w14:paraId="122B2ECF">
      <w:pPr>
        <w:keepNext/>
        <w:keepLines w:val="0"/>
        <w:widowControl w:val="0"/>
        <w:numPr>
          <w:ilvl w:val="0"/>
          <w:numId w:val="0"/>
        </w:numPr>
        <w:kinsoku/>
        <w:overflowPunct w:val="0"/>
        <w:autoSpaceDE w:val="0"/>
        <w:autoSpaceDN w:val="0"/>
        <w:bidi w:val="0"/>
        <w:adjustRightInd w:val="0"/>
        <w:snapToGrid w:val="0"/>
        <w:spacing w:line="240" w:lineRule="auto"/>
        <w:ind w:left="0" w:leftChars="0" w:firstLine="0" w:firstLineChars="0"/>
        <w:jc w:val="center"/>
        <w:textAlignment w:val="baseline"/>
        <w:outlineLvl w:val="9"/>
        <w:rPr>
          <w:rFonts w:hint="default" w:ascii="Times New Roman" w:hAnsi="Times New Roman" w:eastAsia="宋体" w:cs="Times New Roman"/>
          <w:b/>
          <w:bCs/>
          <w:snapToGrid w:val="0"/>
          <w:color w:val="auto"/>
          <w:kern w:val="0"/>
          <w:sz w:val="24"/>
          <w:szCs w:val="18"/>
          <w:lang w:val="en-US" w:eastAsia="zh-CN" w:bidi="ar-SA"/>
        </w:rPr>
      </w:pPr>
      <w:bookmarkStart w:id="108" w:name="_Toc28389"/>
      <w:bookmarkStart w:id="109" w:name="_Toc26956"/>
      <w:bookmarkStart w:id="110" w:name="_Toc7010"/>
      <w:r>
        <w:rPr>
          <w:rFonts w:hint="default" w:ascii="Times New Roman" w:hAnsi="Times New Roman" w:eastAsia="宋体" w:cs="Times New Roman"/>
          <w:b/>
          <w:bCs/>
          <w:snapToGrid w:val="0"/>
          <w:color w:val="auto"/>
          <w:kern w:val="0"/>
          <w:sz w:val="24"/>
          <w:szCs w:val="18"/>
          <w:lang w:val="en-US" w:eastAsia="zh-CN" w:bidi="ar-SA"/>
        </w:rPr>
        <w:t>表</w:t>
      </w:r>
      <w:r>
        <w:rPr>
          <w:rFonts w:hint="eastAsia" w:ascii="Times New Roman" w:hAnsi="Times New Roman" w:eastAsia="宋体" w:cs="Times New Roman"/>
          <w:b/>
          <w:bCs/>
          <w:snapToGrid w:val="0"/>
          <w:color w:val="auto"/>
          <w:kern w:val="0"/>
          <w:sz w:val="24"/>
          <w:szCs w:val="18"/>
          <w:lang w:val="en-US" w:eastAsia="zh-CN" w:bidi="ar-SA"/>
        </w:rPr>
        <w:t>5</w:t>
      </w:r>
      <w:r>
        <w:rPr>
          <w:rFonts w:hint="default" w:ascii="Times New Roman" w:hAnsi="Times New Roman" w:eastAsia="宋体" w:cs="Times New Roman"/>
          <w:b/>
          <w:bCs/>
          <w:snapToGrid w:val="0"/>
          <w:color w:val="auto"/>
          <w:kern w:val="0"/>
          <w:sz w:val="24"/>
          <w:szCs w:val="18"/>
          <w:lang w:val="en-US" w:eastAsia="zh-CN" w:bidi="ar-SA"/>
        </w:rPr>
        <w:t>.</w:t>
      </w:r>
      <w:r>
        <w:rPr>
          <w:rFonts w:hint="eastAsia" w:cs="Times New Roman"/>
          <w:b/>
          <w:bCs/>
          <w:snapToGrid w:val="0"/>
          <w:color w:val="auto"/>
          <w:kern w:val="0"/>
          <w:sz w:val="24"/>
          <w:szCs w:val="18"/>
          <w:lang w:val="en-US" w:eastAsia="zh-CN" w:bidi="ar-SA"/>
        </w:rPr>
        <w:t>4</w:t>
      </w:r>
      <w:r>
        <w:rPr>
          <w:rFonts w:hint="default" w:ascii="Times New Roman" w:hAnsi="Times New Roman" w:eastAsia="宋体" w:cs="Times New Roman"/>
          <w:b/>
          <w:bCs/>
          <w:snapToGrid w:val="0"/>
          <w:color w:val="auto"/>
          <w:kern w:val="0"/>
          <w:sz w:val="24"/>
          <w:szCs w:val="18"/>
          <w:lang w:val="en-US" w:eastAsia="zh-CN" w:bidi="ar-SA"/>
        </w:rPr>
        <w:t xml:space="preserve">-1  </w:t>
      </w:r>
      <w:r>
        <w:rPr>
          <w:rFonts w:hint="eastAsia" w:ascii="Times New Roman" w:hAnsi="Times New Roman" w:eastAsia="宋体" w:cs="Times New Roman"/>
          <w:b/>
          <w:bCs/>
          <w:snapToGrid w:val="0"/>
          <w:color w:val="auto"/>
          <w:kern w:val="0"/>
          <w:sz w:val="24"/>
          <w:szCs w:val="18"/>
          <w:lang w:val="en-US" w:eastAsia="zh-CN" w:bidi="ar-SA"/>
        </w:rPr>
        <w:t>验收调查</w:t>
      </w:r>
      <w:r>
        <w:rPr>
          <w:rFonts w:hint="default" w:ascii="Times New Roman" w:hAnsi="Times New Roman" w:eastAsia="宋体" w:cs="Times New Roman"/>
          <w:b/>
          <w:bCs/>
          <w:snapToGrid w:val="0"/>
          <w:color w:val="auto"/>
          <w:kern w:val="0"/>
          <w:sz w:val="24"/>
          <w:szCs w:val="18"/>
          <w:lang w:val="en-US" w:eastAsia="zh-CN" w:bidi="ar-SA"/>
        </w:rPr>
        <w:t>范围内土地利用现状情况</w:t>
      </w:r>
      <w:bookmarkEnd w:id="108"/>
      <w:bookmarkEnd w:id="109"/>
      <w:bookmarkEnd w:id="110"/>
    </w:p>
    <w:tbl>
      <w:tblPr>
        <w:tblStyle w:val="20"/>
        <w:tblW w:w="48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1"/>
        <w:gridCol w:w="2801"/>
        <w:gridCol w:w="2721"/>
      </w:tblGrid>
      <w:tr w14:paraId="500CC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3204" w:type="dxa"/>
            <w:tcBorders>
              <w:tl2br w:val="nil"/>
              <w:tr2bl w:val="nil"/>
            </w:tcBorders>
            <w:noWrap w:val="0"/>
            <w:vAlign w:val="center"/>
          </w:tcPr>
          <w:p w14:paraId="600D9B5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土地利用类型</w:t>
            </w:r>
          </w:p>
        </w:tc>
        <w:tc>
          <w:tcPr>
            <w:tcW w:w="3275" w:type="dxa"/>
            <w:tcBorders>
              <w:tl2br w:val="nil"/>
              <w:tr2bl w:val="nil"/>
            </w:tcBorders>
            <w:noWrap w:val="0"/>
            <w:vAlign w:val="center"/>
          </w:tcPr>
          <w:p w14:paraId="5A3EB16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面积（hm</w:t>
            </w:r>
            <w:r>
              <w:rPr>
                <w:rFonts w:hint="default" w:ascii="Times New Roman" w:hAnsi="Times New Roman" w:eastAsia="宋体" w:cs="Times New Roman"/>
                <w:snapToGrid w:val="0"/>
                <w:color w:val="auto"/>
                <w:kern w:val="0"/>
                <w:sz w:val="21"/>
                <w:szCs w:val="21"/>
                <w:vertAlign w:val="superscript"/>
                <w:lang w:val="en-US" w:eastAsia="zh-CN" w:bidi="ar-SA"/>
              </w:rPr>
              <w:t>2</w:t>
            </w:r>
            <w:r>
              <w:rPr>
                <w:rFonts w:hint="default" w:ascii="Times New Roman" w:hAnsi="Times New Roman" w:eastAsia="宋体" w:cs="Times New Roman"/>
                <w:snapToGrid w:val="0"/>
                <w:color w:val="auto"/>
                <w:kern w:val="0"/>
                <w:sz w:val="21"/>
                <w:szCs w:val="21"/>
                <w:lang w:val="en-US" w:eastAsia="zh-CN" w:bidi="ar-SA"/>
              </w:rPr>
              <w:t>）</w:t>
            </w:r>
          </w:p>
        </w:tc>
        <w:tc>
          <w:tcPr>
            <w:tcW w:w="3181" w:type="dxa"/>
            <w:tcBorders>
              <w:tl2br w:val="nil"/>
              <w:tr2bl w:val="nil"/>
            </w:tcBorders>
            <w:noWrap w:val="0"/>
            <w:vAlign w:val="center"/>
          </w:tcPr>
          <w:p w14:paraId="6803136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百分比（%）</w:t>
            </w:r>
          </w:p>
        </w:tc>
      </w:tr>
      <w:tr w14:paraId="5EF52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00A0626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水田</w:t>
            </w:r>
          </w:p>
        </w:tc>
        <w:tc>
          <w:tcPr>
            <w:tcW w:w="3275" w:type="dxa"/>
            <w:tcBorders>
              <w:tl2br w:val="nil"/>
              <w:tr2bl w:val="nil"/>
            </w:tcBorders>
            <w:noWrap w:val="0"/>
            <w:vAlign w:val="center"/>
          </w:tcPr>
          <w:p w14:paraId="4A20ED1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246.85 </w:t>
            </w:r>
          </w:p>
        </w:tc>
        <w:tc>
          <w:tcPr>
            <w:tcW w:w="3181" w:type="dxa"/>
            <w:tcBorders>
              <w:tl2br w:val="nil"/>
              <w:tr2bl w:val="nil"/>
            </w:tcBorders>
            <w:noWrap w:val="0"/>
            <w:vAlign w:val="center"/>
          </w:tcPr>
          <w:p w14:paraId="32831DE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29.13 </w:t>
            </w:r>
          </w:p>
        </w:tc>
      </w:tr>
      <w:tr w14:paraId="1309F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4658CE1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旱地</w:t>
            </w:r>
          </w:p>
        </w:tc>
        <w:tc>
          <w:tcPr>
            <w:tcW w:w="3275" w:type="dxa"/>
            <w:tcBorders>
              <w:tl2br w:val="nil"/>
              <w:tr2bl w:val="nil"/>
            </w:tcBorders>
            <w:noWrap w:val="0"/>
            <w:vAlign w:val="center"/>
          </w:tcPr>
          <w:p w14:paraId="7978A88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256.16 </w:t>
            </w:r>
          </w:p>
        </w:tc>
        <w:tc>
          <w:tcPr>
            <w:tcW w:w="3181" w:type="dxa"/>
            <w:tcBorders>
              <w:tl2br w:val="nil"/>
              <w:tr2bl w:val="nil"/>
            </w:tcBorders>
            <w:noWrap w:val="0"/>
            <w:vAlign w:val="center"/>
          </w:tcPr>
          <w:p w14:paraId="313621E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30.23 </w:t>
            </w:r>
          </w:p>
        </w:tc>
      </w:tr>
      <w:tr w14:paraId="1EC79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3E72200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乔木林地</w:t>
            </w:r>
          </w:p>
        </w:tc>
        <w:tc>
          <w:tcPr>
            <w:tcW w:w="3275" w:type="dxa"/>
            <w:tcBorders>
              <w:tl2br w:val="nil"/>
              <w:tr2bl w:val="nil"/>
            </w:tcBorders>
            <w:noWrap w:val="0"/>
            <w:vAlign w:val="center"/>
          </w:tcPr>
          <w:p w14:paraId="43A9A7B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82.29 </w:t>
            </w:r>
          </w:p>
        </w:tc>
        <w:tc>
          <w:tcPr>
            <w:tcW w:w="3181" w:type="dxa"/>
            <w:tcBorders>
              <w:tl2br w:val="nil"/>
              <w:tr2bl w:val="nil"/>
            </w:tcBorders>
            <w:noWrap w:val="0"/>
            <w:vAlign w:val="center"/>
          </w:tcPr>
          <w:p w14:paraId="68E500C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9.71 </w:t>
            </w:r>
          </w:p>
        </w:tc>
      </w:tr>
      <w:tr w14:paraId="18C63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1608BE0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灌木林地</w:t>
            </w:r>
          </w:p>
        </w:tc>
        <w:tc>
          <w:tcPr>
            <w:tcW w:w="3275" w:type="dxa"/>
            <w:tcBorders>
              <w:tl2br w:val="nil"/>
              <w:tr2bl w:val="nil"/>
            </w:tcBorders>
            <w:noWrap w:val="0"/>
            <w:vAlign w:val="center"/>
          </w:tcPr>
          <w:p w14:paraId="338BF15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62.09 </w:t>
            </w:r>
          </w:p>
        </w:tc>
        <w:tc>
          <w:tcPr>
            <w:tcW w:w="3181" w:type="dxa"/>
            <w:tcBorders>
              <w:tl2br w:val="nil"/>
              <w:tr2bl w:val="nil"/>
            </w:tcBorders>
            <w:noWrap w:val="0"/>
            <w:vAlign w:val="center"/>
          </w:tcPr>
          <w:p w14:paraId="42769F8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7.33 </w:t>
            </w:r>
          </w:p>
        </w:tc>
      </w:tr>
      <w:tr w14:paraId="3E524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27333CB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竹林地</w:t>
            </w:r>
          </w:p>
        </w:tc>
        <w:tc>
          <w:tcPr>
            <w:tcW w:w="3275" w:type="dxa"/>
            <w:tcBorders>
              <w:tl2br w:val="nil"/>
              <w:tr2bl w:val="nil"/>
            </w:tcBorders>
            <w:noWrap w:val="0"/>
            <w:vAlign w:val="center"/>
          </w:tcPr>
          <w:p w14:paraId="30F04EA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55.58 </w:t>
            </w:r>
          </w:p>
        </w:tc>
        <w:tc>
          <w:tcPr>
            <w:tcW w:w="3181" w:type="dxa"/>
            <w:tcBorders>
              <w:tl2br w:val="nil"/>
              <w:tr2bl w:val="nil"/>
            </w:tcBorders>
            <w:noWrap w:val="0"/>
            <w:vAlign w:val="center"/>
          </w:tcPr>
          <w:p w14:paraId="7E3185B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6.56 </w:t>
            </w:r>
          </w:p>
        </w:tc>
      </w:tr>
      <w:tr w14:paraId="7745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5062B44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其他草地</w:t>
            </w:r>
          </w:p>
        </w:tc>
        <w:tc>
          <w:tcPr>
            <w:tcW w:w="3275" w:type="dxa"/>
            <w:tcBorders>
              <w:tl2br w:val="nil"/>
              <w:tr2bl w:val="nil"/>
            </w:tcBorders>
            <w:noWrap w:val="0"/>
            <w:vAlign w:val="center"/>
          </w:tcPr>
          <w:p w14:paraId="79ED1CD8">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15.47 </w:t>
            </w:r>
          </w:p>
        </w:tc>
        <w:tc>
          <w:tcPr>
            <w:tcW w:w="3181" w:type="dxa"/>
            <w:tcBorders>
              <w:tl2br w:val="nil"/>
              <w:tr2bl w:val="nil"/>
            </w:tcBorders>
            <w:noWrap w:val="0"/>
            <w:vAlign w:val="center"/>
          </w:tcPr>
          <w:p w14:paraId="15EC606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1.83 </w:t>
            </w:r>
          </w:p>
        </w:tc>
      </w:tr>
      <w:tr w14:paraId="0C02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586FE28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农村宅基地</w:t>
            </w:r>
          </w:p>
        </w:tc>
        <w:tc>
          <w:tcPr>
            <w:tcW w:w="3275" w:type="dxa"/>
            <w:tcBorders>
              <w:tl2br w:val="nil"/>
              <w:tr2bl w:val="nil"/>
            </w:tcBorders>
            <w:noWrap w:val="0"/>
            <w:vAlign w:val="center"/>
          </w:tcPr>
          <w:p w14:paraId="694D0A9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37.64 </w:t>
            </w:r>
          </w:p>
        </w:tc>
        <w:tc>
          <w:tcPr>
            <w:tcW w:w="3181" w:type="dxa"/>
            <w:tcBorders>
              <w:tl2br w:val="nil"/>
              <w:tr2bl w:val="nil"/>
            </w:tcBorders>
            <w:noWrap w:val="0"/>
            <w:vAlign w:val="center"/>
          </w:tcPr>
          <w:p w14:paraId="170BF23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4.44 </w:t>
            </w:r>
          </w:p>
        </w:tc>
      </w:tr>
      <w:tr w14:paraId="67DF5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3BC2F2A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铁路用地</w:t>
            </w:r>
          </w:p>
        </w:tc>
        <w:tc>
          <w:tcPr>
            <w:tcW w:w="3275" w:type="dxa"/>
            <w:tcBorders>
              <w:tl2br w:val="nil"/>
              <w:tr2bl w:val="nil"/>
            </w:tcBorders>
            <w:noWrap w:val="0"/>
            <w:vAlign w:val="center"/>
          </w:tcPr>
          <w:p w14:paraId="6C07F98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1.41 </w:t>
            </w:r>
          </w:p>
        </w:tc>
        <w:tc>
          <w:tcPr>
            <w:tcW w:w="3181" w:type="dxa"/>
            <w:tcBorders>
              <w:tl2br w:val="nil"/>
              <w:tr2bl w:val="nil"/>
            </w:tcBorders>
            <w:noWrap w:val="0"/>
            <w:vAlign w:val="center"/>
          </w:tcPr>
          <w:p w14:paraId="6E80A0F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0.17 </w:t>
            </w:r>
          </w:p>
        </w:tc>
      </w:tr>
      <w:tr w14:paraId="484A5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3E1A3E76">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公路用地</w:t>
            </w:r>
          </w:p>
        </w:tc>
        <w:tc>
          <w:tcPr>
            <w:tcW w:w="3275" w:type="dxa"/>
            <w:tcBorders>
              <w:tl2br w:val="nil"/>
              <w:tr2bl w:val="nil"/>
            </w:tcBorders>
            <w:noWrap w:val="0"/>
            <w:vAlign w:val="center"/>
          </w:tcPr>
          <w:p w14:paraId="7BC95A3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54.07 </w:t>
            </w:r>
          </w:p>
        </w:tc>
        <w:tc>
          <w:tcPr>
            <w:tcW w:w="3181" w:type="dxa"/>
            <w:tcBorders>
              <w:tl2br w:val="nil"/>
              <w:tr2bl w:val="nil"/>
            </w:tcBorders>
            <w:noWrap w:val="0"/>
            <w:vAlign w:val="center"/>
          </w:tcPr>
          <w:p w14:paraId="2ABF562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6.38 </w:t>
            </w:r>
          </w:p>
        </w:tc>
      </w:tr>
      <w:tr w14:paraId="3B652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3B8F11C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农村道路</w:t>
            </w:r>
          </w:p>
        </w:tc>
        <w:tc>
          <w:tcPr>
            <w:tcW w:w="3275" w:type="dxa"/>
            <w:tcBorders>
              <w:tl2br w:val="nil"/>
              <w:tr2bl w:val="nil"/>
            </w:tcBorders>
            <w:noWrap w:val="0"/>
            <w:vAlign w:val="center"/>
          </w:tcPr>
          <w:p w14:paraId="2A37050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10.38 </w:t>
            </w:r>
          </w:p>
        </w:tc>
        <w:tc>
          <w:tcPr>
            <w:tcW w:w="3181" w:type="dxa"/>
            <w:tcBorders>
              <w:tl2br w:val="nil"/>
              <w:tr2bl w:val="nil"/>
            </w:tcBorders>
            <w:noWrap w:val="0"/>
            <w:vAlign w:val="center"/>
          </w:tcPr>
          <w:p w14:paraId="0C1DC21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1.22 </w:t>
            </w:r>
          </w:p>
        </w:tc>
      </w:tr>
      <w:tr w14:paraId="62A61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7D5A50D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河流水面</w:t>
            </w:r>
          </w:p>
        </w:tc>
        <w:tc>
          <w:tcPr>
            <w:tcW w:w="3275" w:type="dxa"/>
            <w:tcBorders>
              <w:tl2br w:val="nil"/>
              <w:tr2bl w:val="nil"/>
            </w:tcBorders>
            <w:noWrap w:val="0"/>
            <w:vAlign w:val="center"/>
          </w:tcPr>
          <w:p w14:paraId="2FBB9B5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4.70 </w:t>
            </w:r>
          </w:p>
        </w:tc>
        <w:tc>
          <w:tcPr>
            <w:tcW w:w="3181" w:type="dxa"/>
            <w:tcBorders>
              <w:tl2br w:val="nil"/>
              <w:tr2bl w:val="nil"/>
            </w:tcBorders>
            <w:noWrap w:val="0"/>
            <w:vAlign w:val="center"/>
          </w:tcPr>
          <w:p w14:paraId="04A56FB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0.55 </w:t>
            </w:r>
          </w:p>
        </w:tc>
      </w:tr>
      <w:tr w14:paraId="7EE70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40A0CD5C">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坑塘水面</w:t>
            </w:r>
          </w:p>
        </w:tc>
        <w:tc>
          <w:tcPr>
            <w:tcW w:w="3275" w:type="dxa"/>
            <w:tcBorders>
              <w:tl2br w:val="nil"/>
              <w:tr2bl w:val="nil"/>
            </w:tcBorders>
            <w:noWrap w:val="0"/>
            <w:vAlign w:val="center"/>
          </w:tcPr>
          <w:p w14:paraId="288E1D19">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11.99 </w:t>
            </w:r>
          </w:p>
        </w:tc>
        <w:tc>
          <w:tcPr>
            <w:tcW w:w="3181" w:type="dxa"/>
            <w:tcBorders>
              <w:tl2br w:val="nil"/>
              <w:tr2bl w:val="nil"/>
            </w:tcBorders>
            <w:noWrap w:val="0"/>
            <w:vAlign w:val="center"/>
          </w:tcPr>
          <w:p w14:paraId="4B9809A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1.41 </w:t>
            </w:r>
          </w:p>
        </w:tc>
      </w:tr>
      <w:tr w14:paraId="0EB06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195376D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水库水面</w:t>
            </w:r>
          </w:p>
        </w:tc>
        <w:tc>
          <w:tcPr>
            <w:tcW w:w="3275" w:type="dxa"/>
            <w:tcBorders>
              <w:tl2br w:val="nil"/>
              <w:tr2bl w:val="nil"/>
            </w:tcBorders>
            <w:noWrap w:val="0"/>
            <w:vAlign w:val="center"/>
          </w:tcPr>
          <w:p w14:paraId="0099E48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8.83 </w:t>
            </w:r>
          </w:p>
        </w:tc>
        <w:tc>
          <w:tcPr>
            <w:tcW w:w="3181" w:type="dxa"/>
            <w:tcBorders>
              <w:tl2br w:val="nil"/>
              <w:tr2bl w:val="nil"/>
            </w:tcBorders>
            <w:noWrap w:val="0"/>
            <w:vAlign w:val="center"/>
          </w:tcPr>
          <w:p w14:paraId="1E99F04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1.04 </w:t>
            </w:r>
          </w:p>
        </w:tc>
      </w:tr>
      <w:tr w14:paraId="0D3A9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204" w:type="dxa"/>
            <w:tcBorders>
              <w:tl2br w:val="nil"/>
              <w:tr2bl w:val="nil"/>
            </w:tcBorders>
            <w:noWrap w:val="0"/>
            <w:vAlign w:val="center"/>
          </w:tcPr>
          <w:p w14:paraId="68F85E4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合计</w:t>
            </w:r>
          </w:p>
        </w:tc>
        <w:tc>
          <w:tcPr>
            <w:tcW w:w="3275" w:type="dxa"/>
            <w:tcBorders>
              <w:tl2br w:val="nil"/>
              <w:tr2bl w:val="nil"/>
            </w:tcBorders>
            <w:noWrap w:val="0"/>
            <w:vAlign w:val="bottom"/>
          </w:tcPr>
          <w:p w14:paraId="7F5545A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847.47 </w:t>
            </w:r>
          </w:p>
        </w:tc>
        <w:tc>
          <w:tcPr>
            <w:tcW w:w="3181" w:type="dxa"/>
            <w:tcBorders>
              <w:tl2br w:val="nil"/>
              <w:tr2bl w:val="nil"/>
            </w:tcBorders>
            <w:noWrap w:val="0"/>
            <w:vAlign w:val="center"/>
          </w:tcPr>
          <w:p w14:paraId="189ACEE4">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SA"/>
              </w:rPr>
              <w:t xml:space="preserve">100.00 </w:t>
            </w:r>
          </w:p>
        </w:tc>
      </w:tr>
    </w:tbl>
    <w:p w14:paraId="3DAB07C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lang w:val="en-US" w:eastAsia="zh-CN"/>
        </w:rPr>
        <w:t>本次验收调查范围同重新报批阶段评价范围一致，</w:t>
      </w:r>
      <w:r>
        <w:rPr>
          <w:rFonts w:hint="default" w:ascii="Times New Roman" w:hAnsi="Times New Roman" w:cs="Times New Roman"/>
          <w:color w:val="auto"/>
          <w:sz w:val="24"/>
          <w:szCs w:val="24"/>
          <w:lang w:val="en-US" w:eastAsia="zh-CN"/>
        </w:rPr>
        <w:t>道路中心线外扩300m，共</w:t>
      </w:r>
      <w:r>
        <w:rPr>
          <w:rFonts w:hint="eastAsia" w:ascii="Times New Roman" w:hAnsi="Times New Roman" w:eastAsia="宋体" w:cs="Times New Roman"/>
          <w:snapToGrid w:val="0"/>
          <w:color w:val="auto"/>
          <w:kern w:val="0"/>
          <w:sz w:val="24"/>
          <w:szCs w:val="24"/>
          <w:lang w:val="en-US" w:eastAsia="zh-CN" w:bidi="ar-SA"/>
        </w:rPr>
        <w:t>847.47</w:t>
      </w:r>
      <w:r>
        <w:rPr>
          <w:rFonts w:hint="default" w:ascii="Times New Roman" w:hAnsi="Times New Roman" w:eastAsia="宋体" w:cs="Times New Roman"/>
          <w:snapToGrid w:val="0"/>
          <w:color w:val="auto"/>
          <w:kern w:val="0"/>
          <w:sz w:val="24"/>
          <w:szCs w:val="24"/>
          <w:lang w:val="en-US" w:eastAsia="zh-CN" w:bidi="ar-SA"/>
        </w:rPr>
        <w:t>hm</w:t>
      </w:r>
      <w:r>
        <w:rPr>
          <w:rFonts w:hint="default" w:ascii="Times New Roman" w:hAnsi="Times New Roman" w:eastAsia="宋体" w:cs="Times New Roman"/>
          <w:snapToGrid w:val="0"/>
          <w:color w:val="auto"/>
          <w:kern w:val="0"/>
          <w:sz w:val="24"/>
          <w:szCs w:val="24"/>
          <w:vertAlign w:val="superscript"/>
          <w:lang w:val="en-US" w:eastAsia="zh-CN" w:bidi="ar-SA"/>
        </w:rPr>
        <w:t>2</w:t>
      </w:r>
      <w:r>
        <w:rPr>
          <w:rFonts w:hint="default" w:ascii="Times New Roman" w:hAnsi="Times New Roman" w:cs="Times New Roman"/>
          <w:color w:val="auto"/>
          <w:sz w:val="24"/>
          <w:szCs w:val="24"/>
          <w:lang w:val="en-US" w:eastAsia="zh-CN"/>
        </w:rPr>
        <w:t>范围</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未穿越生态环境敏感区</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highlight w:val="none"/>
          <w:lang w:val="en-US" w:eastAsia="zh-CN"/>
        </w:rPr>
        <w:t>。</w:t>
      </w:r>
    </w:p>
    <w:p w14:paraId="55B456A0">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施工占地不涉及水生，不需进行水生生态</w:t>
      </w:r>
      <w:r>
        <w:rPr>
          <w:rFonts w:hint="eastAsia" w:ascii="Times New Roman" w:hAnsi="Times New Roman" w:eastAsia="宋体" w:cs="Times New Roman"/>
          <w:color w:val="auto"/>
          <w:sz w:val="24"/>
          <w:szCs w:val="24"/>
          <w:highlight w:val="none"/>
          <w:lang w:val="en-US" w:eastAsia="zh-CN"/>
        </w:rPr>
        <w:t>调查</w:t>
      </w:r>
      <w:r>
        <w:rPr>
          <w:rFonts w:hint="default" w:ascii="Times New Roman" w:hAnsi="Times New Roman" w:eastAsia="宋体" w:cs="Times New Roman"/>
          <w:color w:val="auto"/>
          <w:sz w:val="24"/>
          <w:szCs w:val="24"/>
          <w:lang w:val="en-US" w:eastAsia="zh-CN"/>
        </w:rPr>
        <w:t>。</w:t>
      </w:r>
    </w:p>
    <w:p w14:paraId="774B223E">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cs="Times New Roman"/>
          <w:color w:val="auto"/>
          <w:lang w:val="en-US" w:eastAsia="zh-CN"/>
        </w:rPr>
      </w:pPr>
      <w:r>
        <w:rPr>
          <w:rFonts w:hint="eastAsia" w:cs="Times New Roman"/>
          <w:color w:val="auto"/>
          <w:lang w:val="en-US" w:eastAsia="zh-CN"/>
        </w:rPr>
        <w:t>项目</w:t>
      </w:r>
      <w:r>
        <w:rPr>
          <w:rFonts w:hint="default" w:ascii="Times New Roman" w:hAnsi="Times New Roman" w:cs="Times New Roman"/>
          <w:color w:val="auto"/>
          <w:lang w:val="en-US" w:eastAsia="zh-CN"/>
        </w:rPr>
        <w:t>永久占地66.98hm²（耕地58.64hm²，含永久基本农田49.04hm²），临时占地5.64hm²（含耕地3.51hm²），均已复垦为耕地或林地，复垦率100%。</w:t>
      </w:r>
    </w:p>
    <w:p w14:paraId="33E1D852">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5.4.2</w:t>
      </w:r>
      <w:r>
        <w:rPr>
          <w:rFonts w:hint="default" w:ascii="Times New Roman" w:hAnsi="Times New Roman" w:cs="Times New Roman"/>
          <w:color w:val="auto"/>
        </w:rPr>
        <w:t>运营期对土地利用类型的影响评价</w:t>
      </w:r>
    </w:p>
    <w:p w14:paraId="3ED85914">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运营期项目已经建成，不再新增占地面积</w:t>
      </w:r>
      <w:r>
        <w:rPr>
          <w:rFonts w:hint="eastAsia" w:cs="Times New Roman"/>
          <w:color w:val="auto"/>
          <w:szCs w:val="24"/>
          <w:lang w:eastAsia="zh-CN"/>
        </w:rPr>
        <w:t>，在</w:t>
      </w:r>
      <w:r>
        <w:rPr>
          <w:rFonts w:hint="default" w:ascii="Times New Roman" w:hAnsi="Times New Roman" w:cs="Times New Roman"/>
          <w:color w:val="auto"/>
          <w:szCs w:val="24"/>
        </w:rPr>
        <w:t>对临时占地进行植被恢复及复垦的前提下，项目运营期对土地利用格局基本无影响。</w:t>
      </w:r>
    </w:p>
    <w:p w14:paraId="780A14C1">
      <w:pPr>
        <w:pStyle w:val="3"/>
        <w:pageBreakBefore w:val="0"/>
        <w:widowControl w:val="0"/>
        <w:numPr>
          <w:ilvl w:val="0"/>
          <w:numId w:val="0"/>
        </w:numPr>
        <w:kinsoku/>
        <w:wordWrap/>
        <w:overflowPunct/>
        <w:topLinePunct w:val="0"/>
        <w:autoSpaceDE/>
        <w:autoSpaceDN/>
        <w:bidi w:val="0"/>
        <w:ind w:left="578" w:leftChars="0" w:hanging="578" w:firstLineChars="0"/>
        <w:textAlignment w:val="auto"/>
        <w:rPr>
          <w:rFonts w:hint="default" w:ascii="Times New Roman" w:hAnsi="Times New Roman" w:cs="Times New Roman"/>
          <w:color w:val="auto"/>
        </w:rPr>
      </w:pPr>
      <w:bookmarkStart w:id="111" w:name="_Toc3990"/>
      <w:bookmarkStart w:id="112" w:name="_Toc19238"/>
      <w:r>
        <w:rPr>
          <w:rFonts w:hint="eastAsia" w:ascii="Times New Roman" w:hAnsi="Times New Roman" w:cs="Times New Roman"/>
          <w:b/>
          <w:bCs/>
          <w:color w:val="auto"/>
          <w:kern w:val="2"/>
          <w:sz w:val="32"/>
          <w:szCs w:val="32"/>
          <w:lang w:val="en-US" w:eastAsia="zh-CN" w:bidi="ar-SA"/>
        </w:rPr>
        <w:t>5.5</w:t>
      </w:r>
      <w:r>
        <w:rPr>
          <w:rFonts w:hint="default" w:ascii="Times New Roman" w:hAnsi="Times New Roman" w:cs="Times New Roman"/>
          <w:color w:val="auto"/>
        </w:rPr>
        <w:t>临时工程对生态环境影响调查</w:t>
      </w:r>
      <w:bookmarkEnd w:id="111"/>
      <w:bookmarkEnd w:id="112"/>
    </w:p>
    <w:p w14:paraId="272EA56D">
      <w:pPr>
        <w:pStyle w:val="4"/>
        <w:pageBreakBefore w:val="0"/>
        <w:widowControl w:val="0"/>
        <w:numPr>
          <w:ilvl w:val="0"/>
          <w:numId w:val="0"/>
        </w:numPr>
        <w:kinsoku/>
        <w:wordWrap/>
        <w:overflowPunct/>
        <w:topLinePunct w:val="0"/>
        <w:autoSpaceDE/>
        <w:autoSpaceDN/>
        <w:bidi w:val="0"/>
        <w:ind w:left="720" w:leftChars="0" w:hanging="720" w:firstLineChars="0"/>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5.5.1</w:t>
      </w:r>
      <w:r>
        <w:rPr>
          <w:rFonts w:hint="eastAsia" w:cs="Times New Roman"/>
          <w:color w:val="auto"/>
          <w:lang w:val="en-US" w:eastAsia="zh-CN"/>
        </w:rPr>
        <w:t>项目占地</w:t>
      </w:r>
      <w:r>
        <w:rPr>
          <w:rFonts w:hint="default" w:ascii="Times New Roman" w:hAnsi="Times New Roman" w:cs="Times New Roman"/>
          <w:color w:val="auto"/>
        </w:rPr>
        <w:t>对生态环境影响调查</w:t>
      </w:r>
    </w:p>
    <w:p w14:paraId="48E1A49D">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根据重新报批内容</w:t>
      </w:r>
      <w:r>
        <w:rPr>
          <w:rFonts w:hint="eastAsia" w:cs="Times New Roman"/>
          <w:color w:val="auto"/>
          <w:lang w:val="en-US" w:eastAsia="zh-CN"/>
        </w:rPr>
        <w:t>，</w:t>
      </w:r>
      <w:r>
        <w:rPr>
          <w:rFonts w:hint="eastAsia" w:ascii="Times New Roman" w:hAnsi="Times New Roman" w:cs="Times New Roman"/>
          <w:color w:val="auto"/>
          <w:lang w:val="en-US" w:eastAsia="zh-CN"/>
        </w:rPr>
        <w:t>项目施工期设置了</w:t>
      </w:r>
      <w:r>
        <w:rPr>
          <w:rFonts w:hint="eastAsia" w:cs="Times New Roman"/>
          <w:color w:val="auto"/>
          <w:lang w:val="en-US" w:eastAsia="zh-CN"/>
        </w:rPr>
        <w:t>拌和</w:t>
      </w:r>
      <w:r>
        <w:rPr>
          <w:rFonts w:hint="eastAsia" w:ascii="Times New Roman" w:hAnsi="Times New Roman" w:cs="Times New Roman"/>
          <w:color w:val="auto"/>
          <w:lang w:val="en-US" w:eastAsia="zh-CN"/>
        </w:rPr>
        <w:t>场、预制场、弃土场等临时工程。</w:t>
      </w:r>
      <w:r>
        <w:rPr>
          <w:rFonts w:hint="eastAsia" w:cs="Times New Roman"/>
          <w:color w:val="auto"/>
          <w:lang w:val="en-US" w:eastAsia="zh-CN"/>
        </w:rPr>
        <w:t>经实际踏勘，项目施工期设置弃土场5处、临时拌和场1处、临时预制场2处。</w:t>
      </w:r>
    </w:p>
    <w:p w14:paraId="380EBCD2">
      <w:pPr>
        <w:numPr>
          <w:ilvl w:val="0"/>
          <w:numId w:val="0"/>
        </w:numPr>
        <w:tabs>
          <w:tab w:val="left" w:pos="0"/>
        </w:tabs>
        <w:bidi w:val="0"/>
        <w:spacing w:line="360" w:lineRule="auto"/>
        <w:ind w:left="0" w:leftChars="0" w:firstLine="0" w:firstLineChars="0"/>
        <w:jc w:val="center"/>
        <w:outlineLvl w:val="9"/>
        <w:rPr>
          <w:rFonts w:hint="default" w:ascii="Times New Roman" w:hAnsi="Times New Roman" w:eastAsia="宋体" w:cs="Times New Roman"/>
          <w:b/>
          <w:bCs/>
          <w:color w:val="auto"/>
          <w:spacing w:val="0"/>
          <w:w w:val="100"/>
          <w:kern w:val="0"/>
          <w:position w:val="0"/>
          <w:sz w:val="21"/>
          <w:szCs w:val="21"/>
          <w:lang w:eastAsia="zh-CN"/>
        </w:rPr>
      </w:pPr>
      <w:r>
        <w:rPr>
          <w:rFonts w:hint="default" w:ascii="Times New Roman" w:hAnsi="Times New Roman" w:eastAsia="宋体" w:cs="Times New Roman"/>
          <w:b/>
          <w:bCs/>
          <w:snapToGrid w:val="0"/>
          <w:color w:val="auto"/>
          <w:kern w:val="0"/>
          <w:sz w:val="24"/>
          <w:szCs w:val="18"/>
          <w:lang w:val="en-US" w:eastAsia="en-US" w:bidi="ar-SA"/>
        </w:rPr>
        <w:t>表</w:t>
      </w:r>
      <w:r>
        <w:rPr>
          <w:rFonts w:hint="eastAsia" w:cs="Times New Roman"/>
          <w:b/>
          <w:bCs/>
          <w:snapToGrid w:val="0"/>
          <w:color w:val="auto"/>
          <w:kern w:val="0"/>
          <w:sz w:val="24"/>
          <w:szCs w:val="18"/>
          <w:lang w:val="en-US" w:eastAsia="zh-CN" w:bidi="ar-SA"/>
        </w:rPr>
        <w:t>5.5</w:t>
      </w:r>
      <w:r>
        <w:rPr>
          <w:rFonts w:hint="default" w:ascii="Times New Roman" w:hAnsi="Times New Roman" w:eastAsia="宋体" w:cs="Times New Roman"/>
          <w:b/>
          <w:bCs/>
          <w:snapToGrid w:val="0"/>
          <w:color w:val="auto"/>
          <w:kern w:val="0"/>
          <w:sz w:val="24"/>
          <w:szCs w:val="18"/>
          <w:lang w:val="en-US" w:eastAsia="en-US" w:bidi="ar-SA"/>
        </w:rPr>
        <w:t>-</w:t>
      </w:r>
      <w:r>
        <w:rPr>
          <w:rFonts w:hint="eastAsia" w:cs="Times New Roman"/>
          <w:b/>
          <w:bCs/>
          <w:snapToGrid w:val="0"/>
          <w:color w:val="auto"/>
          <w:kern w:val="0"/>
          <w:sz w:val="24"/>
          <w:szCs w:val="18"/>
          <w:lang w:val="en-US" w:eastAsia="zh-CN" w:bidi="ar-SA"/>
        </w:rPr>
        <w:t>1</w:t>
      </w:r>
      <w:r>
        <w:rPr>
          <w:rFonts w:hint="default" w:ascii="Times New Roman" w:hAnsi="Times New Roman" w:eastAsia="宋体" w:cs="Times New Roman"/>
          <w:b/>
          <w:bCs/>
          <w:snapToGrid w:val="0"/>
          <w:color w:val="auto"/>
          <w:kern w:val="0"/>
          <w:sz w:val="24"/>
          <w:szCs w:val="18"/>
          <w:lang w:val="en-US" w:eastAsia="en-US" w:bidi="ar-SA"/>
        </w:rPr>
        <w:t xml:space="preserve">  </w:t>
      </w:r>
      <w:r>
        <w:rPr>
          <w:rFonts w:hint="default" w:ascii="Times New Roman" w:hAnsi="Times New Roman" w:cs="Times New Roman"/>
          <w:b/>
          <w:bCs/>
          <w:color w:val="auto"/>
          <w:lang w:val="en-US" w:eastAsia="zh-CN"/>
        </w:rPr>
        <w:t>项目</w:t>
      </w:r>
      <w:r>
        <w:rPr>
          <w:rFonts w:hint="default" w:ascii="Times New Roman" w:hAnsi="Times New Roman" w:cs="Times New Roman"/>
          <w:b/>
          <w:bCs/>
          <w:color w:val="auto"/>
          <w:lang w:eastAsia="zh-CN"/>
        </w:rPr>
        <w:t>弃土场</w:t>
      </w:r>
      <w:r>
        <w:rPr>
          <w:rFonts w:hint="default" w:ascii="Times New Roman" w:hAnsi="Times New Roman" w:eastAsia="宋体" w:cs="Times New Roman"/>
          <w:b/>
          <w:bCs/>
          <w:color w:val="auto"/>
        </w:rPr>
        <w:t>基本情况一览表</w:t>
      </w:r>
    </w:p>
    <w:tbl>
      <w:tblPr>
        <w:tblStyle w:val="3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21"/>
        <w:gridCol w:w="1787"/>
        <w:gridCol w:w="1782"/>
        <w:gridCol w:w="1179"/>
        <w:gridCol w:w="1364"/>
        <w:gridCol w:w="1180"/>
      </w:tblGrid>
      <w:tr w14:paraId="1AACF9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614" w:type="pct"/>
            <w:vMerge w:val="restart"/>
            <w:tcBorders>
              <w:tl2br w:val="nil"/>
              <w:tr2bl w:val="nil"/>
            </w:tcBorders>
            <w:noWrap w:val="0"/>
            <w:vAlign w:val="center"/>
          </w:tcPr>
          <w:p w14:paraId="2129C12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弃土场</w:t>
            </w:r>
          </w:p>
          <w:p w14:paraId="7D93DF5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编号</w:t>
            </w:r>
          </w:p>
        </w:tc>
        <w:tc>
          <w:tcPr>
            <w:tcW w:w="1074" w:type="pct"/>
            <w:vMerge w:val="restart"/>
            <w:tcBorders>
              <w:tl2br w:val="nil"/>
              <w:tr2bl w:val="nil"/>
            </w:tcBorders>
            <w:noWrap w:val="0"/>
            <w:vAlign w:val="center"/>
          </w:tcPr>
          <w:p w14:paraId="3CCA85F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桩号</w:t>
            </w:r>
          </w:p>
        </w:tc>
        <w:tc>
          <w:tcPr>
            <w:tcW w:w="1071" w:type="pct"/>
            <w:vMerge w:val="restart"/>
            <w:tcBorders>
              <w:tl2br w:val="nil"/>
              <w:tr2bl w:val="nil"/>
            </w:tcBorders>
            <w:noWrap w:val="0"/>
            <w:vAlign w:val="center"/>
          </w:tcPr>
          <w:p w14:paraId="4D84096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与路线位置关系</w:t>
            </w:r>
          </w:p>
          <w:p w14:paraId="109F774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w:t>
            </w:r>
            <w:r>
              <w:rPr>
                <w:rFonts w:hint="eastAsia" w:cs="Times New Roman"/>
                <w:color w:val="auto"/>
                <w:highlight w:val="none"/>
                <w:lang w:val="en-US" w:eastAsia="zh-CN"/>
              </w:rPr>
              <w:t>)</w:t>
            </w:r>
          </w:p>
        </w:tc>
        <w:tc>
          <w:tcPr>
            <w:tcW w:w="709" w:type="pct"/>
            <w:vMerge w:val="restart"/>
            <w:tcBorders>
              <w:tl2br w:val="nil"/>
              <w:tr2bl w:val="nil"/>
            </w:tcBorders>
            <w:noWrap w:val="0"/>
            <w:vAlign w:val="center"/>
          </w:tcPr>
          <w:p w14:paraId="1CF21BC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弃渣量</w:t>
            </w:r>
          </w:p>
          <w:p w14:paraId="1242501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tc>
        <w:tc>
          <w:tcPr>
            <w:tcW w:w="820" w:type="pct"/>
            <w:vMerge w:val="restart"/>
            <w:tcBorders>
              <w:tl2br w:val="nil"/>
              <w:tr2bl w:val="nil"/>
            </w:tcBorders>
            <w:noWrap w:val="0"/>
            <w:vAlign w:val="center"/>
          </w:tcPr>
          <w:p w14:paraId="2EBA733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最大堆高（m）</w:t>
            </w:r>
          </w:p>
        </w:tc>
        <w:tc>
          <w:tcPr>
            <w:tcW w:w="709" w:type="pct"/>
            <w:vMerge w:val="restart"/>
            <w:tcBorders>
              <w:tl2br w:val="nil"/>
              <w:tr2bl w:val="nil"/>
            </w:tcBorders>
            <w:noWrap w:val="0"/>
            <w:vAlign w:val="center"/>
          </w:tcPr>
          <w:p w14:paraId="0024CE9B">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容渣量</w:t>
            </w:r>
          </w:p>
          <w:p w14:paraId="5EB86C7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（万m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tc>
      </w:tr>
      <w:tr w14:paraId="2D85D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614" w:type="pct"/>
            <w:vMerge w:val="continue"/>
            <w:tcBorders>
              <w:tl2br w:val="nil"/>
              <w:tr2bl w:val="nil"/>
            </w:tcBorders>
            <w:noWrap w:val="0"/>
            <w:vAlign w:val="center"/>
          </w:tcPr>
          <w:p w14:paraId="470984A3">
            <w:pPr>
              <w:pStyle w:val="38"/>
              <w:bidi w:val="0"/>
              <w:jc w:val="center"/>
              <w:rPr>
                <w:rFonts w:hint="default" w:ascii="Times New Roman" w:hAnsi="Times New Roman" w:eastAsia="宋体" w:cs="Times New Roman"/>
                <w:color w:val="auto"/>
                <w:highlight w:val="none"/>
                <w:lang w:val="en-US" w:eastAsia="zh-CN"/>
              </w:rPr>
            </w:pPr>
          </w:p>
        </w:tc>
        <w:tc>
          <w:tcPr>
            <w:tcW w:w="1074" w:type="pct"/>
            <w:vMerge w:val="continue"/>
            <w:tcBorders>
              <w:tl2br w:val="nil"/>
              <w:tr2bl w:val="nil"/>
            </w:tcBorders>
            <w:noWrap w:val="0"/>
            <w:vAlign w:val="center"/>
          </w:tcPr>
          <w:p w14:paraId="46146841">
            <w:pPr>
              <w:pStyle w:val="38"/>
              <w:bidi w:val="0"/>
              <w:jc w:val="center"/>
              <w:rPr>
                <w:rFonts w:hint="default" w:ascii="Times New Roman" w:hAnsi="Times New Roman" w:eastAsia="宋体" w:cs="Times New Roman"/>
                <w:color w:val="auto"/>
                <w:highlight w:val="none"/>
                <w:lang w:val="en-US" w:eastAsia="zh-CN"/>
              </w:rPr>
            </w:pPr>
          </w:p>
        </w:tc>
        <w:tc>
          <w:tcPr>
            <w:tcW w:w="1071" w:type="pct"/>
            <w:vMerge w:val="continue"/>
            <w:tcBorders>
              <w:tl2br w:val="nil"/>
              <w:tr2bl w:val="nil"/>
            </w:tcBorders>
            <w:noWrap w:val="0"/>
            <w:vAlign w:val="center"/>
          </w:tcPr>
          <w:p w14:paraId="5871A529">
            <w:pPr>
              <w:pStyle w:val="38"/>
              <w:bidi w:val="0"/>
              <w:jc w:val="center"/>
              <w:rPr>
                <w:rFonts w:hint="default" w:ascii="Times New Roman" w:hAnsi="Times New Roman" w:eastAsia="宋体" w:cs="Times New Roman"/>
                <w:color w:val="auto"/>
                <w:highlight w:val="none"/>
                <w:lang w:val="en-US" w:eastAsia="zh-CN"/>
              </w:rPr>
            </w:pPr>
          </w:p>
        </w:tc>
        <w:tc>
          <w:tcPr>
            <w:tcW w:w="709" w:type="pct"/>
            <w:vMerge w:val="continue"/>
            <w:tcBorders>
              <w:tl2br w:val="nil"/>
              <w:tr2bl w:val="nil"/>
            </w:tcBorders>
            <w:noWrap w:val="0"/>
            <w:vAlign w:val="center"/>
          </w:tcPr>
          <w:p w14:paraId="35D38C6F">
            <w:pPr>
              <w:pStyle w:val="38"/>
              <w:bidi w:val="0"/>
              <w:jc w:val="center"/>
              <w:rPr>
                <w:rFonts w:hint="default" w:ascii="Times New Roman" w:hAnsi="Times New Roman" w:eastAsia="宋体" w:cs="Times New Roman"/>
                <w:color w:val="auto"/>
                <w:highlight w:val="none"/>
                <w:lang w:val="en-US" w:eastAsia="zh-CN"/>
              </w:rPr>
            </w:pPr>
          </w:p>
        </w:tc>
        <w:tc>
          <w:tcPr>
            <w:tcW w:w="820" w:type="pct"/>
            <w:vMerge w:val="continue"/>
            <w:tcBorders>
              <w:tl2br w:val="nil"/>
              <w:tr2bl w:val="nil"/>
            </w:tcBorders>
            <w:noWrap w:val="0"/>
            <w:vAlign w:val="center"/>
          </w:tcPr>
          <w:p w14:paraId="021F42D3">
            <w:pPr>
              <w:pStyle w:val="38"/>
              <w:bidi w:val="0"/>
              <w:jc w:val="center"/>
              <w:rPr>
                <w:rFonts w:hint="default" w:ascii="Times New Roman" w:hAnsi="Times New Roman" w:eastAsia="宋体" w:cs="Times New Roman"/>
                <w:color w:val="auto"/>
                <w:highlight w:val="none"/>
                <w:lang w:val="en-US" w:eastAsia="zh-CN"/>
              </w:rPr>
            </w:pPr>
          </w:p>
        </w:tc>
        <w:tc>
          <w:tcPr>
            <w:tcW w:w="709" w:type="pct"/>
            <w:vMerge w:val="continue"/>
            <w:tcBorders>
              <w:tl2br w:val="nil"/>
              <w:tr2bl w:val="nil"/>
            </w:tcBorders>
            <w:noWrap w:val="0"/>
            <w:vAlign w:val="center"/>
          </w:tcPr>
          <w:p w14:paraId="0732708A">
            <w:pPr>
              <w:pStyle w:val="38"/>
              <w:bidi w:val="0"/>
              <w:jc w:val="center"/>
              <w:rPr>
                <w:rFonts w:hint="default" w:ascii="Times New Roman" w:hAnsi="Times New Roman" w:eastAsia="宋体" w:cs="Times New Roman"/>
                <w:color w:val="auto"/>
                <w:highlight w:val="none"/>
                <w:lang w:val="en-US" w:eastAsia="zh-CN"/>
              </w:rPr>
            </w:pPr>
          </w:p>
        </w:tc>
      </w:tr>
      <w:tr w14:paraId="5EA8F0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614" w:type="pct"/>
            <w:tcBorders>
              <w:tl2br w:val="nil"/>
              <w:tr2bl w:val="nil"/>
            </w:tcBorders>
            <w:noWrap w:val="0"/>
            <w:vAlign w:val="center"/>
          </w:tcPr>
          <w:p w14:paraId="1F7C09E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074" w:type="pct"/>
            <w:tcBorders>
              <w:tl2br w:val="nil"/>
              <w:tr2bl w:val="nil"/>
            </w:tcBorders>
            <w:noWrap w:val="0"/>
            <w:vAlign w:val="center"/>
          </w:tcPr>
          <w:p w14:paraId="77DD2F6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K69+900</w:t>
            </w:r>
          </w:p>
        </w:tc>
        <w:tc>
          <w:tcPr>
            <w:tcW w:w="1071" w:type="pct"/>
            <w:tcBorders>
              <w:tl2br w:val="nil"/>
              <w:tr2bl w:val="nil"/>
            </w:tcBorders>
            <w:noWrap w:val="0"/>
            <w:vAlign w:val="center"/>
          </w:tcPr>
          <w:p w14:paraId="34188B7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w:t>
            </w:r>
          </w:p>
        </w:tc>
        <w:tc>
          <w:tcPr>
            <w:tcW w:w="709" w:type="pct"/>
            <w:tcBorders>
              <w:tl2br w:val="nil"/>
              <w:tr2bl w:val="nil"/>
            </w:tcBorders>
            <w:noWrap w:val="0"/>
            <w:vAlign w:val="center"/>
          </w:tcPr>
          <w:p w14:paraId="16BF972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1.40</w:t>
            </w:r>
          </w:p>
        </w:tc>
        <w:tc>
          <w:tcPr>
            <w:tcW w:w="820" w:type="pct"/>
            <w:tcBorders>
              <w:tl2br w:val="nil"/>
              <w:tr2bl w:val="nil"/>
            </w:tcBorders>
            <w:noWrap w:val="0"/>
            <w:vAlign w:val="center"/>
          </w:tcPr>
          <w:p w14:paraId="757C7C8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w:t>
            </w:r>
          </w:p>
        </w:tc>
        <w:tc>
          <w:tcPr>
            <w:tcW w:w="709" w:type="pct"/>
            <w:tcBorders>
              <w:tl2br w:val="nil"/>
              <w:tr2bl w:val="nil"/>
            </w:tcBorders>
            <w:noWrap w:val="0"/>
            <w:vAlign w:val="center"/>
          </w:tcPr>
          <w:p w14:paraId="44CA53F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2.04</w:t>
            </w:r>
          </w:p>
        </w:tc>
      </w:tr>
      <w:tr w14:paraId="7F1009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14" w:type="pct"/>
            <w:tcBorders>
              <w:tl2br w:val="nil"/>
              <w:tr2bl w:val="nil"/>
            </w:tcBorders>
            <w:noWrap w:val="0"/>
            <w:vAlign w:val="center"/>
          </w:tcPr>
          <w:p w14:paraId="6C09140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074" w:type="pct"/>
            <w:tcBorders>
              <w:tl2br w:val="nil"/>
              <w:tr2bl w:val="nil"/>
            </w:tcBorders>
            <w:noWrap w:val="0"/>
            <w:vAlign w:val="center"/>
          </w:tcPr>
          <w:p w14:paraId="447CCB3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K72+350</w:t>
            </w:r>
          </w:p>
        </w:tc>
        <w:tc>
          <w:tcPr>
            <w:tcW w:w="1071" w:type="pct"/>
            <w:tcBorders>
              <w:tl2br w:val="nil"/>
              <w:tr2bl w:val="nil"/>
            </w:tcBorders>
            <w:noWrap w:val="0"/>
            <w:vAlign w:val="center"/>
          </w:tcPr>
          <w:p w14:paraId="3B2D60A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w:t>
            </w:r>
          </w:p>
        </w:tc>
        <w:tc>
          <w:tcPr>
            <w:tcW w:w="709" w:type="pct"/>
            <w:tcBorders>
              <w:tl2br w:val="nil"/>
              <w:tr2bl w:val="nil"/>
            </w:tcBorders>
            <w:noWrap w:val="0"/>
            <w:vAlign w:val="center"/>
          </w:tcPr>
          <w:p w14:paraId="75510B4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3.66</w:t>
            </w:r>
          </w:p>
        </w:tc>
        <w:tc>
          <w:tcPr>
            <w:tcW w:w="820" w:type="pct"/>
            <w:tcBorders>
              <w:tl2br w:val="nil"/>
              <w:tr2bl w:val="nil"/>
            </w:tcBorders>
            <w:noWrap w:val="0"/>
            <w:vAlign w:val="center"/>
          </w:tcPr>
          <w:p w14:paraId="30F0E4F6">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709" w:type="pct"/>
            <w:tcBorders>
              <w:tl2br w:val="nil"/>
              <w:tr2bl w:val="nil"/>
            </w:tcBorders>
            <w:noWrap w:val="0"/>
            <w:vAlign w:val="center"/>
          </w:tcPr>
          <w:p w14:paraId="1551615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5.52</w:t>
            </w:r>
          </w:p>
        </w:tc>
      </w:tr>
      <w:tr w14:paraId="3677F5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614" w:type="pct"/>
            <w:tcBorders>
              <w:tl2br w:val="nil"/>
              <w:tr2bl w:val="nil"/>
            </w:tcBorders>
            <w:noWrap w:val="0"/>
            <w:vAlign w:val="center"/>
          </w:tcPr>
          <w:p w14:paraId="077D0F6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074" w:type="pct"/>
            <w:tcBorders>
              <w:tl2br w:val="nil"/>
              <w:tr2bl w:val="nil"/>
            </w:tcBorders>
            <w:noWrap w:val="0"/>
            <w:vAlign w:val="center"/>
          </w:tcPr>
          <w:p w14:paraId="0B57FE3C">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K73+080</w:t>
            </w:r>
          </w:p>
        </w:tc>
        <w:tc>
          <w:tcPr>
            <w:tcW w:w="1071" w:type="pct"/>
            <w:tcBorders>
              <w:tl2br w:val="nil"/>
              <w:tr2bl w:val="nil"/>
            </w:tcBorders>
            <w:noWrap w:val="0"/>
            <w:vAlign w:val="center"/>
          </w:tcPr>
          <w:p w14:paraId="6A3E8577">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w:t>
            </w:r>
          </w:p>
        </w:tc>
        <w:tc>
          <w:tcPr>
            <w:tcW w:w="709" w:type="pct"/>
            <w:tcBorders>
              <w:tl2br w:val="nil"/>
              <w:tr2bl w:val="nil"/>
            </w:tcBorders>
            <w:noWrap w:val="0"/>
            <w:vAlign w:val="center"/>
          </w:tcPr>
          <w:p w14:paraId="6EDD27B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3.08</w:t>
            </w:r>
          </w:p>
        </w:tc>
        <w:tc>
          <w:tcPr>
            <w:tcW w:w="820" w:type="pct"/>
            <w:tcBorders>
              <w:tl2br w:val="nil"/>
              <w:tr2bl w:val="nil"/>
            </w:tcBorders>
            <w:noWrap w:val="0"/>
            <w:vAlign w:val="center"/>
          </w:tcPr>
          <w:p w14:paraId="7F94806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w:t>
            </w:r>
          </w:p>
        </w:tc>
        <w:tc>
          <w:tcPr>
            <w:tcW w:w="709" w:type="pct"/>
            <w:tcBorders>
              <w:tl2br w:val="nil"/>
              <w:tr2bl w:val="nil"/>
            </w:tcBorders>
            <w:noWrap w:val="0"/>
            <w:vAlign w:val="center"/>
          </w:tcPr>
          <w:p w14:paraId="5DD4B48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4.56</w:t>
            </w:r>
          </w:p>
        </w:tc>
      </w:tr>
      <w:tr w14:paraId="70A5E8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614" w:type="pct"/>
            <w:tcBorders>
              <w:tl2br w:val="nil"/>
              <w:tr2bl w:val="nil"/>
            </w:tcBorders>
            <w:noWrap w:val="0"/>
            <w:vAlign w:val="center"/>
          </w:tcPr>
          <w:p w14:paraId="3EB42412">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1074" w:type="pct"/>
            <w:tcBorders>
              <w:tl2br w:val="nil"/>
              <w:tr2bl w:val="nil"/>
            </w:tcBorders>
            <w:noWrap w:val="0"/>
            <w:vAlign w:val="center"/>
          </w:tcPr>
          <w:p w14:paraId="1EB56DC3">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K74+740</w:t>
            </w:r>
          </w:p>
        </w:tc>
        <w:tc>
          <w:tcPr>
            <w:tcW w:w="1071" w:type="pct"/>
            <w:tcBorders>
              <w:tl2br w:val="nil"/>
              <w:tr2bl w:val="nil"/>
            </w:tcBorders>
            <w:noWrap w:val="0"/>
            <w:vAlign w:val="center"/>
          </w:tcPr>
          <w:p w14:paraId="2E4B207F">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路基左侧150m</w:t>
            </w:r>
          </w:p>
        </w:tc>
        <w:tc>
          <w:tcPr>
            <w:tcW w:w="709" w:type="pct"/>
            <w:tcBorders>
              <w:tl2br w:val="nil"/>
              <w:tr2bl w:val="nil"/>
            </w:tcBorders>
            <w:noWrap w:val="0"/>
            <w:vAlign w:val="center"/>
          </w:tcPr>
          <w:p w14:paraId="5CF8284D">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14.78</w:t>
            </w:r>
          </w:p>
        </w:tc>
        <w:tc>
          <w:tcPr>
            <w:tcW w:w="820" w:type="pct"/>
            <w:tcBorders>
              <w:tl2br w:val="nil"/>
              <w:tr2bl w:val="nil"/>
            </w:tcBorders>
            <w:noWrap w:val="0"/>
            <w:vAlign w:val="center"/>
          </w:tcPr>
          <w:p w14:paraId="3E12E42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w:t>
            </w:r>
          </w:p>
        </w:tc>
        <w:tc>
          <w:tcPr>
            <w:tcW w:w="709" w:type="pct"/>
            <w:tcBorders>
              <w:tl2br w:val="nil"/>
              <w:tr2bl w:val="nil"/>
            </w:tcBorders>
            <w:noWrap w:val="0"/>
            <w:vAlign w:val="center"/>
          </w:tcPr>
          <w:p w14:paraId="30FE71B9">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21.52</w:t>
            </w:r>
          </w:p>
        </w:tc>
      </w:tr>
      <w:tr w14:paraId="31D2B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trPr>
        <w:tc>
          <w:tcPr>
            <w:tcW w:w="614" w:type="pct"/>
            <w:tcBorders>
              <w:tl2br w:val="nil"/>
              <w:tr2bl w:val="nil"/>
            </w:tcBorders>
            <w:noWrap w:val="0"/>
            <w:vAlign w:val="center"/>
          </w:tcPr>
          <w:p w14:paraId="613470D8">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1074" w:type="pct"/>
            <w:tcBorders>
              <w:tl2br w:val="nil"/>
              <w:tr2bl w:val="nil"/>
            </w:tcBorders>
            <w:noWrap w:val="0"/>
            <w:vAlign w:val="center"/>
          </w:tcPr>
          <w:p w14:paraId="4D2AF6BE">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小沔枢纽互通D匝道DK0+250右侧</w:t>
            </w:r>
          </w:p>
        </w:tc>
        <w:tc>
          <w:tcPr>
            <w:tcW w:w="1071" w:type="pct"/>
            <w:tcBorders>
              <w:tl2br w:val="nil"/>
              <w:tr2bl w:val="nil"/>
            </w:tcBorders>
            <w:noWrap w:val="0"/>
            <w:vAlign w:val="center"/>
          </w:tcPr>
          <w:p w14:paraId="7052152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路基右侧</w:t>
            </w:r>
          </w:p>
        </w:tc>
        <w:tc>
          <w:tcPr>
            <w:tcW w:w="709" w:type="pct"/>
            <w:tcBorders>
              <w:tl2br w:val="nil"/>
              <w:tr2bl w:val="nil"/>
            </w:tcBorders>
            <w:noWrap w:val="0"/>
            <w:vAlign w:val="center"/>
          </w:tcPr>
          <w:p w14:paraId="20163970">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7.26</w:t>
            </w:r>
          </w:p>
        </w:tc>
        <w:tc>
          <w:tcPr>
            <w:tcW w:w="820" w:type="pct"/>
            <w:tcBorders>
              <w:tl2br w:val="nil"/>
              <w:tr2bl w:val="nil"/>
            </w:tcBorders>
            <w:noWrap w:val="0"/>
            <w:vAlign w:val="center"/>
          </w:tcPr>
          <w:p w14:paraId="587D71D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709" w:type="pct"/>
            <w:tcBorders>
              <w:tl2br w:val="nil"/>
              <w:tr2bl w:val="nil"/>
            </w:tcBorders>
            <w:noWrap w:val="0"/>
            <w:vAlign w:val="center"/>
          </w:tcPr>
          <w:p w14:paraId="0199FAC4">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11.14</w:t>
            </w:r>
          </w:p>
        </w:tc>
      </w:tr>
      <w:tr w14:paraId="65F739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614" w:type="pct"/>
            <w:tcBorders>
              <w:tl2br w:val="nil"/>
              <w:tr2bl w:val="nil"/>
            </w:tcBorders>
            <w:noWrap w:val="0"/>
            <w:vAlign w:val="center"/>
          </w:tcPr>
          <w:p w14:paraId="0561DBF5">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合计</w:t>
            </w:r>
          </w:p>
        </w:tc>
        <w:tc>
          <w:tcPr>
            <w:tcW w:w="1074" w:type="pct"/>
            <w:tcBorders>
              <w:tl2br w:val="nil"/>
              <w:tr2bl w:val="nil"/>
            </w:tcBorders>
            <w:noWrap w:val="0"/>
            <w:vAlign w:val="center"/>
          </w:tcPr>
          <w:p w14:paraId="0B048E75">
            <w:pPr>
              <w:pStyle w:val="38"/>
              <w:bidi w:val="0"/>
              <w:jc w:val="center"/>
              <w:rPr>
                <w:rFonts w:hint="default" w:ascii="Times New Roman" w:hAnsi="Times New Roman" w:eastAsia="宋体" w:cs="Times New Roman"/>
                <w:color w:val="auto"/>
                <w:highlight w:val="none"/>
                <w:lang w:val="en-US" w:eastAsia="zh-CN"/>
              </w:rPr>
            </w:pPr>
          </w:p>
        </w:tc>
        <w:tc>
          <w:tcPr>
            <w:tcW w:w="1071" w:type="pct"/>
            <w:tcBorders>
              <w:tl2br w:val="nil"/>
              <w:tr2bl w:val="nil"/>
            </w:tcBorders>
            <w:noWrap w:val="0"/>
            <w:vAlign w:val="center"/>
          </w:tcPr>
          <w:p w14:paraId="06ECF0F2">
            <w:pPr>
              <w:pStyle w:val="38"/>
              <w:bidi w:val="0"/>
              <w:jc w:val="center"/>
              <w:rPr>
                <w:rFonts w:hint="default" w:ascii="Times New Roman" w:hAnsi="Times New Roman" w:eastAsia="宋体" w:cs="Times New Roman"/>
                <w:color w:val="auto"/>
                <w:highlight w:val="none"/>
                <w:lang w:val="en-US" w:eastAsia="zh-CN"/>
              </w:rPr>
            </w:pPr>
          </w:p>
        </w:tc>
        <w:tc>
          <w:tcPr>
            <w:tcW w:w="709" w:type="pct"/>
            <w:tcBorders>
              <w:tl2br w:val="nil"/>
              <w:tr2bl w:val="nil"/>
            </w:tcBorders>
            <w:noWrap w:val="0"/>
            <w:vAlign w:val="center"/>
          </w:tcPr>
          <w:p w14:paraId="0A7F8F7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30.18</w:t>
            </w:r>
          </w:p>
        </w:tc>
        <w:tc>
          <w:tcPr>
            <w:tcW w:w="820" w:type="pct"/>
            <w:tcBorders>
              <w:tl2br w:val="nil"/>
              <w:tr2bl w:val="nil"/>
            </w:tcBorders>
            <w:noWrap w:val="0"/>
            <w:vAlign w:val="center"/>
          </w:tcPr>
          <w:p w14:paraId="658710F0">
            <w:pPr>
              <w:pStyle w:val="38"/>
              <w:bidi w:val="0"/>
              <w:jc w:val="center"/>
              <w:rPr>
                <w:rFonts w:hint="default" w:ascii="Times New Roman" w:hAnsi="Times New Roman" w:eastAsia="宋体" w:cs="Times New Roman"/>
                <w:color w:val="auto"/>
                <w:highlight w:val="none"/>
                <w:lang w:val="en-US" w:eastAsia="zh-CN"/>
              </w:rPr>
            </w:pPr>
          </w:p>
        </w:tc>
        <w:tc>
          <w:tcPr>
            <w:tcW w:w="709" w:type="pct"/>
            <w:tcBorders>
              <w:tl2br w:val="nil"/>
              <w:tr2bl w:val="nil"/>
            </w:tcBorders>
            <w:noWrap w:val="0"/>
            <w:vAlign w:val="center"/>
          </w:tcPr>
          <w:p w14:paraId="55FEE8CA">
            <w:pPr>
              <w:pStyle w:val="38"/>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44.78</w:t>
            </w:r>
          </w:p>
        </w:tc>
      </w:tr>
    </w:tbl>
    <w:p w14:paraId="4A588100">
      <w:pPr>
        <w:spacing w:line="360" w:lineRule="auto"/>
        <w:ind w:left="0" w:leftChars="0" w:firstLine="0" w:firstLineChars="0"/>
        <w:rPr>
          <w:rFonts w:hint="default" w:ascii="Times New Roman" w:hAnsi="Times New Roman" w:cs="Times New Roman"/>
          <w:color w:val="auto"/>
          <w:spacing w:val="0"/>
          <w:w w:val="100"/>
          <w:kern w:val="0"/>
          <w:position w:val="0"/>
          <w:sz w:val="24"/>
          <w:szCs w:val="24"/>
          <w:lang w:val="en-US" w:eastAsia="zh-CN"/>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58833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46F7C104">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drawing>
                <wp:inline distT="0" distB="0" distL="114300" distR="114300">
                  <wp:extent cx="5265420" cy="2791460"/>
                  <wp:effectExtent l="0" t="0" r="11430" b="8890"/>
                  <wp:docPr id="29" name="图片 29" descr="2a7bfab8-882f-4b22-b1de-a547e18d5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a7bfab8-882f-4b22-b1de-a547e18d50f0"/>
                          <pic:cNvPicPr>
                            <a:picLocks noChangeAspect="1"/>
                          </pic:cNvPicPr>
                        </pic:nvPicPr>
                        <pic:blipFill>
                          <a:blip r:embed="rId38"/>
                          <a:stretch>
                            <a:fillRect/>
                          </a:stretch>
                        </pic:blipFill>
                        <pic:spPr>
                          <a:xfrm>
                            <a:off x="0" y="0"/>
                            <a:ext cx="5265420" cy="2791460"/>
                          </a:xfrm>
                          <a:prstGeom prst="rect">
                            <a:avLst/>
                          </a:prstGeom>
                        </pic:spPr>
                      </pic:pic>
                    </a:graphicData>
                  </a:graphic>
                </wp:inline>
              </w:drawing>
            </w:r>
          </w:p>
        </w:tc>
      </w:tr>
      <w:tr w14:paraId="55D77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14DD7900">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eastAsia" w:ascii="Times New Roman" w:hAnsi="Times New Roman" w:cs="Times New Roman"/>
                <w:b/>
                <w:bCs/>
                <w:color w:val="auto"/>
                <w:sz w:val="21"/>
                <w:szCs w:val="21"/>
                <w:vertAlign w:val="baseline"/>
                <w:lang w:val="en-US" w:eastAsia="zh-CN"/>
              </w:rPr>
              <w:t>图5.</w:t>
            </w:r>
            <w:r>
              <w:rPr>
                <w:rFonts w:hint="eastAsia" w:cs="Times New Roman"/>
                <w:b/>
                <w:bCs/>
                <w:color w:val="auto"/>
                <w:sz w:val="21"/>
                <w:szCs w:val="21"/>
                <w:vertAlign w:val="baseline"/>
                <w:lang w:val="en-US" w:eastAsia="zh-CN"/>
              </w:rPr>
              <w:t>5</w:t>
            </w:r>
            <w:r>
              <w:rPr>
                <w:rFonts w:hint="eastAsia" w:ascii="Times New Roman" w:hAnsi="Times New Roman" w:cs="Times New Roman"/>
                <w:b/>
                <w:bCs/>
                <w:color w:val="auto"/>
                <w:sz w:val="21"/>
                <w:szCs w:val="21"/>
                <w:vertAlign w:val="baseline"/>
                <w:lang w:val="en-US" w:eastAsia="zh-CN"/>
              </w:rPr>
              <w:t xml:space="preserve">-1 </w:t>
            </w:r>
            <w:r>
              <w:rPr>
                <w:rFonts w:hint="default" w:ascii="Times New Roman" w:hAnsi="Times New Roman" w:cs="Times New Roman"/>
                <w:b/>
                <w:bCs/>
                <w:color w:val="auto"/>
                <w:sz w:val="21"/>
                <w:szCs w:val="21"/>
                <w:vertAlign w:val="baseline"/>
                <w:lang w:val="en-US" w:eastAsia="zh-CN"/>
              </w:rPr>
              <w:t>K69+900</w:t>
            </w:r>
            <w:r>
              <w:rPr>
                <w:rFonts w:hint="eastAsia" w:ascii="Times New Roman" w:hAnsi="Times New Roman" w:cs="Times New Roman"/>
                <w:b/>
                <w:bCs/>
                <w:color w:val="auto"/>
                <w:sz w:val="21"/>
                <w:szCs w:val="21"/>
                <w:vertAlign w:val="baseline"/>
                <w:lang w:val="en-US" w:eastAsia="zh-CN"/>
              </w:rPr>
              <w:t>弃土场现状</w:t>
            </w:r>
          </w:p>
        </w:tc>
      </w:tr>
      <w:tr w14:paraId="27AA1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7B9C98D0">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drawing>
                <wp:inline distT="0" distB="0" distL="114300" distR="114300">
                  <wp:extent cx="5265420" cy="2760980"/>
                  <wp:effectExtent l="0" t="0" r="11430" b="1270"/>
                  <wp:docPr id="25" name="图片 25" descr="微信图片_20260407095239_67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60407095239_67_23"/>
                          <pic:cNvPicPr>
                            <a:picLocks noChangeAspect="1"/>
                          </pic:cNvPicPr>
                        </pic:nvPicPr>
                        <pic:blipFill>
                          <a:blip r:embed="rId39"/>
                          <a:stretch>
                            <a:fillRect/>
                          </a:stretch>
                        </pic:blipFill>
                        <pic:spPr>
                          <a:xfrm>
                            <a:off x="0" y="0"/>
                            <a:ext cx="5265420" cy="2760980"/>
                          </a:xfrm>
                          <a:prstGeom prst="rect">
                            <a:avLst/>
                          </a:prstGeom>
                        </pic:spPr>
                      </pic:pic>
                    </a:graphicData>
                  </a:graphic>
                </wp:inline>
              </w:drawing>
            </w:r>
          </w:p>
        </w:tc>
      </w:tr>
      <w:tr w14:paraId="6B81D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101BA55F">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eastAsia" w:ascii="Times New Roman" w:hAnsi="Times New Roman" w:cs="Times New Roman"/>
                <w:b/>
                <w:bCs/>
                <w:color w:val="auto"/>
                <w:sz w:val="21"/>
                <w:szCs w:val="21"/>
                <w:vertAlign w:val="baseline"/>
                <w:lang w:val="en-US" w:eastAsia="zh-CN"/>
              </w:rPr>
              <w:t>图5.</w:t>
            </w:r>
            <w:r>
              <w:rPr>
                <w:rFonts w:hint="eastAsia" w:cs="Times New Roman"/>
                <w:b/>
                <w:bCs/>
                <w:color w:val="auto"/>
                <w:sz w:val="21"/>
                <w:szCs w:val="21"/>
                <w:vertAlign w:val="baseline"/>
                <w:lang w:val="en-US" w:eastAsia="zh-CN"/>
              </w:rPr>
              <w:t>5</w:t>
            </w:r>
            <w:r>
              <w:rPr>
                <w:rFonts w:hint="eastAsia" w:ascii="Times New Roman" w:hAnsi="Times New Roman" w:cs="Times New Roman"/>
                <w:b/>
                <w:bCs/>
                <w:color w:val="auto"/>
                <w:sz w:val="21"/>
                <w:szCs w:val="21"/>
                <w:vertAlign w:val="baseline"/>
                <w:lang w:val="en-US" w:eastAsia="zh-CN"/>
              </w:rPr>
              <w:t>-</w:t>
            </w:r>
            <w:r>
              <w:rPr>
                <w:rFonts w:hint="eastAsia" w:cs="Times New Roman"/>
                <w:b/>
                <w:bCs/>
                <w:color w:val="auto"/>
                <w:sz w:val="21"/>
                <w:szCs w:val="21"/>
                <w:vertAlign w:val="baseline"/>
                <w:lang w:val="en-US" w:eastAsia="zh-CN"/>
              </w:rPr>
              <w:t>2</w:t>
            </w:r>
            <w:r>
              <w:rPr>
                <w:rFonts w:hint="eastAsia" w:ascii="Times New Roman" w:hAnsi="Times New Roman" w:cs="Times New Roman"/>
                <w:b/>
                <w:bCs/>
                <w:color w:val="auto"/>
                <w:sz w:val="21"/>
                <w:szCs w:val="21"/>
                <w:vertAlign w:val="baseline"/>
                <w:lang w:val="en-US" w:eastAsia="zh-CN"/>
              </w:rPr>
              <w:t xml:space="preserve"> </w:t>
            </w:r>
            <w:r>
              <w:rPr>
                <w:rFonts w:hint="default" w:ascii="Times New Roman" w:hAnsi="Times New Roman" w:cs="Times New Roman"/>
                <w:b/>
                <w:bCs/>
                <w:color w:val="auto"/>
                <w:sz w:val="21"/>
                <w:szCs w:val="21"/>
                <w:vertAlign w:val="baseline"/>
                <w:lang w:val="en-US" w:eastAsia="zh-CN"/>
              </w:rPr>
              <w:t>K72+350</w:t>
            </w:r>
            <w:r>
              <w:rPr>
                <w:rFonts w:hint="eastAsia" w:ascii="Times New Roman" w:hAnsi="Times New Roman" w:cs="Times New Roman"/>
                <w:b/>
                <w:bCs/>
                <w:color w:val="auto"/>
                <w:sz w:val="21"/>
                <w:szCs w:val="21"/>
                <w:vertAlign w:val="baseline"/>
                <w:lang w:val="en-US" w:eastAsia="zh-CN"/>
              </w:rPr>
              <w:t>弃土场现状</w:t>
            </w:r>
          </w:p>
        </w:tc>
      </w:tr>
      <w:tr w14:paraId="28635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5D61E35C">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drawing>
                <wp:inline distT="0" distB="0" distL="114300" distR="114300">
                  <wp:extent cx="5265420" cy="2665730"/>
                  <wp:effectExtent l="0" t="0" r="11430" b="1270"/>
                  <wp:docPr id="27" name="图片 27" descr="微信图片_20260407095224_65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60407095224_65_23"/>
                          <pic:cNvPicPr>
                            <a:picLocks noChangeAspect="1"/>
                          </pic:cNvPicPr>
                        </pic:nvPicPr>
                        <pic:blipFill>
                          <a:blip r:embed="rId40"/>
                          <a:stretch>
                            <a:fillRect/>
                          </a:stretch>
                        </pic:blipFill>
                        <pic:spPr>
                          <a:xfrm>
                            <a:off x="0" y="0"/>
                            <a:ext cx="5265420" cy="2665730"/>
                          </a:xfrm>
                          <a:prstGeom prst="rect">
                            <a:avLst/>
                          </a:prstGeom>
                        </pic:spPr>
                      </pic:pic>
                    </a:graphicData>
                  </a:graphic>
                </wp:inline>
              </w:drawing>
            </w:r>
          </w:p>
        </w:tc>
      </w:tr>
      <w:tr w14:paraId="1645D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8522" w:type="dxa"/>
            <w:vAlign w:val="center"/>
          </w:tcPr>
          <w:p w14:paraId="7D5455E9">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eastAsia" w:ascii="Times New Roman" w:hAnsi="Times New Roman" w:cs="Times New Roman"/>
                <w:b/>
                <w:bCs/>
                <w:color w:val="auto"/>
                <w:sz w:val="21"/>
                <w:szCs w:val="21"/>
                <w:vertAlign w:val="baseline"/>
                <w:lang w:val="en-US" w:eastAsia="zh-CN"/>
              </w:rPr>
              <w:t>图5.</w:t>
            </w:r>
            <w:r>
              <w:rPr>
                <w:rFonts w:hint="eastAsia" w:cs="Times New Roman"/>
                <w:b/>
                <w:bCs/>
                <w:color w:val="auto"/>
                <w:sz w:val="21"/>
                <w:szCs w:val="21"/>
                <w:vertAlign w:val="baseline"/>
                <w:lang w:val="en-US" w:eastAsia="zh-CN"/>
              </w:rPr>
              <w:t>5</w:t>
            </w:r>
            <w:r>
              <w:rPr>
                <w:rFonts w:hint="eastAsia" w:ascii="Times New Roman" w:hAnsi="Times New Roman" w:cs="Times New Roman"/>
                <w:b/>
                <w:bCs/>
                <w:color w:val="auto"/>
                <w:sz w:val="21"/>
                <w:szCs w:val="21"/>
                <w:vertAlign w:val="baseline"/>
                <w:lang w:val="en-US" w:eastAsia="zh-CN"/>
              </w:rPr>
              <w:t>-</w:t>
            </w:r>
            <w:r>
              <w:rPr>
                <w:rFonts w:hint="eastAsia" w:cs="Times New Roman"/>
                <w:b/>
                <w:bCs/>
                <w:color w:val="auto"/>
                <w:sz w:val="21"/>
                <w:szCs w:val="21"/>
                <w:vertAlign w:val="baseline"/>
                <w:lang w:val="en-US" w:eastAsia="zh-CN"/>
              </w:rPr>
              <w:t>3</w:t>
            </w:r>
            <w:r>
              <w:rPr>
                <w:rFonts w:hint="eastAsia" w:ascii="Times New Roman" w:hAnsi="Times New Roman" w:cs="Times New Roman"/>
                <w:b/>
                <w:bCs/>
                <w:color w:val="auto"/>
                <w:sz w:val="21"/>
                <w:szCs w:val="21"/>
                <w:vertAlign w:val="baseline"/>
                <w:lang w:val="en-US" w:eastAsia="zh-CN"/>
              </w:rPr>
              <w:t xml:space="preserve"> </w:t>
            </w:r>
            <w:r>
              <w:rPr>
                <w:rFonts w:hint="default" w:ascii="Times New Roman" w:hAnsi="Times New Roman" w:cs="Times New Roman"/>
                <w:b/>
                <w:bCs/>
                <w:color w:val="auto"/>
                <w:sz w:val="21"/>
                <w:szCs w:val="21"/>
                <w:vertAlign w:val="baseline"/>
                <w:lang w:val="en-US" w:eastAsia="zh-CN"/>
              </w:rPr>
              <w:t>K73+080</w:t>
            </w:r>
            <w:r>
              <w:rPr>
                <w:rFonts w:hint="eastAsia" w:ascii="Times New Roman" w:hAnsi="Times New Roman" w:cs="Times New Roman"/>
                <w:b/>
                <w:bCs/>
                <w:color w:val="auto"/>
                <w:sz w:val="21"/>
                <w:szCs w:val="21"/>
                <w:vertAlign w:val="baseline"/>
                <w:lang w:val="en-US" w:eastAsia="zh-CN"/>
              </w:rPr>
              <w:t>弃土场现状</w:t>
            </w:r>
          </w:p>
        </w:tc>
      </w:tr>
      <w:tr w14:paraId="48EE6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61FD06EF">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drawing>
                <wp:inline distT="0" distB="0" distL="114300" distR="114300">
                  <wp:extent cx="5265420" cy="2617470"/>
                  <wp:effectExtent l="0" t="0" r="11430" b="11430"/>
                  <wp:docPr id="28" name="图片 28" descr="微信图片_20260407095122_6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60407095122_61_23"/>
                          <pic:cNvPicPr>
                            <a:picLocks noChangeAspect="1"/>
                          </pic:cNvPicPr>
                        </pic:nvPicPr>
                        <pic:blipFill>
                          <a:blip r:embed="rId41"/>
                          <a:stretch>
                            <a:fillRect/>
                          </a:stretch>
                        </pic:blipFill>
                        <pic:spPr>
                          <a:xfrm>
                            <a:off x="0" y="0"/>
                            <a:ext cx="5265420" cy="2617470"/>
                          </a:xfrm>
                          <a:prstGeom prst="rect">
                            <a:avLst/>
                          </a:prstGeom>
                        </pic:spPr>
                      </pic:pic>
                    </a:graphicData>
                  </a:graphic>
                </wp:inline>
              </w:drawing>
            </w:r>
          </w:p>
        </w:tc>
      </w:tr>
      <w:tr w14:paraId="55501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425F20B6">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eastAsia" w:ascii="Times New Roman" w:hAnsi="Times New Roman" w:cs="Times New Roman"/>
                <w:b/>
                <w:bCs/>
                <w:color w:val="auto"/>
                <w:sz w:val="21"/>
                <w:szCs w:val="21"/>
                <w:vertAlign w:val="baseline"/>
                <w:lang w:val="en-US" w:eastAsia="zh-CN"/>
              </w:rPr>
              <w:t>图5.</w:t>
            </w:r>
            <w:r>
              <w:rPr>
                <w:rFonts w:hint="eastAsia" w:cs="Times New Roman"/>
                <w:b/>
                <w:bCs/>
                <w:color w:val="auto"/>
                <w:sz w:val="21"/>
                <w:szCs w:val="21"/>
                <w:vertAlign w:val="baseline"/>
                <w:lang w:val="en-US" w:eastAsia="zh-CN"/>
              </w:rPr>
              <w:t>5</w:t>
            </w:r>
            <w:r>
              <w:rPr>
                <w:rFonts w:hint="eastAsia" w:ascii="Times New Roman" w:hAnsi="Times New Roman" w:cs="Times New Roman"/>
                <w:b/>
                <w:bCs/>
                <w:color w:val="auto"/>
                <w:sz w:val="21"/>
                <w:szCs w:val="21"/>
                <w:vertAlign w:val="baseline"/>
                <w:lang w:val="en-US" w:eastAsia="zh-CN"/>
              </w:rPr>
              <w:t>-</w:t>
            </w:r>
            <w:r>
              <w:rPr>
                <w:rFonts w:hint="eastAsia" w:cs="Times New Roman"/>
                <w:b/>
                <w:bCs/>
                <w:color w:val="auto"/>
                <w:sz w:val="21"/>
                <w:szCs w:val="21"/>
                <w:vertAlign w:val="baseline"/>
                <w:lang w:val="en-US" w:eastAsia="zh-CN"/>
              </w:rPr>
              <w:t>4</w:t>
            </w:r>
            <w:r>
              <w:rPr>
                <w:rFonts w:hint="eastAsia" w:ascii="Times New Roman" w:hAnsi="Times New Roman" w:cs="Times New Roman"/>
                <w:b/>
                <w:bCs/>
                <w:color w:val="auto"/>
                <w:sz w:val="21"/>
                <w:szCs w:val="21"/>
                <w:vertAlign w:val="baseline"/>
                <w:lang w:val="en-US" w:eastAsia="zh-CN"/>
              </w:rPr>
              <w:t xml:space="preserve"> </w:t>
            </w:r>
            <w:r>
              <w:rPr>
                <w:rFonts w:hint="default" w:ascii="Times New Roman" w:hAnsi="Times New Roman" w:cs="Times New Roman"/>
                <w:b/>
                <w:bCs/>
                <w:color w:val="auto"/>
                <w:sz w:val="21"/>
                <w:szCs w:val="21"/>
                <w:vertAlign w:val="baseline"/>
                <w:lang w:val="en-US" w:eastAsia="zh-CN"/>
              </w:rPr>
              <w:t>K74+740</w:t>
            </w:r>
            <w:r>
              <w:rPr>
                <w:rFonts w:hint="eastAsia" w:ascii="Times New Roman" w:hAnsi="Times New Roman" w:cs="Times New Roman"/>
                <w:b/>
                <w:bCs/>
                <w:color w:val="auto"/>
                <w:sz w:val="21"/>
                <w:szCs w:val="21"/>
                <w:vertAlign w:val="baseline"/>
                <w:lang w:val="en-US" w:eastAsia="zh-CN"/>
              </w:rPr>
              <w:t>弃土场现状</w:t>
            </w:r>
          </w:p>
        </w:tc>
      </w:tr>
      <w:tr w14:paraId="76CEC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vAlign w:val="center"/>
          </w:tcPr>
          <w:p w14:paraId="7BE69400">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drawing>
                <wp:inline distT="0" distB="0" distL="114300" distR="114300">
                  <wp:extent cx="5162550" cy="1983105"/>
                  <wp:effectExtent l="0" t="0" r="0" b="17145"/>
                  <wp:docPr id="30" name="图片 30" descr="67d2a68c-a7da-4ee4-a729-aff291cbe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7d2a68c-a7da-4ee4-a729-aff291cbe09a"/>
                          <pic:cNvPicPr>
                            <a:picLocks noChangeAspect="1"/>
                          </pic:cNvPicPr>
                        </pic:nvPicPr>
                        <pic:blipFill>
                          <a:blip r:embed="rId42"/>
                          <a:stretch>
                            <a:fillRect/>
                          </a:stretch>
                        </pic:blipFill>
                        <pic:spPr>
                          <a:xfrm>
                            <a:off x="0" y="0"/>
                            <a:ext cx="5162550" cy="1983105"/>
                          </a:xfrm>
                          <a:prstGeom prst="rect">
                            <a:avLst/>
                          </a:prstGeom>
                        </pic:spPr>
                      </pic:pic>
                    </a:graphicData>
                  </a:graphic>
                </wp:inline>
              </w:drawing>
            </w:r>
          </w:p>
        </w:tc>
      </w:tr>
      <w:tr w14:paraId="08E6F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7ACAD564">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color w:val="auto"/>
                <w:vertAlign w:val="baseline"/>
                <w:lang w:val="en-US" w:eastAsia="zh-CN"/>
              </w:rPr>
            </w:pPr>
            <w:r>
              <w:rPr>
                <w:rFonts w:hint="eastAsia" w:ascii="Times New Roman" w:hAnsi="Times New Roman" w:cs="Times New Roman"/>
                <w:b/>
                <w:bCs/>
                <w:color w:val="auto"/>
                <w:sz w:val="21"/>
                <w:szCs w:val="21"/>
                <w:vertAlign w:val="baseline"/>
                <w:lang w:val="en-US" w:eastAsia="zh-CN"/>
              </w:rPr>
              <w:t>图5.</w:t>
            </w:r>
            <w:r>
              <w:rPr>
                <w:rFonts w:hint="eastAsia" w:cs="Times New Roman"/>
                <w:b/>
                <w:bCs/>
                <w:color w:val="auto"/>
                <w:sz w:val="21"/>
                <w:szCs w:val="21"/>
                <w:vertAlign w:val="baseline"/>
                <w:lang w:val="en-US" w:eastAsia="zh-CN"/>
              </w:rPr>
              <w:t>5</w:t>
            </w:r>
            <w:r>
              <w:rPr>
                <w:rFonts w:hint="eastAsia" w:ascii="Times New Roman" w:hAnsi="Times New Roman" w:cs="Times New Roman"/>
                <w:b/>
                <w:bCs/>
                <w:color w:val="auto"/>
                <w:sz w:val="21"/>
                <w:szCs w:val="21"/>
                <w:vertAlign w:val="baseline"/>
                <w:lang w:val="en-US" w:eastAsia="zh-CN"/>
              </w:rPr>
              <w:t>-</w:t>
            </w:r>
            <w:r>
              <w:rPr>
                <w:rFonts w:hint="eastAsia" w:cs="Times New Roman"/>
                <w:b/>
                <w:bCs/>
                <w:color w:val="auto"/>
                <w:sz w:val="21"/>
                <w:szCs w:val="21"/>
                <w:vertAlign w:val="baseline"/>
                <w:lang w:val="en-US" w:eastAsia="zh-CN"/>
              </w:rPr>
              <w:t>5</w:t>
            </w:r>
            <w:r>
              <w:rPr>
                <w:rFonts w:hint="eastAsia" w:ascii="Times New Roman" w:hAnsi="Times New Roman" w:cs="Times New Roman"/>
                <w:b/>
                <w:bCs/>
                <w:color w:val="auto"/>
                <w:sz w:val="21"/>
                <w:szCs w:val="21"/>
                <w:vertAlign w:val="baseline"/>
                <w:lang w:val="en-US" w:eastAsia="zh-CN"/>
              </w:rPr>
              <w:t xml:space="preserve"> </w:t>
            </w:r>
            <w:r>
              <w:rPr>
                <w:rFonts w:hint="default" w:ascii="Times New Roman" w:hAnsi="Times New Roman" w:cs="Times New Roman"/>
                <w:b/>
                <w:bCs/>
                <w:color w:val="auto"/>
                <w:sz w:val="21"/>
                <w:szCs w:val="21"/>
                <w:vertAlign w:val="baseline"/>
                <w:lang w:val="en-US" w:eastAsia="zh-CN"/>
              </w:rPr>
              <w:t>小沔枢纽互通D匝道DK0+250右侧</w:t>
            </w:r>
            <w:r>
              <w:rPr>
                <w:rFonts w:hint="eastAsia" w:ascii="Times New Roman" w:hAnsi="Times New Roman" w:cs="Times New Roman"/>
                <w:b/>
                <w:bCs/>
                <w:color w:val="auto"/>
                <w:sz w:val="21"/>
                <w:szCs w:val="21"/>
                <w:vertAlign w:val="baseline"/>
                <w:lang w:val="en-US" w:eastAsia="zh-CN"/>
              </w:rPr>
              <w:t>弃土场现状</w:t>
            </w:r>
          </w:p>
        </w:tc>
      </w:tr>
    </w:tbl>
    <w:p w14:paraId="30F68FB3">
      <w:pPr>
        <w:spacing w:line="360" w:lineRule="auto"/>
        <w:rPr>
          <w:rFonts w:hint="default" w:ascii="Times New Roman" w:hAnsi="Times New Roman" w:eastAsia="宋体" w:cs="Times New Roman"/>
          <w:color w:val="auto"/>
          <w:spacing w:val="0"/>
          <w:w w:val="100"/>
          <w:kern w:val="0"/>
          <w:position w:val="0"/>
          <w:sz w:val="28"/>
          <w:szCs w:val="28"/>
          <w:lang w:val="en-US" w:eastAsia="zh-CN"/>
        </w:rPr>
      </w:pPr>
    </w:p>
    <w:p w14:paraId="0BD47F87">
      <w:pPr>
        <w:spacing w:line="360" w:lineRule="auto"/>
        <w:rPr>
          <w:rFonts w:hint="default" w:ascii="Times New Roman" w:hAnsi="Times New Roman" w:cs="Times New Roman"/>
          <w:color w:val="auto"/>
          <w:spacing w:val="0"/>
          <w:w w:val="100"/>
          <w:kern w:val="0"/>
          <w:position w:val="0"/>
          <w:sz w:val="24"/>
          <w:szCs w:val="24"/>
          <w:lang w:val="en-US" w:eastAsia="zh-CN"/>
        </w:rPr>
      </w:pPr>
      <w:r>
        <w:rPr>
          <w:rFonts w:hint="eastAsia" w:cs="Times New Roman"/>
          <w:color w:val="auto"/>
          <w:spacing w:val="0"/>
          <w:w w:val="100"/>
          <w:kern w:val="0"/>
          <w:position w:val="0"/>
          <w:sz w:val="24"/>
          <w:szCs w:val="24"/>
          <w:lang w:val="en-US" w:eastAsia="zh-CN"/>
        </w:rPr>
        <w:t>（2）施工便道</w:t>
      </w:r>
    </w:p>
    <w:p w14:paraId="6B92E386">
      <w:pPr>
        <w:rPr>
          <w:rFonts w:hint="default" w:ascii="Times New Roman" w:hAnsi="Times New Roman" w:eastAsia="宋体" w:cs="Times New Roman"/>
          <w:b w:val="0"/>
          <w:snapToGrid w:val="0"/>
          <w:color w:val="auto"/>
          <w:spacing w:val="0"/>
          <w:w w:val="100"/>
          <w:kern w:val="0"/>
          <w:position w:val="0"/>
          <w:sz w:val="24"/>
          <w:szCs w:val="24"/>
          <w:lang w:val="en-US" w:eastAsia="zh-CN" w:bidi="ar-SA"/>
        </w:rPr>
      </w:pPr>
      <w:r>
        <w:rPr>
          <w:rFonts w:hint="default" w:ascii="Times New Roman" w:hAnsi="Times New Roman" w:eastAsia="宋体" w:cs="Times New Roman"/>
          <w:color w:val="auto"/>
          <w:spacing w:val="0"/>
          <w:w w:val="100"/>
          <w:kern w:val="0"/>
          <w:position w:val="0"/>
          <w:sz w:val="24"/>
          <w:szCs w:val="24"/>
        </w:rPr>
        <w:t>工程区内</w:t>
      </w:r>
      <w:r>
        <w:rPr>
          <w:rFonts w:hint="default" w:ascii="Times New Roman" w:hAnsi="Times New Roman" w:eastAsia="宋体" w:cs="Times New Roman"/>
          <w:color w:val="auto"/>
          <w:spacing w:val="0"/>
          <w:w w:val="100"/>
          <w:kern w:val="0"/>
          <w:position w:val="0"/>
          <w:sz w:val="24"/>
          <w:szCs w:val="24"/>
          <w:lang w:eastAsia="zh-CN"/>
        </w:rPr>
        <w:t>有多条</w:t>
      </w:r>
      <w:r>
        <w:rPr>
          <w:rFonts w:hint="default" w:ascii="Times New Roman" w:hAnsi="Times New Roman" w:eastAsia="宋体" w:cs="Times New Roman"/>
          <w:color w:val="auto"/>
          <w:spacing w:val="0"/>
          <w:w w:val="100"/>
          <w:kern w:val="0"/>
          <w:position w:val="0"/>
          <w:sz w:val="24"/>
          <w:szCs w:val="24"/>
        </w:rPr>
        <w:t>乡</w:t>
      </w:r>
      <w:r>
        <w:rPr>
          <w:rFonts w:hint="default" w:ascii="Times New Roman" w:hAnsi="Times New Roman" w:eastAsia="宋体" w:cs="Times New Roman"/>
          <w:color w:val="auto"/>
          <w:spacing w:val="0"/>
          <w:w w:val="100"/>
          <w:kern w:val="0"/>
          <w:position w:val="0"/>
          <w:sz w:val="24"/>
          <w:szCs w:val="24"/>
          <w:lang w:eastAsia="zh-CN"/>
        </w:rPr>
        <w:t>、村道</w:t>
      </w:r>
      <w:r>
        <w:rPr>
          <w:rFonts w:hint="default" w:ascii="Times New Roman" w:hAnsi="Times New Roman" w:eastAsia="宋体" w:cs="Times New Roman"/>
          <w:color w:val="auto"/>
          <w:spacing w:val="0"/>
          <w:w w:val="100"/>
          <w:kern w:val="0"/>
          <w:position w:val="0"/>
          <w:sz w:val="24"/>
          <w:szCs w:val="24"/>
        </w:rPr>
        <w:t>路分布，项目沿线施工便道大多利用旧路为主，同时也临时新建部分施工便道。</w:t>
      </w:r>
      <w:r>
        <w:rPr>
          <w:rFonts w:hint="default" w:ascii="Times New Roman" w:hAnsi="Times New Roman" w:eastAsia="宋体" w:cs="Times New Roman"/>
          <w:color w:val="auto"/>
          <w:spacing w:val="0"/>
          <w:w w:val="100"/>
          <w:kern w:val="0"/>
          <w:position w:val="0"/>
          <w:sz w:val="24"/>
          <w:szCs w:val="24"/>
          <w:lang w:val="en-US" w:eastAsia="zh-CN"/>
        </w:rPr>
        <w:t>经统计，</w:t>
      </w:r>
      <w:r>
        <w:rPr>
          <w:rFonts w:hint="default" w:ascii="Times New Roman" w:hAnsi="Times New Roman" w:eastAsia="宋体" w:cs="Times New Roman"/>
          <w:color w:val="auto"/>
          <w:spacing w:val="-4"/>
          <w:sz w:val="24"/>
          <w:szCs w:val="24"/>
        </w:rPr>
        <w:t>项目</w:t>
      </w:r>
      <w:r>
        <w:rPr>
          <w:rFonts w:hint="default" w:ascii="Times New Roman" w:hAnsi="Times New Roman" w:eastAsia="宋体" w:cs="Times New Roman"/>
          <w:color w:val="auto"/>
          <w:spacing w:val="-4"/>
          <w:sz w:val="24"/>
          <w:szCs w:val="24"/>
          <w:lang w:val="en-US" w:eastAsia="zh-CN"/>
        </w:rPr>
        <w:t>建设过程中</w:t>
      </w:r>
      <w:r>
        <w:rPr>
          <w:rFonts w:hint="default" w:ascii="Times New Roman" w:hAnsi="Times New Roman" w:eastAsia="宋体" w:cs="Times New Roman"/>
          <w:color w:val="auto"/>
          <w:spacing w:val="-4"/>
          <w:sz w:val="24"/>
          <w:szCs w:val="24"/>
        </w:rPr>
        <w:t>修建了1条施工便道，用于连接主线道路及</w:t>
      </w:r>
      <w:r>
        <w:rPr>
          <w:rFonts w:hint="default" w:ascii="Times New Roman" w:hAnsi="Times New Roman" w:eastAsia="宋体" w:cs="Times New Roman"/>
          <w:color w:val="auto"/>
          <w:spacing w:val="-49"/>
          <w:sz w:val="24"/>
          <w:szCs w:val="24"/>
        </w:rPr>
        <w:t xml:space="preserve"> </w:t>
      </w:r>
      <w:r>
        <w:rPr>
          <w:rFonts w:hint="default" w:ascii="Times New Roman" w:hAnsi="Times New Roman" w:eastAsia="宋体" w:cs="Times New Roman"/>
          <w:color w:val="auto"/>
          <w:spacing w:val="-4"/>
          <w:sz w:val="24"/>
          <w:szCs w:val="24"/>
        </w:rPr>
        <w:t>4#</w:t>
      </w:r>
      <w:r>
        <w:rPr>
          <w:rFonts w:hint="default" w:ascii="Times New Roman" w:hAnsi="Times New Roman" w:eastAsia="宋体" w:cs="Times New Roman"/>
          <w:color w:val="auto"/>
          <w:spacing w:val="-4"/>
          <w:sz w:val="24"/>
          <w:szCs w:val="24"/>
          <w:lang w:eastAsia="zh-CN"/>
        </w:rPr>
        <w:t>弃土场</w:t>
      </w:r>
      <w:r>
        <w:rPr>
          <w:rFonts w:hint="default" w:ascii="Times New Roman" w:hAnsi="Times New Roman" w:eastAsia="宋体" w:cs="Times New Roman"/>
          <w:color w:val="auto"/>
          <w:spacing w:val="-4"/>
          <w:sz w:val="24"/>
          <w:szCs w:val="24"/>
        </w:rPr>
        <w:t>，施工便道长1</w:t>
      </w:r>
      <w:r>
        <w:rPr>
          <w:rFonts w:hint="default" w:ascii="Times New Roman" w:hAnsi="Times New Roman" w:eastAsia="宋体" w:cs="Times New Roman"/>
          <w:color w:val="auto"/>
          <w:spacing w:val="-4"/>
          <w:sz w:val="24"/>
          <w:szCs w:val="24"/>
          <w:lang w:val="en-US" w:eastAsia="zh-CN"/>
        </w:rPr>
        <w:t>20</w:t>
      </w:r>
      <w:r>
        <w:rPr>
          <w:rFonts w:hint="default" w:ascii="Times New Roman" w:hAnsi="Times New Roman" w:eastAsia="宋体" w:cs="Times New Roman"/>
          <w:color w:val="auto"/>
          <w:spacing w:val="-4"/>
          <w:sz w:val="24"/>
          <w:szCs w:val="24"/>
        </w:rPr>
        <w:t>m，基宽度</w:t>
      </w:r>
      <w:r>
        <w:rPr>
          <w:rFonts w:hint="default" w:ascii="Times New Roman" w:hAnsi="Times New Roman" w:eastAsia="宋体" w:cs="Times New Roman"/>
          <w:color w:val="auto"/>
          <w:spacing w:val="-49"/>
          <w:sz w:val="24"/>
          <w:szCs w:val="24"/>
        </w:rPr>
        <w:t xml:space="preserve"> </w:t>
      </w:r>
      <w:r>
        <w:rPr>
          <w:rFonts w:hint="default" w:ascii="Times New Roman" w:hAnsi="Times New Roman" w:eastAsia="宋体" w:cs="Times New Roman"/>
          <w:color w:val="auto"/>
          <w:spacing w:val="-4"/>
          <w:sz w:val="24"/>
          <w:szCs w:val="24"/>
        </w:rPr>
        <w:t>6.5m，</w:t>
      </w:r>
      <w:r>
        <w:rPr>
          <w:rFonts w:hint="default" w:ascii="Times New Roman" w:hAnsi="Times New Roman" w:eastAsia="宋体" w:cs="Times New Roman"/>
          <w:color w:val="auto"/>
          <w:spacing w:val="-4"/>
          <w:sz w:val="24"/>
          <w:szCs w:val="24"/>
          <w:lang w:val="en-US" w:eastAsia="zh-CN"/>
        </w:rPr>
        <w:t>道路临时边坡面积612</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rPr>
        <w:t>采用泥结碎石路面</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4"/>
          <w:sz w:val="24"/>
          <w:szCs w:val="24"/>
          <w:lang w:val="en-US" w:eastAsia="zh-CN"/>
        </w:rPr>
        <w:t>含道路边坡临时占地面积约为0.14</w:t>
      </w:r>
      <w:r>
        <w:rPr>
          <w:rFonts w:hint="default" w:ascii="Times New Roman" w:hAnsi="Times New Roman" w:eastAsia="宋体" w:cs="Times New Roman"/>
          <w:color w:val="auto"/>
        </w:rPr>
        <w:t>hm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0"/>
          <w:w w:val="100"/>
          <w:kern w:val="0"/>
          <w:position w:val="0"/>
          <w:sz w:val="24"/>
          <w:szCs w:val="24"/>
        </w:rPr>
        <w:t>占地类型主要为</w:t>
      </w:r>
      <w:r>
        <w:rPr>
          <w:rFonts w:hint="default" w:ascii="Times New Roman" w:hAnsi="Times New Roman" w:eastAsia="宋体" w:cs="Times New Roman"/>
          <w:color w:val="auto"/>
          <w:spacing w:val="0"/>
          <w:w w:val="100"/>
          <w:kern w:val="0"/>
          <w:position w:val="0"/>
          <w:sz w:val="24"/>
          <w:szCs w:val="24"/>
          <w:lang w:val="en-US" w:eastAsia="zh-CN"/>
        </w:rPr>
        <w:t>耕地</w:t>
      </w:r>
      <w:r>
        <w:rPr>
          <w:rFonts w:hint="default" w:ascii="Times New Roman" w:hAnsi="Times New Roman" w:eastAsia="宋体" w:cs="Times New Roman"/>
          <w:color w:val="auto"/>
          <w:spacing w:val="-4"/>
          <w:sz w:val="24"/>
          <w:szCs w:val="24"/>
          <w:lang w:eastAsia="zh-CN"/>
        </w:rPr>
        <w:t>，</w:t>
      </w:r>
      <w:r>
        <w:rPr>
          <w:rFonts w:hint="default" w:ascii="Times New Roman" w:hAnsi="Times New Roman" w:eastAsia="宋体" w:cs="Times New Roman"/>
          <w:color w:val="auto"/>
          <w:spacing w:val="-3"/>
          <w:sz w:val="24"/>
          <w:szCs w:val="24"/>
        </w:rPr>
        <w:t>已进行了表土回覆及复耕</w:t>
      </w:r>
      <w:r>
        <w:rPr>
          <w:rFonts w:hint="default" w:ascii="Times New Roman" w:hAnsi="Times New Roman" w:eastAsia="宋体" w:cs="Times New Roman"/>
          <w:color w:val="auto"/>
          <w:spacing w:val="0"/>
          <w:w w:val="100"/>
          <w:kern w:val="0"/>
          <w:position w:val="0"/>
          <w:sz w:val="24"/>
          <w:szCs w:val="24"/>
        </w:rPr>
        <w:t>。</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57DF1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5C00FA6">
            <w:pPr>
              <w:ind w:left="0" w:leftChars="0" w:firstLine="0" w:firstLineChars="0"/>
              <w:rPr>
                <w:rFonts w:hint="default" w:ascii="Times New Roman" w:hAnsi="Times New Roman" w:eastAsia="宋体" w:cs="Times New Roman"/>
                <w:b w:val="0"/>
                <w:snapToGrid w:val="0"/>
                <w:color w:val="auto"/>
                <w:spacing w:val="0"/>
                <w:w w:val="100"/>
                <w:kern w:val="0"/>
                <w:position w:val="0"/>
                <w:sz w:val="24"/>
                <w:szCs w:val="24"/>
                <w:vertAlign w:val="baseline"/>
                <w:lang w:val="en-US" w:eastAsia="zh-CN" w:bidi="ar-SA"/>
              </w:rPr>
            </w:pPr>
            <w:r>
              <w:rPr>
                <w:rFonts w:hint="default" w:ascii="Times New Roman" w:hAnsi="Times New Roman" w:eastAsia="宋体" w:cs="Times New Roman"/>
                <w:b w:val="0"/>
                <w:snapToGrid w:val="0"/>
                <w:color w:val="auto"/>
                <w:spacing w:val="0"/>
                <w:w w:val="100"/>
                <w:kern w:val="0"/>
                <w:position w:val="0"/>
                <w:sz w:val="24"/>
                <w:szCs w:val="24"/>
                <w:vertAlign w:val="baseline"/>
                <w:lang w:val="en-US" w:eastAsia="zh-CN" w:bidi="ar-SA"/>
              </w:rPr>
              <w:drawing>
                <wp:inline distT="0" distB="0" distL="114300" distR="114300">
                  <wp:extent cx="5265420" cy="2563495"/>
                  <wp:effectExtent l="0" t="0" r="11430" b="8255"/>
                  <wp:docPr id="50" name="图片 50" descr="f5416ab9-e218-46c7-948a-61007fb4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5416ab9-e218-46c7-948a-61007fb46843"/>
                          <pic:cNvPicPr>
                            <a:picLocks noChangeAspect="1"/>
                          </pic:cNvPicPr>
                        </pic:nvPicPr>
                        <pic:blipFill>
                          <a:blip r:embed="rId43"/>
                          <a:stretch>
                            <a:fillRect/>
                          </a:stretch>
                        </pic:blipFill>
                        <pic:spPr>
                          <a:xfrm>
                            <a:off x="0" y="0"/>
                            <a:ext cx="5265420" cy="2563495"/>
                          </a:xfrm>
                          <a:prstGeom prst="rect">
                            <a:avLst/>
                          </a:prstGeom>
                        </pic:spPr>
                      </pic:pic>
                    </a:graphicData>
                  </a:graphic>
                </wp:inline>
              </w:drawing>
            </w:r>
          </w:p>
        </w:tc>
      </w:tr>
      <w:tr w14:paraId="165B5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5C2B27F5">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val="0"/>
                <w:snapToGrid w:val="0"/>
                <w:color w:val="auto"/>
                <w:spacing w:val="0"/>
                <w:w w:val="100"/>
                <w:kern w:val="0"/>
                <w:position w:val="0"/>
                <w:sz w:val="24"/>
                <w:szCs w:val="24"/>
                <w:vertAlign w:val="baseline"/>
                <w:lang w:val="en-US" w:eastAsia="zh-CN" w:bidi="ar-SA"/>
              </w:rPr>
            </w:pPr>
            <w:r>
              <w:rPr>
                <w:rFonts w:hint="eastAsia" w:ascii="Times New Roman" w:hAnsi="Times New Roman" w:cs="Times New Roman"/>
                <w:b/>
                <w:bCs/>
                <w:color w:val="auto"/>
                <w:sz w:val="21"/>
                <w:szCs w:val="21"/>
                <w:vertAlign w:val="baseline"/>
                <w:lang w:val="en-US" w:eastAsia="zh-CN"/>
              </w:rPr>
              <w:t>图5.5-6 施工便道现状图</w:t>
            </w:r>
          </w:p>
        </w:tc>
      </w:tr>
    </w:tbl>
    <w:p w14:paraId="2CDE8252">
      <w:pPr>
        <w:keepNext w:val="0"/>
        <w:keepLines w:val="0"/>
        <w:pageBreakBefore w:val="0"/>
        <w:widowControl w:val="0"/>
        <w:kinsoku/>
        <w:wordWrap/>
        <w:overflowPunct w:val="0"/>
        <w:topLinePunct w:val="0"/>
        <w:autoSpaceDE w:val="0"/>
        <w:autoSpaceDN w:val="0"/>
        <w:bidi w:val="0"/>
        <w:adjustRightInd w:val="0"/>
        <w:snapToGrid w:val="0"/>
        <w:spacing w:line="336" w:lineRule="auto"/>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eastAsia" w:cs="Times New Roman"/>
          <w:color w:val="auto"/>
          <w:lang w:eastAsia="zh-CN"/>
        </w:rPr>
        <w:t>（</w:t>
      </w:r>
      <w:r>
        <w:rPr>
          <w:rFonts w:hint="eastAsia" w:cs="Times New Roman"/>
          <w:color w:val="auto"/>
          <w:lang w:val="en-US" w:eastAsia="zh-CN"/>
        </w:rPr>
        <w:t>4</w:t>
      </w:r>
      <w:r>
        <w:rPr>
          <w:rFonts w:hint="eastAsia" w:cs="Times New Roman"/>
          <w:color w:val="auto"/>
          <w:lang w:eastAsia="zh-CN"/>
        </w:rPr>
        <w:t>）</w:t>
      </w:r>
      <w:r>
        <w:rPr>
          <w:rFonts w:hint="eastAsia"/>
          <w:color w:val="auto"/>
          <w:lang w:val="en-US" w:eastAsia="zh-CN"/>
        </w:rPr>
        <w:t>临时拌和</w:t>
      </w:r>
      <w:r>
        <w:rPr>
          <w:rFonts w:hint="default" w:ascii="Times New Roman" w:hAnsi="Times New Roman" w:eastAsia="宋体" w:cs="Times New Roman"/>
          <w:b w:val="0"/>
          <w:bCs w:val="0"/>
          <w:color w:val="auto"/>
          <w:spacing w:val="0"/>
          <w:w w:val="100"/>
          <w:kern w:val="0"/>
          <w:position w:val="0"/>
          <w:sz w:val="24"/>
          <w:szCs w:val="24"/>
          <w:lang w:val="en-US" w:eastAsia="zh-CN"/>
        </w:rPr>
        <w:t>场</w:t>
      </w:r>
      <w:r>
        <w:rPr>
          <w:rFonts w:hint="eastAsia" w:cs="Times New Roman"/>
          <w:b w:val="0"/>
          <w:bCs w:val="0"/>
          <w:color w:val="auto"/>
          <w:spacing w:val="0"/>
          <w:w w:val="100"/>
          <w:kern w:val="0"/>
          <w:position w:val="0"/>
          <w:sz w:val="24"/>
          <w:szCs w:val="24"/>
          <w:lang w:val="en-US" w:eastAsia="zh-CN"/>
        </w:rPr>
        <w:t>、临时</w:t>
      </w:r>
      <w:r>
        <w:rPr>
          <w:rFonts w:hint="default" w:ascii="Times New Roman" w:hAnsi="Times New Roman" w:eastAsia="宋体" w:cs="Times New Roman"/>
          <w:b w:val="0"/>
          <w:bCs w:val="0"/>
          <w:color w:val="auto"/>
          <w:spacing w:val="0"/>
          <w:w w:val="100"/>
          <w:kern w:val="0"/>
          <w:position w:val="0"/>
          <w:sz w:val="24"/>
          <w:szCs w:val="24"/>
          <w:lang w:val="en-US" w:eastAsia="zh-CN"/>
        </w:rPr>
        <w:t>预制场</w:t>
      </w:r>
    </w:p>
    <w:p w14:paraId="787FF0AA">
      <w:pPr>
        <w:keepNext w:val="0"/>
        <w:keepLines w:val="0"/>
        <w:pageBreakBefore w:val="0"/>
        <w:wordWrap/>
        <w:topLinePunct w:val="0"/>
        <w:autoSpaceDE w:val="0"/>
        <w:autoSpaceDN w:val="0"/>
        <w:bidi w:val="0"/>
        <w:adjustRightInd w:val="0"/>
        <w:snapToGrid w:val="0"/>
        <w:spacing w:line="360" w:lineRule="auto"/>
        <w:ind w:leftChars="0"/>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t>由于项目混凝土使用量较大，公路在小沔</w:t>
      </w:r>
      <w:r>
        <w:rPr>
          <w:rFonts w:hint="default" w:ascii="Times New Roman" w:hAnsi="Times New Roman" w:eastAsia="宋体" w:cs="Times New Roman"/>
          <w:snapToGrid w:val="0"/>
          <w:color w:val="auto"/>
          <w:kern w:val="0"/>
          <w:sz w:val="24"/>
          <w:szCs w:val="24"/>
          <w:lang w:val="en-US" w:eastAsia="zh-CN" w:bidi="ar-SA"/>
        </w:rPr>
        <w:t>收费站永久占地区内</w:t>
      </w:r>
      <w:r>
        <w:rPr>
          <w:rFonts w:hint="default" w:ascii="Times New Roman" w:hAnsi="Times New Roman" w:eastAsia="宋体" w:cs="Times New Roman"/>
          <w:color w:val="auto"/>
          <w:sz w:val="24"/>
          <w:szCs w:val="24"/>
          <w:lang w:val="en-US" w:eastAsia="zh-CN"/>
        </w:rPr>
        <w:t>设置1处混凝土</w:t>
      </w:r>
      <w:r>
        <w:rPr>
          <w:rFonts w:hint="eastAsia" w:cs="Times New Roman"/>
          <w:color w:val="auto"/>
          <w:sz w:val="24"/>
          <w:szCs w:val="24"/>
          <w:lang w:val="en-US" w:eastAsia="zh-CN"/>
        </w:rPr>
        <w:t>拌和</w:t>
      </w:r>
      <w:r>
        <w:rPr>
          <w:rFonts w:hint="default" w:ascii="Times New Roman" w:hAnsi="Times New Roman" w:eastAsia="宋体" w:cs="Times New Roman"/>
          <w:color w:val="auto"/>
          <w:sz w:val="24"/>
          <w:szCs w:val="24"/>
          <w:lang w:val="en-US" w:eastAsia="zh-CN"/>
        </w:rPr>
        <w:t>场</w:t>
      </w:r>
      <w:r>
        <w:rPr>
          <w:rFonts w:hint="eastAsia" w:cs="Times New Roman"/>
          <w:color w:val="auto"/>
          <w:sz w:val="24"/>
          <w:szCs w:val="24"/>
          <w:lang w:val="en-US" w:eastAsia="zh-CN"/>
        </w:rPr>
        <w:t>、</w:t>
      </w:r>
      <w:r>
        <w:rPr>
          <w:rFonts w:hint="default" w:ascii="Times New Roman" w:hAnsi="Times New Roman" w:eastAsia="宋体" w:cs="Times New Roman"/>
          <w:b w:val="0"/>
          <w:bCs w:val="0"/>
          <w:color w:val="auto"/>
          <w:spacing w:val="0"/>
          <w:w w:val="100"/>
          <w:kern w:val="0"/>
          <w:position w:val="0"/>
          <w:sz w:val="24"/>
          <w:szCs w:val="24"/>
          <w:lang w:val="en-US" w:eastAsia="zh-CN"/>
        </w:rPr>
        <w:t>在沿线设置2处预制场</w:t>
      </w:r>
      <w:r>
        <w:rPr>
          <w:rFonts w:hint="default" w:ascii="Times New Roman" w:hAnsi="Times New Roman" w:eastAsia="宋体" w:cs="Times New Roman"/>
          <w:color w:val="auto"/>
          <w:sz w:val="24"/>
          <w:szCs w:val="24"/>
          <w:lang w:val="en-US" w:eastAsia="zh-CN"/>
        </w:rPr>
        <w:t>，临时</w:t>
      </w:r>
      <w:r>
        <w:rPr>
          <w:rFonts w:hint="eastAsia" w:cs="Times New Roman"/>
          <w:color w:val="auto"/>
          <w:sz w:val="24"/>
          <w:szCs w:val="24"/>
          <w:lang w:val="en-US" w:eastAsia="zh-CN"/>
        </w:rPr>
        <w:t>拌和</w:t>
      </w:r>
      <w:r>
        <w:rPr>
          <w:rFonts w:hint="default" w:ascii="Times New Roman" w:hAnsi="Times New Roman" w:eastAsia="宋体" w:cs="Times New Roman"/>
          <w:color w:val="auto"/>
          <w:sz w:val="24"/>
          <w:szCs w:val="24"/>
          <w:lang w:val="en-US" w:eastAsia="zh-CN"/>
        </w:rPr>
        <w:t>场</w:t>
      </w:r>
      <w:r>
        <w:rPr>
          <w:rFonts w:hint="eastAsia" w:cs="Times New Roman"/>
          <w:color w:val="auto"/>
          <w:sz w:val="24"/>
          <w:szCs w:val="24"/>
          <w:lang w:val="en-US" w:eastAsia="zh-CN"/>
        </w:rPr>
        <w:t>、临时预制场</w:t>
      </w:r>
      <w:r>
        <w:rPr>
          <w:rFonts w:hint="default" w:ascii="Times New Roman" w:hAnsi="Times New Roman" w:eastAsia="宋体" w:cs="Times New Roman"/>
          <w:color w:val="auto"/>
          <w:sz w:val="24"/>
          <w:szCs w:val="24"/>
          <w:lang w:val="en-US" w:eastAsia="zh-CN"/>
        </w:rPr>
        <w:t>设置情况见</w:t>
      </w:r>
      <w:r>
        <w:rPr>
          <w:rFonts w:hint="eastAsia" w:cs="Times New Roman"/>
          <w:color w:val="auto"/>
          <w:sz w:val="24"/>
          <w:szCs w:val="24"/>
          <w:lang w:val="en-US" w:eastAsia="zh-CN"/>
        </w:rPr>
        <w:t>下</w:t>
      </w:r>
      <w:r>
        <w:rPr>
          <w:rFonts w:hint="default" w:ascii="Times New Roman" w:hAnsi="Times New Roman" w:eastAsia="宋体" w:cs="Times New Roman"/>
          <w:color w:val="auto"/>
          <w:sz w:val="24"/>
          <w:szCs w:val="24"/>
          <w:lang w:val="en-US" w:eastAsia="zh-CN"/>
        </w:rPr>
        <w:t>表。</w:t>
      </w:r>
    </w:p>
    <w:p w14:paraId="57D33E22">
      <w:pPr>
        <w:keepNext/>
        <w:keepLines w:val="0"/>
        <w:widowControl w:val="0"/>
        <w:numPr>
          <w:ilvl w:val="0"/>
          <w:numId w:val="0"/>
        </w:numPr>
        <w:kinsoku/>
        <w:overflowPunct w:val="0"/>
        <w:autoSpaceDE w:val="0"/>
        <w:autoSpaceDN w:val="0"/>
        <w:bidi w:val="0"/>
        <w:adjustRightInd w:val="0"/>
        <w:snapToGrid w:val="0"/>
        <w:spacing w:line="360" w:lineRule="auto"/>
        <w:ind w:left="0" w:leftChars="0" w:firstLine="0" w:firstLineChars="0"/>
        <w:jc w:val="center"/>
        <w:textAlignment w:val="baseline"/>
        <w:outlineLvl w:val="9"/>
        <w:rPr>
          <w:rFonts w:hint="default" w:ascii="Times New Roman" w:hAnsi="Times New Roman" w:eastAsia="宋体" w:cs="Times New Roman"/>
          <w:b/>
          <w:bCs/>
          <w:snapToGrid w:val="0"/>
          <w:color w:val="auto"/>
          <w:kern w:val="0"/>
          <w:sz w:val="24"/>
          <w:szCs w:val="18"/>
          <w:highlight w:val="none"/>
          <w:lang w:val="en-US" w:eastAsia="zh-CN" w:bidi="ar-SA"/>
        </w:rPr>
      </w:pPr>
      <w:r>
        <w:rPr>
          <w:rFonts w:hint="default" w:ascii="Times New Roman" w:hAnsi="Times New Roman" w:eastAsia="宋体" w:cs="Times New Roman"/>
          <w:b/>
          <w:bCs/>
          <w:snapToGrid w:val="0"/>
          <w:color w:val="auto"/>
          <w:kern w:val="0"/>
          <w:sz w:val="24"/>
          <w:szCs w:val="18"/>
          <w:highlight w:val="none"/>
          <w:lang w:val="en-US" w:eastAsia="en-US" w:bidi="ar-SA"/>
        </w:rPr>
        <w:t>表</w:t>
      </w:r>
      <w:r>
        <w:rPr>
          <w:rFonts w:hint="eastAsia" w:cs="Times New Roman"/>
          <w:b/>
          <w:bCs/>
          <w:snapToGrid w:val="0"/>
          <w:color w:val="auto"/>
          <w:kern w:val="0"/>
          <w:sz w:val="24"/>
          <w:szCs w:val="18"/>
          <w:highlight w:val="none"/>
          <w:lang w:val="en-US" w:eastAsia="zh-CN" w:bidi="ar-SA"/>
        </w:rPr>
        <w:t>5.5</w:t>
      </w:r>
      <w:r>
        <w:rPr>
          <w:rFonts w:hint="default" w:ascii="Times New Roman" w:hAnsi="Times New Roman" w:eastAsia="宋体" w:cs="Times New Roman"/>
          <w:b/>
          <w:bCs/>
          <w:snapToGrid w:val="0"/>
          <w:color w:val="auto"/>
          <w:kern w:val="0"/>
          <w:sz w:val="24"/>
          <w:szCs w:val="18"/>
          <w:highlight w:val="none"/>
          <w:lang w:val="en-US" w:eastAsia="en-US" w:bidi="ar-SA"/>
        </w:rPr>
        <w:t>-</w:t>
      </w:r>
      <w:r>
        <w:rPr>
          <w:rFonts w:hint="default" w:ascii="Times New Roman" w:hAnsi="Times New Roman" w:eastAsia="宋体" w:cs="Times New Roman"/>
          <w:b/>
          <w:bCs/>
          <w:snapToGrid w:val="0"/>
          <w:color w:val="auto"/>
          <w:kern w:val="0"/>
          <w:sz w:val="24"/>
          <w:szCs w:val="18"/>
          <w:highlight w:val="none"/>
          <w:lang w:val="en-US" w:eastAsia="zh-CN" w:bidi="ar-SA"/>
        </w:rPr>
        <w:t>3</w:t>
      </w:r>
      <w:r>
        <w:rPr>
          <w:rFonts w:hint="default" w:ascii="Times New Roman" w:hAnsi="Times New Roman" w:eastAsia="宋体" w:cs="Times New Roman"/>
          <w:b/>
          <w:bCs/>
          <w:snapToGrid w:val="0"/>
          <w:color w:val="auto"/>
          <w:kern w:val="0"/>
          <w:sz w:val="24"/>
          <w:szCs w:val="18"/>
          <w:highlight w:val="none"/>
          <w:lang w:val="en-US" w:eastAsia="en-US" w:bidi="ar-SA"/>
        </w:rPr>
        <w:t xml:space="preserve">  </w:t>
      </w:r>
      <w:r>
        <w:rPr>
          <w:rFonts w:hint="default" w:ascii="Times New Roman" w:hAnsi="Times New Roman" w:eastAsia="宋体" w:cs="Times New Roman"/>
          <w:b/>
          <w:bCs/>
          <w:snapToGrid w:val="0"/>
          <w:color w:val="auto"/>
          <w:kern w:val="0"/>
          <w:sz w:val="24"/>
          <w:szCs w:val="18"/>
          <w:highlight w:val="none"/>
          <w:lang w:val="en-US" w:eastAsia="zh-CN" w:bidi="ar-SA"/>
        </w:rPr>
        <w:t>项目建设临时</w:t>
      </w:r>
      <w:r>
        <w:rPr>
          <w:rFonts w:hint="eastAsia" w:cs="Times New Roman"/>
          <w:b/>
          <w:bCs/>
          <w:snapToGrid w:val="0"/>
          <w:color w:val="auto"/>
          <w:kern w:val="0"/>
          <w:sz w:val="24"/>
          <w:szCs w:val="18"/>
          <w:highlight w:val="none"/>
          <w:lang w:val="en-US" w:eastAsia="zh-CN" w:bidi="ar-SA"/>
        </w:rPr>
        <w:t>拌和</w:t>
      </w:r>
      <w:r>
        <w:rPr>
          <w:rFonts w:hint="default" w:ascii="Times New Roman" w:hAnsi="Times New Roman" w:eastAsia="宋体" w:cs="Times New Roman"/>
          <w:b/>
          <w:bCs/>
          <w:snapToGrid w:val="0"/>
          <w:color w:val="auto"/>
          <w:kern w:val="0"/>
          <w:sz w:val="24"/>
          <w:szCs w:val="18"/>
          <w:highlight w:val="none"/>
          <w:lang w:val="en-US" w:eastAsia="zh-CN" w:bidi="ar-SA"/>
        </w:rPr>
        <w:t>场设置情况</w:t>
      </w:r>
    </w:p>
    <w:tbl>
      <w:tblPr>
        <w:tblStyle w:val="36"/>
        <w:tblW w:w="49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05"/>
        <w:gridCol w:w="744"/>
        <w:gridCol w:w="1826"/>
        <w:gridCol w:w="985"/>
        <w:gridCol w:w="1222"/>
        <w:gridCol w:w="1278"/>
        <w:gridCol w:w="1760"/>
      </w:tblGrid>
      <w:tr w14:paraId="56473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246" w:type="pct"/>
            <w:tcBorders>
              <w:tl2br w:val="nil"/>
              <w:tr2bl w:val="nil"/>
            </w:tcBorders>
            <w:noWrap w:val="0"/>
            <w:textDirection w:val="tbRlV"/>
            <w:vAlign w:val="center"/>
          </w:tcPr>
          <w:p w14:paraId="6ACCFB03">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序号</w:t>
            </w:r>
          </w:p>
        </w:tc>
        <w:tc>
          <w:tcPr>
            <w:tcW w:w="452" w:type="pct"/>
            <w:tcBorders>
              <w:tl2br w:val="nil"/>
              <w:tr2bl w:val="nil"/>
            </w:tcBorders>
            <w:noWrap w:val="0"/>
            <w:vAlign w:val="center"/>
          </w:tcPr>
          <w:p w14:paraId="4240150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名称</w:t>
            </w:r>
          </w:p>
        </w:tc>
        <w:tc>
          <w:tcPr>
            <w:tcW w:w="1110" w:type="pct"/>
            <w:tcBorders>
              <w:tl2br w:val="nil"/>
              <w:tr2bl w:val="nil"/>
            </w:tcBorders>
            <w:noWrap w:val="0"/>
            <w:vAlign w:val="center"/>
          </w:tcPr>
          <w:p w14:paraId="76C695C5">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所在桩号与</w:t>
            </w:r>
          </w:p>
          <w:p w14:paraId="750E94F7">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主线位置关系</w:t>
            </w:r>
          </w:p>
        </w:tc>
        <w:tc>
          <w:tcPr>
            <w:tcW w:w="599" w:type="pct"/>
            <w:tcBorders>
              <w:tl2br w:val="nil"/>
              <w:tr2bl w:val="nil"/>
            </w:tcBorders>
            <w:noWrap w:val="0"/>
            <w:vAlign w:val="center"/>
          </w:tcPr>
          <w:p w14:paraId="5E3841F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面积</w:t>
            </w:r>
            <w:r>
              <w:rPr>
                <w:rFonts w:hint="default" w:ascii="Times New Roman" w:hAnsi="Times New Roman" w:eastAsia="宋体"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en-US" w:bidi="ar-SA"/>
              </w:rPr>
              <w:t>hm</w:t>
            </w:r>
            <w:r>
              <w:rPr>
                <w:rFonts w:hint="default" w:ascii="Times New Roman" w:hAnsi="Times New Roman" w:eastAsia="宋体" w:cs="Times New Roman"/>
                <w:snapToGrid w:val="0"/>
                <w:color w:val="auto"/>
                <w:kern w:val="0"/>
                <w:sz w:val="21"/>
                <w:szCs w:val="21"/>
                <w:highlight w:val="none"/>
                <w:vertAlign w:val="superscript"/>
                <w:lang w:val="en-US" w:eastAsia="en-US" w:bidi="ar-SA"/>
              </w:rPr>
              <w:t>2</w:t>
            </w:r>
            <w:r>
              <w:rPr>
                <w:rFonts w:hint="eastAsia" w:cs="Times New Roman"/>
                <w:snapToGrid w:val="0"/>
                <w:color w:val="auto"/>
                <w:kern w:val="0"/>
                <w:sz w:val="21"/>
                <w:szCs w:val="21"/>
                <w:highlight w:val="none"/>
                <w:vertAlign w:val="superscript"/>
                <w:lang w:val="en-US" w:eastAsia="zh-CN" w:bidi="ar-SA"/>
              </w:rPr>
              <w:t>）</w:t>
            </w:r>
          </w:p>
        </w:tc>
        <w:tc>
          <w:tcPr>
            <w:tcW w:w="743" w:type="pct"/>
            <w:tcBorders>
              <w:tl2br w:val="nil"/>
              <w:tr2bl w:val="nil"/>
            </w:tcBorders>
            <w:noWrap w:val="0"/>
            <w:vAlign w:val="center"/>
          </w:tcPr>
          <w:p w14:paraId="104AD36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占地类型</w:t>
            </w:r>
          </w:p>
        </w:tc>
        <w:tc>
          <w:tcPr>
            <w:tcW w:w="777" w:type="pct"/>
            <w:tcBorders>
              <w:tl2br w:val="nil"/>
              <w:tr2bl w:val="nil"/>
            </w:tcBorders>
            <w:noWrap w:val="0"/>
            <w:vAlign w:val="center"/>
          </w:tcPr>
          <w:p w14:paraId="17DB2A0D">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所属县、乡（镇）</w:t>
            </w:r>
          </w:p>
        </w:tc>
        <w:tc>
          <w:tcPr>
            <w:tcW w:w="1070" w:type="pct"/>
            <w:tcBorders>
              <w:tl2br w:val="nil"/>
              <w:tr2bl w:val="nil"/>
            </w:tcBorders>
            <w:noWrap w:val="0"/>
            <w:vAlign w:val="center"/>
          </w:tcPr>
          <w:p w14:paraId="3DE1AC32">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备注</w:t>
            </w:r>
          </w:p>
        </w:tc>
      </w:tr>
      <w:tr w14:paraId="706FB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6" w:type="pct"/>
            <w:tcBorders>
              <w:tl2br w:val="nil"/>
              <w:tr2bl w:val="nil"/>
            </w:tcBorders>
            <w:noWrap w:val="0"/>
            <w:vAlign w:val="center"/>
          </w:tcPr>
          <w:p w14:paraId="778B44D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en-US" w:bidi="ar-SA"/>
              </w:rPr>
              <w:t>1</w:t>
            </w:r>
          </w:p>
        </w:tc>
        <w:tc>
          <w:tcPr>
            <w:tcW w:w="452" w:type="pct"/>
            <w:tcBorders>
              <w:tl2br w:val="nil"/>
              <w:tr2bl w:val="nil"/>
            </w:tcBorders>
            <w:noWrap w:val="0"/>
            <w:vAlign w:val="center"/>
          </w:tcPr>
          <w:p w14:paraId="6493288F">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eastAsia" w:cs="Times New Roman"/>
                <w:snapToGrid w:val="0"/>
                <w:color w:val="auto"/>
                <w:kern w:val="0"/>
                <w:sz w:val="21"/>
                <w:szCs w:val="21"/>
                <w:highlight w:val="none"/>
                <w:lang w:val="en-US" w:eastAsia="zh-CN" w:bidi="ar-SA"/>
              </w:rPr>
              <w:t>拌和</w:t>
            </w:r>
            <w:r>
              <w:rPr>
                <w:rFonts w:hint="default" w:ascii="Times New Roman" w:hAnsi="Times New Roman" w:eastAsia="宋体" w:cs="Times New Roman"/>
                <w:snapToGrid w:val="0"/>
                <w:color w:val="auto"/>
                <w:kern w:val="0"/>
                <w:sz w:val="21"/>
                <w:szCs w:val="21"/>
                <w:highlight w:val="none"/>
                <w:lang w:val="en-US" w:eastAsia="en-US" w:bidi="ar-SA"/>
              </w:rPr>
              <w:t>场</w:t>
            </w:r>
          </w:p>
        </w:tc>
        <w:tc>
          <w:tcPr>
            <w:tcW w:w="1110" w:type="pct"/>
            <w:tcBorders>
              <w:tl2br w:val="nil"/>
              <w:tr2bl w:val="nil"/>
            </w:tcBorders>
            <w:noWrap w:val="0"/>
            <w:vAlign w:val="center"/>
          </w:tcPr>
          <w:p w14:paraId="5002F4EA">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K79+650</w:t>
            </w:r>
            <w:r>
              <w:rPr>
                <w:rFonts w:hint="eastAsia"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zh-CN" w:bidi="ar-SA"/>
              </w:rPr>
              <w:t>K79+760</w:t>
            </w:r>
          </w:p>
        </w:tc>
        <w:tc>
          <w:tcPr>
            <w:tcW w:w="599" w:type="pct"/>
            <w:tcBorders>
              <w:tl2br w:val="nil"/>
              <w:tr2bl w:val="nil"/>
            </w:tcBorders>
            <w:noWrap w:val="0"/>
            <w:vAlign w:val="center"/>
          </w:tcPr>
          <w:p w14:paraId="06F6E320">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0.55</w:t>
            </w:r>
          </w:p>
        </w:tc>
        <w:tc>
          <w:tcPr>
            <w:tcW w:w="743" w:type="pct"/>
            <w:tcBorders>
              <w:tl2br w:val="nil"/>
              <w:tr2bl w:val="nil"/>
            </w:tcBorders>
            <w:noWrap w:val="0"/>
            <w:vAlign w:val="center"/>
          </w:tcPr>
          <w:p w14:paraId="3BFB078E">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777" w:type="pct"/>
            <w:tcBorders>
              <w:tl2br w:val="nil"/>
              <w:tr2bl w:val="nil"/>
            </w:tcBorders>
            <w:noWrap w:val="0"/>
            <w:vAlign w:val="center"/>
          </w:tcPr>
          <w:p w14:paraId="0C821D01">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合川区小沔镇</w:t>
            </w:r>
          </w:p>
        </w:tc>
        <w:tc>
          <w:tcPr>
            <w:tcW w:w="1070" w:type="pct"/>
            <w:tcBorders>
              <w:tl2br w:val="nil"/>
              <w:tr2bl w:val="nil"/>
            </w:tcBorders>
            <w:noWrap w:val="0"/>
            <w:vAlign w:val="center"/>
          </w:tcPr>
          <w:p w14:paraId="37A1B4FB">
            <w:pPr>
              <w:keepLines w:val="0"/>
              <w:widowControl w:val="0"/>
              <w:kinsoku/>
              <w:overflow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highlight w:val="none"/>
                <w:lang w:val="en-US" w:eastAsia="en-US" w:bidi="ar-SA"/>
              </w:rPr>
            </w:pPr>
            <w:r>
              <w:rPr>
                <w:rFonts w:hint="default" w:ascii="Times New Roman" w:hAnsi="Times New Roman" w:eastAsia="宋体" w:cs="Times New Roman"/>
                <w:snapToGrid w:val="0"/>
                <w:color w:val="auto"/>
                <w:kern w:val="0"/>
                <w:sz w:val="21"/>
                <w:szCs w:val="21"/>
                <w:highlight w:val="none"/>
                <w:lang w:val="en-US" w:eastAsia="zh-CN" w:bidi="ar-SA"/>
              </w:rPr>
              <w:t>利用小沔收费站管理用房占地</w:t>
            </w:r>
          </w:p>
        </w:tc>
      </w:tr>
    </w:tbl>
    <w:p w14:paraId="092F55C4">
      <w:pPr>
        <w:numPr>
          <w:ilvl w:val="0"/>
          <w:numId w:val="0"/>
        </w:numPr>
        <w:tabs>
          <w:tab w:val="left" w:pos="0"/>
        </w:tabs>
        <w:bidi w:val="0"/>
        <w:ind w:left="0" w:leftChars="0" w:firstLine="0" w:firstLineChars="0"/>
        <w:jc w:val="center"/>
        <w:outlineLvl w:val="9"/>
        <w:rPr>
          <w:rFonts w:hint="default" w:ascii="Times New Roman" w:hAnsi="Times New Roman" w:eastAsia="宋体" w:cs="Times New Roman"/>
          <w:b/>
          <w:bCs/>
          <w:color w:val="auto"/>
        </w:rPr>
      </w:pPr>
      <w:r>
        <w:rPr>
          <w:rFonts w:hint="default" w:ascii="Times New Roman" w:hAnsi="Times New Roman" w:eastAsia="宋体" w:cs="Times New Roman"/>
          <w:b/>
          <w:bCs/>
          <w:snapToGrid w:val="0"/>
          <w:color w:val="auto"/>
          <w:kern w:val="0"/>
          <w:sz w:val="24"/>
          <w:szCs w:val="18"/>
          <w:lang w:val="en-US" w:eastAsia="en-US" w:bidi="ar-SA"/>
        </w:rPr>
        <w:t>表</w:t>
      </w:r>
      <w:r>
        <w:rPr>
          <w:rFonts w:hint="eastAsia" w:cs="Times New Roman"/>
          <w:b/>
          <w:bCs/>
          <w:snapToGrid w:val="0"/>
          <w:color w:val="auto"/>
          <w:kern w:val="0"/>
          <w:sz w:val="24"/>
          <w:szCs w:val="18"/>
          <w:lang w:val="en-US" w:eastAsia="zh-CN" w:bidi="ar-SA"/>
        </w:rPr>
        <w:t>5.5</w:t>
      </w:r>
      <w:r>
        <w:rPr>
          <w:rFonts w:hint="default" w:ascii="Times New Roman" w:hAnsi="Times New Roman" w:eastAsia="宋体" w:cs="Times New Roman"/>
          <w:b/>
          <w:bCs/>
          <w:snapToGrid w:val="0"/>
          <w:color w:val="auto"/>
          <w:kern w:val="0"/>
          <w:sz w:val="24"/>
          <w:szCs w:val="18"/>
          <w:lang w:val="en-US" w:eastAsia="en-US" w:bidi="ar-SA"/>
        </w:rPr>
        <w:t>-</w:t>
      </w:r>
      <w:r>
        <w:rPr>
          <w:rFonts w:hint="default" w:ascii="Times New Roman" w:hAnsi="Times New Roman" w:eastAsia="宋体" w:cs="Times New Roman"/>
          <w:b/>
          <w:bCs/>
          <w:snapToGrid w:val="0"/>
          <w:color w:val="auto"/>
          <w:kern w:val="0"/>
          <w:sz w:val="24"/>
          <w:szCs w:val="18"/>
          <w:lang w:val="en-US" w:eastAsia="zh-CN" w:bidi="ar-SA"/>
        </w:rPr>
        <w:t>4</w:t>
      </w:r>
      <w:r>
        <w:rPr>
          <w:rFonts w:hint="default" w:ascii="Times New Roman" w:hAnsi="Times New Roman" w:eastAsia="宋体" w:cs="Times New Roman"/>
          <w:b/>
          <w:bCs/>
          <w:snapToGrid w:val="0"/>
          <w:color w:val="auto"/>
          <w:kern w:val="0"/>
          <w:sz w:val="24"/>
          <w:szCs w:val="18"/>
          <w:lang w:val="en-US" w:eastAsia="en-US" w:bidi="ar-SA"/>
        </w:rPr>
        <w:t xml:space="preserve">  </w:t>
      </w:r>
      <w:r>
        <w:rPr>
          <w:rFonts w:hint="default" w:ascii="Times New Roman" w:hAnsi="Times New Roman" w:cs="Times New Roman"/>
          <w:b/>
          <w:bCs/>
          <w:color w:val="auto"/>
          <w:lang w:val="en-US" w:eastAsia="zh-CN"/>
        </w:rPr>
        <w:t>项目</w:t>
      </w:r>
      <w:r>
        <w:rPr>
          <w:rFonts w:hint="default" w:ascii="Times New Roman" w:hAnsi="Times New Roman" w:eastAsia="宋体" w:cs="Times New Roman"/>
          <w:b/>
          <w:bCs/>
          <w:color w:val="auto"/>
        </w:rPr>
        <w:t>建设临时预制场设置情况</w:t>
      </w:r>
    </w:p>
    <w:tbl>
      <w:tblPr>
        <w:tblStyle w:val="36"/>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59"/>
        <w:gridCol w:w="884"/>
        <w:gridCol w:w="1757"/>
        <w:gridCol w:w="951"/>
        <w:gridCol w:w="1260"/>
        <w:gridCol w:w="1303"/>
        <w:gridCol w:w="1747"/>
      </w:tblGrid>
      <w:tr w14:paraId="282BF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9" w:hRule="atLeast"/>
          <w:jc w:val="center"/>
        </w:trPr>
        <w:tc>
          <w:tcPr>
            <w:tcW w:w="217" w:type="pct"/>
            <w:tcBorders>
              <w:tl2br w:val="nil"/>
              <w:tr2bl w:val="nil"/>
            </w:tcBorders>
            <w:noWrap w:val="0"/>
            <w:textDirection w:val="tbRlV"/>
            <w:vAlign w:val="center"/>
          </w:tcPr>
          <w:p w14:paraId="03F3C2DC">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535" w:type="pct"/>
            <w:tcBorders>
              <w:tl2br w:val="nil"/>
              <w:tr2bl w:val="nil"/>
            </w:tcBorders>
            <w:noWrap w:val="0"/>
            <w:vAlign w:val="center"/>
          </w:tcPr>
          <w:p w14:paraId="1E29BEA2">
            <w:pPr>
              <w:pStyle w:val="37"/>
              <w:bidi w:val="0"/>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名称</w:t>
            </w:r>
          </w:p>
        </w:tc>
        <w:tc>
          <w:tcPr>
            <w:tcW w:w="1063" w:type="pct"/>
            <w:tcBorders>
              <w:tl2br w:val="nil"/>
              <w:tr2bl w:val="nil"/>
            </w:tcBorders>
            <w:noWrap w:val="0"/>
            <w:vAlign w:val="center"/>
          </w:tcPr>
          <w:p w14:paraId="54CC2D6D">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所在桩号</w:t>
            </w:r>
            <w:r>
              <w:rPr>
                <w:rFonts w:hint="default" w:ascii="Times New Roman" w:hAnsi="Times New Roman" w:cs="Times New Roman"/>
                <w:color w:val="auto"/>
                <w:lang w:val="en-US" w:eastAsia="zh-CN"/>
              </w:rPr>
              <w:t>及与主线位置关系</w:t>
            </w:r>
          </w:p>
        </w:tc>
        <w:tc>
          <w:tcPr>
            <w:tcW w:w="575" w:type="pct"/>
            <w:tcBorders>
              <w:tl2br w:val="nil"/>
              <w:tr2bl w:val="nil"/>
            </w:tcBorders>
            <w:noWrap w:val="0"/>
            <w:vAlign w:val="center"/>
          </w:tcPr>
          <w:p w14:paraId="1A1C7279">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面积</w:t>
            </w:r>
          </w:p>
          <w:p w14:paraId="2F82B360">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hm</w:t>
            </w:r>
            <w:r>
              <w:rPr>
                <w:rFonts w:hint="default" w:ascii="Times New Roman" w:hAnsi="Times New Roman" w:eastAsia="宋体" w:cs="Times New Roman"/>
                <w:color w:val="auto"/>
                <w:vertAlign w:val="superscript"/>
              </w:rPr>
              <w:t>2</w:t>
            </w:r>
            <w:r>
              <w:rPr>
                <w:rFonts w:hint="eastAsia" w:cs="Times New Roman"/>
                <w:color w:val="auto"/>
                <w:vertAlign w:val="superscript"/>
                <w:lang w:eastAsia="zh-CN"/>
              </w:rPr>
              <w:t>)</w:t>
            </w:r>
          </w:p>
        </w:tc>
        <w:tc>
          <w:tcPr>
            <w:tcW w:w="762" w:type="pct"/>
            <w:tcBorders>
              <w:tl2br w:val="nil"/>
              <w:tr2bl w:val="nil"/>
            </w:tcBorders>
            <w:noWrap w:val="0"/>
            <w:vAlign w:val="center"/>
          </w:tcPr>
          <w:p w14:paraId="787548CF">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占地类型</w:t>
            </w:r>
          </w:p>
        </w:tc>
        <w:tc>
          <w:tcPr>
            <w:tcW w:w="788" w:type="pct"/>
            <w:tcBorders>
              <w:tl2br w:val="nil"/>
              <w:tr2bl w:val="nil"/>
            </w:tcBorders>
            <w:noWrap w:val="0"/>
            <w:vAlign w:val="center"/>
          </w:tcPr>
          <w:p w14:paraId="356470B1">
            <w:pPr>
              <w:pStyle w:val="37"/>
              <w:bidi w:val="0"/>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highlight w:val="none"/>
                <w:lang w:val="en-US" w:eastAsia="en-US" w:bidi="ar-SA"/>
              </w:rPr>
              <w:t>所属县、乡（镇）</w:t>
            </w:r>
          </w:p>
        </w:tc>
        <w:tc>
          <w:tcPr>
            <w:tcW w:w="1057" w:type="pct"/>
            <w:tcBorders>
              <w:tl2br w:val="nil"/>
              <w:tr2bl w:val="nil"/>
            </w:tcBorders>
            <w:noWrap w:val="0"/>
            <w:vAlign w:val="center"/>
          </w:tcPr>
          <w:p w14:paraId="5DBD0074">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3258A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9" w:hRule="atLeast"/>
          <w:jc w:val="center"/>
        </w:trPr>
        <w:tc>
          <w:tcPr>
            <w:tcW w:w="217" w:type="pct"/>
            <w:tcBorders>
              <w:tl2br w:val="nil"/>
              <w:tr2bl w:val="nil"/>
            </w:tcBorders>
            <w:noWrap w:val="0"/>
            <w:vAlign w:val="center"/>
          </w:tcPr>
          <w:p w14:paraId="6548AE2C">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535" w:type="pct"/>
            <w:tcBorders>
              <w:tl2br w:val="nil"/>
              <w:tr2bl w:val="nil"/>
            </w:tcBorders>
            <w:noWrap w:val="0"/>
            <w:vAlign w:val="center"/>
          </w:tcPr>
          <w:p w14:paraId="32571C83">
            <w:pPr>
              <w:pStyle w:val="37"/>
              <w:bidi w:val="0"/>
              <w:rPr>
                <w:rFonts w:hint="default" w:ascii="Times New Roman" w:hAnsi="Times New Roman" w:eastAsia="宋体" w:cs="Times New Roman"/>
                <w:color w:val="auto"/>
              </w:rPr>
            </w:pPr>
            <w:r>
              <w:rPr>
                <w:rFonts w:hint="default" w:ascii="Times New Roman" w:hAnsi="Times New Roman" w:cs="Times New Roman"/>
                <w:color w:val="auto"/>
                <w:lang w:val="en-US" w:eastAsia="zh-CN"/>
              </w:rPr>
              <w:t>1#</w:t>
            </w:r>
            <w:r>
              <w:rPr>
                <w:rFonts w:hint="default" w:ascii="Times New Roman" w:hAnsi="Times New Roman" w:eastAsia="宋体" w:cs="Times New Roman"/>
                <w:color w:val="auto"/>
              </w:rPr>
              <w:t>预制场</w:t>
            </w:r>
          </w:p>
        </w:tc>
        <w:tc>
          <w:tcPr>
            <w:tcW w:w="1063" w:type="pct"/>
            <w:tcBorders>
              <w:tl2br w:val="nil"/>
              <w:tr2bl w:val="nil"/>
            </w:tcBorders>
            <w:noWrap w:val="0"/>
            <w:vAlign w:val="center"/>
          </w:tcPr>
          <w:p w14:paraId="24F1C075">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lang w:val="en-US" w:eastAsia="zh-CN" w:bidi="ar-SA"/>
              </w:rPr>
              <w:t>K72+800~K73+100</w:t>
            </w:r>
          </w:p>
        </w:tc>
        <w:tc>
          <w:tcPr>
            <w:tcW w:w="575" w:type="pct"/>
            <w:tcBorders>
              <w:tl2br w:val="nil"/>
              <w:tr2bl w:val="nil"/>
            </w:tcBorders>
            <w:noWrap w:val="0"/>
            <w:vAlign w:val="center"/>
          </w:tcPr>
          <w:p w14:paraId="418D3C81">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lang w:val="en-US" w:eastAsia="zh-CN" w:bidi="ar-SA"/>
              </w:rPr>
              <w:t>0.77</w:t>
            </w:r>
          </w:p>
        </w:tc>
        <w:tc>
          <w:tcPr>
            <w:tcW w:w="762" w:type="pct"/>
            <w:tcBorders>
              <w:tl2br w:val="nil"/>
              <w:tr2bl w:val="nil"/>
            </w:tcBorders>
            <w:noWrap w:val="0"/>
            <w:vAlign w:val="center"/>
          </w:tcPr>
          <w:p w14:paraId="6E69495B">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788" w:type="pct"/>
            <w:tcBorders>
              <w:tl2br w:val="nil"/>
              <w:tr2bl w:val="nil"/>
            </w:tcBorders>
            <w:noWrap w:val="0"/>
            <w:vAlign w:val="center"/>
          </w:tcPr>
          <w:p w14:paraId="21BD64A0">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合川区三汇镇</w:t>
            </w:r>
          </w:p>
        </w:tc>
        <w:tc>
          <w:tcPr>
            <w:tcW w:w="1057" w:type="pct"/>
            <w:tcBorders>
              <w:tl2br w:val="nil"/>
              <w:tr2bl w:val="nil"/>
            </w:tcBorders>
            <w:noWrap w:val="0"/>
            <w:vAlign w:val="center"/>
          </w:tcPr>
          <w:p w14:paraId="48952DC1">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利用成型路基</w:t>
            </w:r>
          </w:p>
          <w:p w14:paraId="1EDD56F7">
            <w:pPr>
              <w:pStyle w:val="37"/>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道路红线范围内</w:t>
            </w:r>
          </w:p>
        </w:tc>
      </w:tr>
      <w:tr w14:paraId="03833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7" w:type="pct"/>
            <w:tcBorders>
              <w:tl2br w:val="nil"/>
              <w:tr2bl w:val="nil"/>
            </w:tcBorders>
            <w:noWrap w:val="0"/>
            <w:vAlign w:val="center"/>
          </w:tcPr>
          <w:p w14:paraId="4566C70C">
            <w:pPr>
              <w:pStyle w:val="37"/>
              <w:bidi w:val="0"/>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535" w:type="pct"/>
            <w:tcBorders>
              <w:tl2br w:val="nil"/>
              <w:tr2bl w:val="nil"/>
            </w:tcBorders>
            <w:noWrap w:val="0"/>
            <w:vAlign w:val="center"/>
          </w:tcPr>
          <w:p w14:paraId="79967739">
            <w:pPr>
              <w:pStyle w:val="37"/>
              <w:bidi w:val="0"/>
              <w:rPr>
                <w:rFonts w:hint="default" w:ascii="Times New Roman" w:hAnsi="Times New Roman" w:eastAsia="宋体" w:cs="Times New Roman"/>
                <w:color w:val="auto"/>
              </w:rPr>
            </w:pPr>
            <w:r>
              <w:rPr>
                <w:rFonts w:hint="default" w:ascii="Times New Roman" w:hAnsi="Times New Roman" w:cs="Times New Roman"/>
                <w:color w:val="auto"/>
                <w:lang w:val="en-US" w:eastAsia="zh-CN"/>
              </w:rPr>
              <w:t>2#</w:t>
            </w:r>
            <w:r>
              <w:rPr>
                <w:rFonts w:hint="default" w:ascii="Times New Roman" w:hAnsi="Times New Roman" w:eastAsia="宋体" w:cs="Times New Roman"/>
                <w:color w:val="auto"/>
              </w:rPr>
              <w:t>预制场</w:t>
            </w:r>
          </w:p>
        </w:tc>
        <w:tc>
          <w:tcPr>
            <w:tcW w:w="1063" w:type="pct"/>
            <w:tcBorders>
              <w:tl2br w:val="nil"/>
              <w:tr2bl w:val="nil"/>
            </w:tcBorders>
            <w:noWrap w:val="0"/>
            <w:vAlign w:val="center"/>
          </w:tcPr>
          <w:p w14:paraId="2AE8035D">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lang w:val="en-US" w:eastAsia="zh-CN" w:bidi="ar-SA"/>
              </w:rPr>
              <w:t>K78+470~K78+810</w:t>
            </w:r>
          </w:p>
        </w:tc>
        <w:tc>
          <w:tcPr>
            <w:tcW w:w="575" w:type="pct"/>
            <w:tcBorders>
              <w:tl2br w:val="nil"/>
              <w:tr2bl w:val="nil"/>
            </w:tcBorders>
            <w:noWrap w:val="0"/>
            <w:vAlign w:val="center"/>
          </w:tcPr>
          <w:p w14:paraId="767106BF">
            <w:pPr>
              <w:keepNext w:val="0"/>
              <w:keepLines w:val="0"/>
              <w:pageBreakBefore w:val="0"/>
              <w:widowControl w:val="0"/>
              <w:kinsoku/>
              <w:wordWrap/>
              <w:overflowPunct w:val="0"/>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lang w:val="en-US" w:eastAsia="zh-CN" w:bidi="ar-SA"/>
              </w:rPr>
              <w:t>0.96</w:t>
            </w:r>
          </w:p>
        </w:tc>
        <w:tc>
          <w:tcPr>
            <w:tcW w:w="762" w:type="pct"/>
            <w:tcBorders>
              <w:tl2br w:val="nil"/>
              <w:tr2bl w:val="nil"/>
            </w:tcBorders>
            <w:noWrap w:val="0"/>
            <w:vAlign w:val="center"/>
          </w:tcPr>
          <w:p w14:paraId="68500895">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788" w:type="pct"/>
            <w:tcBorders>
              <w:tl2br w:val="nil"/>
              <w:tr2bl w:val="nil"/>
            </w:tcBorders>
            <w:noWrap w:val="0"/>
            <w:vAlign w:val="center"/>
          </w:tcPr>
          <w:p w14:paraId="621A5B11">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合川区小沔镇</w:t>
            </w:r>
          </w:p>
        </w:tc>
        <w:tc>
          <w:tcPr>
            <w:tcW w:w="1057" w:type="pct"/>
            <w:tcBorders>
              <w:tl2br w:val="nil"/>
              <w:tr2bl w:val="nil"/>
            </w:tcBorders>
            <w:noWrap w:val="0"/>
            <w:vAlign w:val="center"/>
          </w:tcPr>
          <w:p w14:paraId="69D2EDC1">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利用成型路基</w:t>
            </w:r>
          </w:p>
          <w:p w14:paraId="238488F8">
            <w:pPr>
              <w:pStyle w:val="37"/>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道路红线范围内</w:t>
            </w:r>
          </w:p>
        </w:tc>
      </w:tr>
    </w:tbl>
    <w:p w14:paraId="7A136274">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根据现场调查，项目施工过程中设置的</w:t>
      </w:r>
      <w:r>
        <w:rPr>
          <w:rFonts w:hint="eastAsia" w:cs="Times New Roman"/>
          <w:color w:val="auto"/>
          <w:lang w:val="en-US" w:eastAsia="zh-CN"/>
        </w:rPr>
        <w:t>拌和</w:t>
      </w:r>
      <w:r>
        <w:rPr>
          <w:rFonts w:hint="default" w:ascii="Times New Roman" w:hAnsi="Times New Roman" w:eastAsia="宋体" w:cs="Times New Roman"/>
          <w:color w:val="auto"/>
          <w:lang w:val="en-US" w:eastAsia="zh-CN"/>
        </w:rPr>
        <w:t>场和预制场均位于高速路永久用地范围内，已拆除。</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6"/>
        <w:gridCol w:w="4256"/>
      </w:tblGrid>
      <w:tr w14:paraId="7230D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86961FD">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57145" cy="1449070"/>
                  <wp:effectExtent l="0" t="0" r="14605" b="17780"/>
                  <wp:docPr id="46" name="图片 46" descr="55457834-c40b-4c4d-b9cb-4acb0b2af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5457834-c40b-4c4d-b9cb-4acb0b2aff6f"/>
                          <pic:cNvPicPr>
                            <a:picLocks noChangeAspect="1"/>
                          </pic:cNvPicPr>
                        </pic:nvPicPr>
                        <pic:blipFill>
                          <a:blip r:embed="rId44"/>
                          <a:stretch>
                            <a:fillRect/>
                          </a:stretch>
                        </pic:blipFill>
                        <pic:spPr>
                          <a:xfrm>
                            <a:off x="0" y="0"/>
                            <a:ext cx="2557145" cy="1449070"/>
                          </a:xfrm>
                          <a:prstGeom prst="rect">
                            <a:avLst/>
                          </a:prstGeom>
                        </pic:spPr>
                      </pic:pic>
                    </a:graphicData>
                  </a:graphic>
                </wp:inline>
              </w:drawing>
            </w:r>
          </w:p>
        </w:tc>
        <w:tc>
          <w:tcPr>
            <w:tcW w:w="4261" w:type="dxa"/>
          </w:tcPr>
          <w:p w14:paraId="1ACCD31D">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1498600" cy="2394585"/>
                  <wp:effectExtent l="0" t="0" r="5715" b="6350"/>
                  <wp:docPr id="47" name="图片 47" descr="c03ec9e0-165f-43cc-9369-0062c03ee8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03ec9e0-165f-43cc-9369-0062c03ee8fc"/>
                          <pic:cNvPicPr>
                            <a:picLocks noChangeAspect="1"/>
                          </pic:cNvPicPr>
                        </pic:nvPicPr>
                        <pic:blipFill>
                          <a:blip r:embed="rId45"/>
                          <a:stretch>
                            <a:fillRect/>
                          </a:stretch>
                        </pic:blipFill>
                        <pic:spPr>
                          <a:xfrm rot="16200000">
                            <a:off x="0" y="0"/>
                            <a:ext cx="1498600" cy="2394585"/>
                          </a:xfrm>
                          <a:prstGeom prst="rect">
                            <a:avLst/>
                          </a:prstGeom>
                        </pic:spPr>
                      </pic:pic>
                    </a:graphicData>
                  </a:graphic>
                </wp:inline>
              </w:drawing>
            </w:r>
          </w:p>
        </w:tc>
      </w:tr>
      <w:tr w14:paraId="7A10F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0304DC3">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vertAlign w:val="baseline"/>
                <w:lang w:val="en-US" w:eastAsia="zh-CN"/>
              </w:rPr>
            </w:pPr>
            <w:r>
              <w:rPr>
                <w:rFonts w:hint="eastAsia" w:cs="Times New Roman"/>
                <w:color w:val="auto"/>
                <w:vertAlign w:val="baseline"/>
                <w:lang w:val="en-US" w:eastAsia="zh-CN"/>
              </w:rPr>
              <w:t>拌和站</w:t>
            </w:r>
            <w:r>
              <w:rPr>
                <w:rFonts w:hint="eastAsia" w:ascii="Times New Roman" w:hAnsi="Times New Roman" w:eastAsia="宋体" w:cs="Times New Roman"/>
                <w:color w:val="auto"/>
                <w:vertAlign w:val="baseline"/>
                <w:lang w:val="en-US" w:eastAsia="zh-CN"/>
              </w:rPr>
              <w:t>现状（收费站）</w:t>
            </w:r>
          </w:p>
        </w:tc>
        <w:tc>
          <w:tcPr>
            <w:tcW w:w="4261" w:type="dxa"/>
          </w:tcPr>
          <w:p w14:paraId="7480DC40">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lang w:val="en-US" w:eastAsia="zh-CN"/>
              </w:rPr>
              <w:t>预制场</w:t>
            </w:r>
            <w:r>
              <w:rPr>
                <w:rFonts w:hint="eastAsia" w:ascii="Times New Roman" w:hAnsi="Times New Roman" w:eastAsia="宋体" w:cs="Times New Roman"/>
                <w:color w:val="auto"/>
                <w:lang w:val="en-US" w:eastAsia="zh-CN"/>
              </w:rPr>
              <w:t>现状（匝道范围内）</w:t>
            </w:r>
          </w:p>
        </w:tc>
      </w:tr>
    </w:tbl>
    <w:p w14:paraId="6D199369">
      <w:pPr>
        <w:pStyle w:val="3"/>
        <w:numPr>
          <w:ilvl w:val="1"/>
          <w:numId w:val="0"/>
        </w:numPr>
        <w:ind w:left="578" w:leftChars="0" w:hanging="578" w:firstLineChars="0"/>
        <w:rPr>
          <w:rFonts w:hint="eastAsia" w:ascii="Times New Roman" w:hAnsi="Times New Roman" w:cs="Times New Roman"/>
          <w:b/>
          <w:bCs/>
          <w:color w:val="auto"/>
          <w:kern w:val="2"/>
          <w:sz w:val="32"/>
          <w:szCs w:val="32"/>
          <w:lang w:val="en-US" w:eastAsia="zh-CN" w:bidi="ar-SA"/>
        </w:rPr>
      </w:pPr>
      <w:bookmarkStart w:id="113" w:name="_Toc18891"/>
      <w:r>
        <w:rPr>
          <w:rFonts w:hint="eastAsia" w:ascii="Times New Roman" w:hAnsi="Times New Roman" w:cs="Times New Roman"/>
          <w:b/>
          <w:bCs/>
          <w:color w:val="auto"/>
          <w:kern w:val="2"/>
          <w:sz w:val="32"/>
          <w:szCs w:val="32"/>
          <w:lang w:val="en-US" w:eastAsia="zh-CN" w:bidi="ar-SA"/>
        </w:rPr>
        <w:t>5.6 边坡防护和排水工程调查​</w:t>
      </w:r>
      <w:bookmarkEnd w:id="113"/>
    </w:p>
    <w:p w14:paraId="01E2EBEE">
      <w:pPr>
        <w:pStyle w:val="4"/>
        <w:numPr>
          <w:ilvl w:val="2"/>
          <w:numId w:val="0"/>
        </w:numPr>
        <w:ind w:left="720" w:leftChars="0" w:hanging="720" w:firstLineChars="0"/>
        <w:rPr>
          <w:rFonts w:hint="eastAsia" w:cs="Times New Roman"/>
          <w:b/>
          <w:bCs/>
          <w:color w:val="auto"/>
          <w:kern w:val="2"/>
          <w:sz w:val="30"/>
          <w:szCs w:val="30"/>
          <w:lang w:val="en-US" w:eastAsia="zh-CN" w:bidi="ar-SA"/>
        </w:rPr>
      </w:pPr>
      <w:r>
        <w:rPr>
          <w:rFonts w:hint="eastAsia" w:cs="Times New Roman"/>
          <w:b/>
          <w:bCs/>
          <w:color w:val="auto"/>
          <w:kern w:val="2"/>
          <w:sz w:val="30"/>
          <w:szCs w:val="30"/>
          <w:lang w:val="en-US" w:eastAsia="zh-CN" w:bidi="ar-SA"/>
        </w:rPr>
        <w:t>5.6.1防护措施：</w:t>
      </w:r>
    </w:p>
    <w:p w14:paraId="1C1C7DCF">
      <w:pPr>
        <w:ind w:firstLine="480"/>
        <w:rPr>
          <w:rFonts w:hint="default" w:ascii="Times New Roman" w:hAnsi="Times New Roman" w:cs="Times New Roman"/>
          <w:color w:val="auto"/>
          <w:szCs w:val="24"/>
        </w:rPr>
      </w:pPr>
      <w:r>
        <w:rPr>
          <w:rFonts w:hint="eastAsia"/>
          <w:color w:val="auto"/>
          <w:lang w:val="en-US" w:eastAsia="zh-CN"/>
        </w:rPr>
        <w:t>路基边坡采用拱形骨架防护+植草绿化，弃土场按“先挡后弃”原则设置浆砌石挡墙及排水沟。</w:t>
      </w:r>
      <w:r>
        <w:rPr>
          <w:rFonts w:hint="default" w:ascii="Times New Roman" w:hAnsi="Times New Roman" w:cs="Times New Roman"/>
          <w:color w:val="auto"/>
          <w:szCs w:val="24"/>
        </w:rPr>
        <w:t>经调查，本项目路基边坡防护系统完善，植被覆盖率高，坡面水土流失基本得到控制；路基、路面排水系统完善，工程排水设施达到了预期效果，有效地防止了水土流失。基本与区域自然环境景观相协调，逐步恢复对区域生态环境扰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EB84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1CEB8890">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auto"/>
                <w:vertAlign w:val="baseline"/>
                <w:lang w:val="en-US" w:eastAsia="zh-CN"/>
              </w:rPr>
            </w:pPr>
            <w:r>
              <w:rPr>
                <w:rFonts w:hint="eastAsia" w:ascii="Times New Roman" w:hAnsi="Times New Roman" w:cs="Times New Roman"/>
                <w:color w:val="auto"/>
                <w:vertAlign w:val="baseline"/>
                <w:lang w:val="en-US" w:eastAsia="zh-CN"/>
              </w:rPr>
              <w:drawing>
                <wp:inline distT="0" distB="0" distL="114300" distR="114300">
                  <wp:extent cx="5265420" cy="2962910"/>
                  <wp:effectExtent l="0" t="0" r="11430" b="8890"/>
                  <wp:docPr id="14" name="图片 14" descr="5b70f72b-c292-47be-b9e3-3f55ea72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b70f72b-c292-47be-b9e3-3f55ea723924"/>
                          <pic:cNvPicPr>
                            <a:picLocks noChangeAspect="1"/>
                          </pic:cNvPicPr>
                        </pic:nvPicPr>
                        <pic:blipFill>
                          <a:blip r:embed="rId46"/>
                          <a:stretch>
                            <a:fillRect/>
                          </a:stretch>
                        </pic:blipFill>
                        <pic:spPr>
                          <a:xfrm>
                            <a:off x="0" y="0"/>
                            <a:ext cx="5265420" cy="2962910"/>
                          </a:xfrm>
                          <a:prstGeom prst="rect">
                            <a:avLst/>
                          </a:prstGeom>
                        </pic:spPr>
                      </pic:pic>
                    </a:graphicData>
                  </a:graphic>
                </wp:inline>
              </w:drawing>
            </w:r>
          </w:p>
        </w:tc>
      </w:tr>
      <w:tr w14:paraId="41550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23B04868">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auto"/>
                <w:vertAlign w:val="baseline"/>
                <w:lang w:val="en-US" w:eastAsia="zh-CN"/>
              </w:rPr>
            </w:pPr>
            <w:r>
              <w:rPr>
                <w:rFonts w:hint="eastAsia" w:cs="Times New Roman"/>
                <w:color w:val="auto"/>
                <w:vertAlign w:val="baseline"/>
                <w:lang w:val="en-US" w:eastAsia="zh-CN"/>
              </w:rPr>
              <w:t>图5.6-1 边坡绿化防护情况</w:t>
            </w:r>
          </w:p>
        </w:tc>
      </w:tr>
      <w:tr w14:paraId="26B8F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0BFF58A1">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s="Times New Roman"/>
                <w:color w:val="auto"/>
                <w:vertAlign w:val="baseline"/>
                <w:lang w:val="en-US" w:eastAsia="zh-CN"/>
              </w:rPr>
            </w:pPr>
            <w:r>
              <w:rPr>
                <w:rFonts w:hint="eastAsia" w:cs="Times New Roman"/>
                <w:color w:val="auto"/>
                <w:vertAlign w:val="baseline"/>
                <w:lang w:val="en-US" w:eastAsia="zh-CN"/>
              </w:rPr>
              <w:drawing>
                <wp:inline distT="0" distB="0" distL="114300" distR="114300">
                  <wp:extent cx="4982845" cy="2760980"/>
                  <wp:effectExtent l="0" t="0" r="8255" b="1270"/>
                  <wp:docPr id="51" name="图片 51" descr="微信图片_20260407095113_60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图片_20260407095113_60_23"/>
                          <pic:cNvPicPr>
                            <a:picLocks noChangeAspect="1"/>
                          </pic:cNvPicPr>
                        </pic:nvPicPr>
                        <pic:blipFill>
                          <a:blip r:embed="rId47"/>
                          <a:stretch>
                            <a:fillRect/>
                          </a:stretch>
                        </pic:blipFill>
                        <pic:spPr>
                          <a:xfrm>
                            <a:off x="0" y="0"/>
                            <a:ext cx="4982845" cy="2760980"/>
                          </a:xfrm>
                          <a:prstGeom prst="rect">
                            <a:avLst/>
                          </a:prstGeom>
                        </pic:spPr>
                      </pic:pic>
                    </a:graphicData>
                  </a:graphic>
                </wp:inline>
              </w:drawing>
            </w:r>
          </w:p>
        </w:tc>
      </w:tr>
      <w:tr w14:paraId="58E4C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72F44F07">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cs="Times New Roman"/>
                <w:color w:val="auto"/>
                <w:vertAlign w:val="baseline"/>
                <w:lang w:val="en-US" w:eastAsia="zh-CN"/>
              </w:rPr>
            </w:pPr>
            <w:r>
              <w:rPr>
                <w:rFonts w:hint="eastAsia" w:cs="Times New Roman"/>
                <w:color w:val="auto"/>
                <w:vertAlign w:val="baseline"/>
                <w:lang w:val="en-US" w:eastAsia="zh-CN"/>
              </w:rPr>
              <w:t>图5.6-2 主线边沟情况</w:t>
            </w:r>
          </w:p>
        </w:tc>
      </w:tr>
      <w:tr w14:paraId="1C6D1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5C8A28DE">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s="Times New Roman"/>
                <w:color w:val="auto"/>
                <w:vertAlign w:val="baseline"/>
                <w:lang w:val="en-US" w:eastAsia="zh-CN"/>
              </w:rPr>
            </w:pPr>
            <w:r>
              <w:rPr>
                <w:rFonts w:hint="eastAsia" w:cs="Times New Roman"/>
                <w:color w:val="auto"/>
                <w:vertAlign w:val="baseline"/>
                <w:lang w:val="en-US" w:eastAsia="zh-CN"/>
              </w:rPr>
              <w:drawing>
                <wp:inline distT="0" distB="0" distL="114300" distR="114300">
                  <wp:extent cx="5265420" cy="2959735"/>
                  <wp:effectExtent l="0" t="0" r="11430" b="12065"/>
                  <wp:docPr id="52" name="图片 52" descr="微信图片_20260407095022_55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60407095022_55_23"/>
                          <pic:cNvPicPr>
                            <a:picLocks noChangeAspect="1"/>
                          </pic:cNvPicPr>
                        </pic:nvPicPr>
                        <pic:blipFill>
                          <a:blip r:embed="rId48"/>
                          <a:stretch>
                            <a:fillRect/>
                          </a:stretch>
                        </pic:blipFill>
                        <pic:spPr>
                          <a:xfrm>
                            <a:off x="0" y="0"/>
                            <a:ext cx="5265420" cy="2959735"/>
                          </a:xfrm>
                          <a:prstGeom prst="rect">
                            <a:avLst/>
                          </a:prstGeom>
                        </pic:spPr>
                      </pic:pic>
                    </a:graphicData>
                  </a:graphic>
                </wp:inline>
              </w:drawing>
            </w:r>
          </w:p>
        </w:tc>
      </w:tr>
      <w:tr w14:paraId="3C149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056E1A9F">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cs="Times New Roman"/>
                <w:color w:val="auto"/>
                <w:vertAlign w:val="baseline"/>
                <w:lang w:val="en-US" w:eastAsia="zh-CN"/>
              </w:rPr>
            </w:pPr>
            <w:r>
              <w:rPr>
                <w:rFonts w:hint="eastAsia" w:cs="Times New Roman"/>
                <w:color w:val="auto"/>
                <w:vertAlign w:val="baseline"/>
                <w:lang w:val="en-US" w:eastAsia="zh-CN"/>
              </w:rPr>
              <w:t>图5.6-3 主线沿线绿化及边沟情况</w:t>
            </w:r>
          </w:p>
        </w:tc>
      </w:tr>
      <w:tr w14:paraId="72B21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4B8856D8">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s="Times New Roman"/>
                <w:color w:val="auto"/>
                <w:vertAlign w:val="baseline"/>
                <w:lang w:val="en-US" w:eastAsia="zh-CN"/>
              </w:rPr>
            </w:pPr>
            <w:r>
              <w:rPr>
                <w:color w:val="auto"/>
              </w:rPr>
              <w:drawing>
                <wp:inline distT="0" distB="0" distL="114300" distR="114300">
                  <wp:extent cx="5273675" cy="3002280"/>
                  <wp:effectExtent l="0" t="0" r="3175" b="762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49"/>
                          <a:stretch>
                            <a:fillRect/>
                          </a:stretch>
                        </pic:blipFill>
                        <pic:spPr>
                          <a:xfrm>
                            <a:off x="0" y="0"/>
                            <a:ext cx="5273675" cy="3002280"/>
                          </a:xfrm>
                          <a:prstGeom prst="rect">
                            <a:avLst/>
                          </a:prstGeom>
                          <a:noFill/>
                          <a:ln>
                            <a:noFill/>
                          </a:ln>
                        </pic:spPr>
                      </pic:pic>
                    </a:graphicData>
                  </a:graphic>
                </wp:inline>
              </w:drawing>
            </w:r>
          </w:p>
        </w:tc>
      </w:tr>
      <w:tr w14:paraId="4B077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4CC33178">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color w:val="auto"/>
              </w:rPr>
            </w:pPr>
            <w:r>
              <w:rPr>
                <w:rFonts w:hint="eastAsia" w:cs="Times New Roman"/>
                <w:color w:val="auto"/>
                <w:vertAlign w:val="baseline"/>
                <w:lang w:val="en-US" w:eastAsia="zh-CN"/>
              </w:rPr>
              <w:t>图5.6-4 主线沿线绿化及排水设施情况</w:t>
            </w:r>
          </w:p>
        </w:tc>
      </w:tr>
    </w:tbl>
    <w:p w14:paraId="3636DF15">
      <w:pPr>
        <w:keepNext w:val="0"/>
        <w:keepLines w:val="0"/>
        <w:pageBreakBefore w:val="0"/>
        <w:widowControl w:val="0"/>
        <w:kinsoku/>
        <w:wordWrap/>
        <w:overflowPunct/>
        <w:topLinePunct w:val="0"/>
        <w:autoSpaceDE/>
        <w:autoSpaceDN/>
        <w:bidi w:val="0"/>
        <w:adjustRightInd w:val="0"/>
        <w:snapToGrid w:val="0"/>
        <w:textAlignment w:val="auto"/>
        <w:rPr>
          <w:rFonts w:hint="eastAsia"/>
          <w:color w:val="auto"/>
          <w:lang w:val="en-US" w:eastAsia="zh-CN"/>
        </w:rPr>
      </w:pPr>
    </w:p>
    <w:p w14:paraId="7077A7E9">
      <w:pPr>
        <w:pStyle w:val="3"/>
        <w:numPr>
          <w:ilvl w:val="0"/>
          <w:numId w:val="0"/>
        </w:numPr>
        <w:ind w:left="578" w:leftChars="0" w:hanging="578" w:firstLineChars="0"/>
        <w:rPr>
          <w:rFonts w:hint="default" w:ascii="Times New Roman" w:hAnsi="Times New Roman" w:cs="Times New Roman"/>
          <w:color w:val="auto"/>
        </w:rPr>
      </w:pPr>
      <w:bookmarkStart w:id="114" w:name="_Toc12414"/>
      <w:bookmarkStart w:id="115" w:name="_Toc11973"/>
      <w:bookmarkStart w:id="116" w:name="_Toc27375"/>
      <w:r>
        <w:rPr>
          <w:rFonts w:hint="eastAsia" w:ascii="Times New Roman" w:hAnsi="Times New Roman" w:cs="Times New Roman"/>
          <w:b/>
          <w:bCs/>
          <w:color w:val="auto"/>
          <w:kern w:val="2"/>
          <w:sz w:val="32"/>
          <w:szCs w:val="32"/>
          <w:lang w:val="en-US" w:eastAsia="zh-CN" w:bidi="ar-SA"/>
        </w:rPr>
        <w:t>5.7</w:t>
      </w:r>
      <w:r>
        <w:rPr>
          <w:rFonts w:hint="default" w:ascii="Times New Roman" w:hAnsi="Times New Roman" w:cs="Times New Roman"/>
          <w:color w:val="auto"/>
        </w:rPr>
        <w:t>公路绿化工程调查</w:t>
      </w:r>
      <w:bookmarkEnd w:id="114"/>
      <w:bookmarkEnd w:id="115"/>
      <w:bookmarkEnd w:id="116"/>
    </w:p>
    <w:p w14:paraId="45BD444D">
      <w:pPr>
        <w:keepNext w:val="0"/>
        <w:keepLines w:val="0"/>
        <w:pageBreakBefore w:val="0"/>
        <w:widowControl w:val="0"/>
        <w:kinsoku/>
        <w:wordWrap/>
        <w:overflowPunct/>
        <w:topLinePunct w:val="0"/>
        <w:autoSpaceDE/>
        <w:autoSpaceDN/>
        <w:bidi w:val="0"/>
        <w:adjustRightInd w:val="0"/>
        <w:snapToGrid w:val="0"/>
        <w:ind w:left="0"/>
        <w:textAlignment w:val="auto"/>
        <w:rPr>
          <w:rFonts w:hint="eastAsia"/>
          <w:color w:val="auto"/>
          <w:lang w:val="en-US" w:eastAsia="zh-CN"/>
        </w:rPr>
      </w:pPr>
      <w:r>
        <w:rPr>
          <w:rFonts w:hint="default" w:ascii="Times New Roman" w:hAnsi="Times New Roman" w:cs="Times New Roman"/>
          <w:color w:val="auto"/>
          <w:szCs w:val="24"/>
        </w:rPr>
        <w:t>绿化是公路环境保护的重要措施之一，是公路建设的重要组成部分，它能改善道路的景观，美化环境、调节气候，延长公路的使用寿命，净化空气，改善环境空气，降低交通噪声，加固斜坡，防止水土流失，保持路基稳定。因此搞好公路的绿化，使之成为</w:t>
      </w:r>
      <w:r>
        <w:rPr>
          <w:rFonts w:hint="eastAsia" w:cs="Times New Roman"/>
          <w:color w:val="auto"/>
          <w:szCs w:val="24"/>
          <w:lang w:eastAsia="zh-CN"/>
        </w:rPr>
        <w:t>一条</w:t>
      </w:r>
      <w:r>
        <w:rPr>
          <w:rFonts w:hint="default" w:ascii="Times New Roman" w:hAnsi="Times New Roman" w:cs="Times New Roman"/>
          <w:color w:val="auto"/>
          <w:szCs w:val="24"/>
        </w:rPr>
        <w:t>“生态绿化带”是至关重要的。</w:t>
      </w:r>
    </w:p>
    <w:p w14:paraId="7FA1AE9C">
      <w:pPr>
        <w:keepNext w:val="0"/>
        <w:keepLines w:val="0"/>
        <w:pageBreakBefore w:val="0"/>
        <w:widowControl w:val="0"/>
        <w:kinsoku/>
        <w:wordWrap/>
        <w:overflowPunct/>
        <w:topLinePunct w:val="0"/>
        <w:autoSpaceDE/>
        <w:autoSpaceDN/>
        <w:bidi w:val="0"/>
        <w:adjustRightInd w:val="0"/>
        <w:snapToGrid w:val="0"/>
        <w:ind w:left="0"/>
        <w:textAlignment w:val="auto"/>
        <w:rPr>
          <w:rFonts w:hint="default"/>
          <w:color w:val="auto"/>
          <w:lang w:val="en-US" w:eastAsia="zh-CN"/>
        </w:rPr>
      </w:pPr>
      <w:r>
        <w:rPr>
          <w:rFonts w:hint="eastAsia"/>
          <w:color w:val="auto"/>
          <w:lang w:val="en-US" w:eastAsia="zh-CN"/>
        </w:rPr>
        <w:t>根据重新报批资料，项目主要对道路沿线和边坡进行绿化，对施工期占用的临时用地进行生态补偿。</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7F688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53530B5F">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auto"/>
                <w:vertAlign w:val="baseline"/>
                <w:lang w:val="en-US" w:eastAsia="zh-CN"/>
              </w:rPr>
            </w:pPr>
            <w:r>
              <w:rPr>
                <w:color w:val="auto"/>
              </w:rPr>
              <w:drawing>
                <wp:inline distT="0" distB="0" distL="114300" distR="114300">
                  <wp:extent cx="4993005" cy="2493645"/>
                  <wp:effectExtent l="0" t="0" r="17145" b="190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50"/>
                          <a:stretch>
                            <a:fillRect/>
                          </a:stretch>
                        </pic:blipFill>
                        <pic:spPr>
                          <a:xfrm>
                            <a:off x="0" y="0"/>
                            <a:ext cx="4993005" cy="2493645"/>
                          </a:xfrm>
                          <a:prstGeom prst="rect">
                            <a:avLst/>
                          </a:prstGeom>
                          <a:noFill/>
                          <a:ln>
                            <a:noFill/>
                          </a:ln>
                        </pic:spPr>
                      </pic:pic>
                    </a:graphicData>
                  </a:graphic>
                </wp:inline>
              </w:drawing>
            </w:r>
          </w:p>
        </w:tc>
      </w:tr>
      <w:tr w14:paraId="7E792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143A6354">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auto"/>
                <w:vertAlign w:val="baseline"/>
                <w:lang w:val="en-US" w:eastAsia="zh-CN"/>
              </w:rPr>
            </w:pPr>
            <w:r>
              <w:rPr>
                <w:rStyle w:val="22"/>
                <w:color w:val="auto"/>
              </w:rPr>
              <w:t>道路中分带及绿化1</w:t>
            </w:r>
          </w:p>
        </w:tc>
      </w:tr>
      <w:tr w14:paraId="798A6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5A0E19D9">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drawing>
                <wp:inline distT="0" distB="0" distL="114300" distR="114300">
                  <wp:extent cx="5265420" cy="2962910"/>
                  <wp:effectExtent l="0" t="0" r="11430" b="8890"/>
                  <wp:docPr id="54" name="图片 54" descr="23c7f901-81b6-4232-9acb-75c1f2b8c7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3c7f901-81b6-4232-9acb-75c1f2b8c75a"/>
                          <pic:cNvPicPr>
                            <a:picLocks noChangeAspect="1"/>
                          </pic:cNvPicPr>
                        </pic:nvPicPr>
                        <pic:blipFill>
                          <a:blip r:embed="rId51"/>
                          <a:stretch>
                            <a:fillRect/>
                          </a:stretch>
                        </pic:blipFill>
                        <pic:spPr>
                          <a:xfrm>
                            <a:off x="0" y="0"/>
                            <a:ext cx="5265420" cy="2962910"/>
                          </a:xfrm>
                          <a:prstGeom prst="rect">
                            <a:avLst/>
                          </a:prstGeom>
                        </pic:spPr>
                      </pic:pic>
                    </a:graphicData>
                  </a:graphic>
                </wp:inline>
              </w:drawing>
            </w:r>
          </w:p>
        </w:tc>
      </w:tr>
      <w:tr w14:paraId="533FD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center"/>
          </w:tcPr>
          <w:p w14:paraId="0D217EAF">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eastAsia="宋体"/>
                <w:color w:val="auto"/>
                <w:vertAlign w:val="baseline"/>
                <w:lang w:val="en-US" w:eastAsia="zh-CN"/>
              </w:rPr>
            </w:pPr>
            <w:r>
              <w:rPr>
                <w:rStyle w:val="22"/>
                <w:color w:val="auto"/>
              </w:rPr>
              <w:t>道路中分带及绿化</w:t>
            </w:r>
            <w:r>
              <w:rPr>
                <w:rStyle w:val="22"/>
                <w:rFonts w:hint="eastAsia"/>
                <w:color w:val="auto"/>
                <w:lang w:val="en-US" w:eastAsia="zh-CN"/>
              </w:rPr>
              <w:t>2</w:t>
            </w:r>
          </w:p>
        </w:tc>
      </w:tr>
    </w:tbl>
    <w:p w14:paraId="3C08B839">
      <w:pPr>
        <w:pStyle w:val="3"/>
        <w:numPr>
          <w:ilvl w:val="0"/>
          <w:numId w:val="0"/>
        </w:numPr>
        <w:ind w:left="578" w:leftChars="0" w:hanging="578" w:firstLineChars="0"/>
        <w:rPr>
          <w:rFonts w:hint="default" w:ascii="Times New Roman" w:hAnsi="Times New Roman" w:cs="Times New Roman"/>
          <w:color w:val="auto"/>
        </w:rPr>
      </w:pPr>
      <w:bookmarkStart w:id="117" w:name="_Toc21559"/>
      <w:r>
        <w:rPr>
          <w:rFonts w:hint="eastAsia" w:ascii="Times New Roman" w:hAnsi="Times New Roman" w:cs="Times New Roman"/>
          <w:b/>
          <w:bCs/>
          <w:color w:val="auto"/>
          <w:kern w:val="2"/>
          <w:sz w:val="32"/>
          <w:szCs w:val="32"/>
          <w:lang w:val="en-US" w:eastAsia="zh-CN" w:bidi="ar-SA"/>
        </w:rPr>
        <w:t>5.8</w:t>
      </w:r>
      <w:r>
        <w:rPr>
          <w:rFonts w:hint="default" w:ascii="Times New Roman" w:hAnsi="Times New Roman" w:cs="Times New Roman"/>
          <w:color w:val="auto"/>
        </w:rPr>
        <w:t>水土流失影响调查</w:t>
      </w:r>
      <w:bookmarkEnd w:id="117"/>
    </w:p>
    <w:p w14:paraId="011960CA">
      <w:pPr>
        <w:pStyle w:val="4"/>
        <w:numPr>
          <w:ilvl w:val="0"/>
          <w:numId w:val="0"/>
        </w:numPr>
        <w:ind w:left="720" w:leftChars="0" w:hanging="72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5.8.1水土保持变动情况</w:t>
      </w:r>
    </w:p>
    <w:p w14:paraId="070D721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2015年8月，重庆市水利局以《关于广安市过境高速公路东环线及渝广高速支线（重庆合川境）水土保持方案的函》（渝水许可</w:t>
      </w:r>
      <w:r>
        <w:rPr>
          <w:rFonts w:hint="eastAsia" w:cs="Times New Roman"/>
          <w:color w:val="auto"/>
          <w:szCs w:val="24"/>
          <w:lang w:eastAsia="zh-CN"/>
        </w:rPr>
        <w:t>〔2015〕169号</w:t>
      </w:r>
      <w:r>
        <w:rPr>
          <w:rFonts w:hint="default" w:ascii="Times New Roman" w:hAnsi="Times New Roman" w:cs="Times New Roman"/>
          <w:color w:val="auto"/>
          <w:szCs w:val="24"/>
        </w:rPr>
        <w:t>）进行批复许可，批复的水土流失防治责任范围111.44公顷，其中建设区面积为101.05公顷，直接影响区面积为10.39公顷。</w:t>
      </w:r>
    </w:p>
    <w:p w14:paraId="13CA2FF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2017年12月，重庆市交通委员会以《关于渝广高速支线（重庆段）初步设计的批复》（渝交委路</w:t>
      </w:r>
      <w:r>
        <w:rPr>
          <w:rFonts w:hint="eastAsia" w:cs="Times New Roman"/>
          <w:color w:val="auto"/>
          <w:szCs w:val="24"/>
          <w:lang w:eastAsia="zh-CN"/>
        </w:rPr>
        <w:t>〔2017〕125号</w:t>
      </w:r>
      <w:r>
        <w:rPr>
          <w:rFonts w:hint="default" w:ascii="Times New Roman" w:hAnsi="Times New Roman" w:cs="Times New Roman"/>
          <w:color w:val="auto"/>
          <w:szCs w:val="24"/>
        </w:rPr>
        <w:t>）批复了本工程初步设计（含水土保持部分）。</w:t>
      </w:r>
    </w:p>
    <w:p w14:paraId="10ABE58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2018年6月，重庆市交通委员会以《关于渝广高速支线（重庆段）施工图设计的批复》（渝交委路</w:t>
      </w:r>
      <w:r>
        <w:rPr>
          <w:rFonts w:hint="eastAsia" w:cs="Times New Roman"/>
          <w:color w:val="auto"/>
          <w:szCs w:val="24"/>
          <w:lang w:eastAsia="zh-CN"/>
        </w:rPr>
        <w:t>〔2018〕55号</w:t>
      </w:r>
      <w:r>
        <w:rPr>
          <w:rFonts w:hint="default" w:ascii="Times New Roman" w:hAnsi="Times New Roman" w:cs="Times New Roman"/>
          <w:color w:val="auto"/>
          <w:szCs w:val="24"/>
        </w:rPr>
        <w:t>）批复了本工程施工图设计（含水土保持部分），施工图设计进一步细化和优化了各项水土保持措施。</w:t>
      </w:r>
    </w:p>
    <w:p w14:paraId="7AA81AC0">
      <w:pPr>
        <w:pStyle w:val="24"/>
        <w:ind w:firstLine="480"/>
        <w:rPr>
          <w:rFonts w:hint="default" w:ascii="Times New Roman" w:hAnsi="Times New Roman" w:cs="Times New Roman"/>
          <w:color w:val="auto"/>
          <w:szCs w:val="24"/>
        </w:rPr>
      </w:pPr>
      <w:r>
        <w:rPr>
          <w:rFonts w:hint="eastAsia" w:cs="Times New Roman"/>
          <w:color w:val="auto"/>
          <w:szCs w:val="24"/>
          <w:lang w:eastAsia="zh-CN"/>
        </w:rPr>
        <w:t>2021年2月</w:t>
      </w:r>
      <w:r>
        <w:rPr>
          <w:rFonts w:hint="default" w:ascii="Times New Roman" w:hAnsi="Times New Roman" w:cs="Times New Roman"/>
          <w:color w:val="auto"/>
          <w:szCs w:val="24"/>
        </w:rPr>
        <w:t>，重庆市水利局以《关于广安过境高速公路东环线及渝广高速支线（重庆段）水土保持变更方案准予行政许可的决定》（渝水许可</w:t>
      </w:r>
      <w:r>
        <w:rPr>
          <w:rFonts w:hint="eastAsia" w:cs="Times New Roman"/>
          <w:color w:val="auto"/>
          <w:szCs w:val="24"/>
          <w:lang w:eastAsia="zh-CN"/>
        </w:rPr>
        <w:t>〔2021〕15号</w:t>
      </w:r>
      <w:r>
        <w:rPr>
          <w:rFonts w:hint="default" w:ascii="Times New Roman" w:hAnsi="Times New Roman" w:cs="Times New Roman"/>
          <w:color w:val="auto"/>
          <w:szCs w:val="24"/>
        </w:rPr>
        <w:t>）对工程予以批复许可。确定的批复水土流失防治责任范围为85.08公顷，均为建设区面积。</w:t>
      </w:r>
    </w:p>
    <w:p w14:paraId="40596C94">
      <w:pPr>
        <w:pStyle w:val="24"/>
        <w:ind w:firstLine="480"/>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rPr>
        <w:t>20</w:t>
      </w:r>
      <w:r>
        <w:rPr>
          <w:rFonts w:hint="eastAsia" w:cs="Times New Roman"/>
          <w:color w:val="auto"/>
          <w:szCs w:val="24"/>
          <w:lang w:val="en-US" w:eastAsia="zh-CN"/>
        </w:rPr>
        <w:t>21</w:t>
      </w:r>
      <w:r>
        <w:rPr>
          <w:rFonts w:hint="default" w:ascii="Times New Roman" w:hAnsi="Times New Roman" w:cs="Times New Roman"/>
          <w:color w:val="auto"/>
          <w:szCs w:val="24"/>
        </w:rPr>
        <w:t>年</w:t>
      </w:r>
      <w:r>
        <w:rPr>
          <w:rFonts w:hint="eastAsia" w:ascii="Times New Roman" w:hAnsi="Times New Roman" w:cs="Times New Roman"/>
          <w:color w:val="auto"/>
          <w:szCs w:val="24"/>
          <w:lang w:val="en-US" w:eastAsia="zh-CN"/>
        </w:rPr>
        <w:t>12</w:t>
      </w:r>
      <w:r>
        <w:rPr>
          <w:rFonts w:hint="default" w:ascii="Times New Roman" w:hAnsi="Times New Roman" w:cs="Times New Roman"/>
          <w:color w:val="auto"/>
          <w:szCs w:val="24"/>
        </w:rPr>
        <w:t>月，四川蜀</w:t>
      </w:r>
      <w:r>
        <w:rPr>
          <w:rStyle w:val="25"/>
          <w:rFonts w:hint="default" w:ascii="Times New Roman" w:hAnsi="Times New Roman" w:cs="Times New Roman"/>
          <w:color w:val="auto"/>
          <w:szCs w:val="24"/>
        </w:rPr>
        <w:t>水生态环境建设有限责任公司编制完成了《</w:t>
      </w:r>
      <w:r>
        <w:rPr>
          <w:rStyle w:val="25"/>
          <w:rFonts w:hint="eastAsia" w:cs="Times New Roman"/>
          <w:color w:val="auto"/>
          <w:szCs w:val="24"/>
          <w:lang w:eastAsia="zh-CN"/>
        </w:rPr>
        <w:t>广安市过境高速公路东环线及渝广高速支线（重庆合川境）</w:t>
      </w:r>
      <w:r>
        <w:rPr>
          <w:rStyle w:val="25"/>
          <w:rFonts w:hint="default" w:ascii="Times New Roman" w:hAnsi="Times New Roman" w:cs="Times New Roman"/>
          <w:color w:val="auto"/>
          <w:szCs w:val="24"/>
        </w:rPr>
        <w:t>》</w:t>
      </w:r>
      <w:r>
        <w:rPr>
          <w:rStyle w:val="25"/>
          <w:rFonts w:hint="eastAsia" w:cs="Times New Roman"/>
          <w:color w:val="auto"/>
          <w:szCs w:val="24"/>
          <w:lang w:eastAsia="zh-CN"/>
        </w:rPr>
        <w:t>，</w:t>
      </w:r>
      <w:r>
        <w:rPr>
          <w:rStyle w:val="25"/>
          <w:rFonts w:hint="eastAsia" w:cs="Times New Roman"/>
          <w:color w:val="auto"/>
          <w:szCs w:val="24"/>
          <w:lang w:val="en-US" w:eastAsia="zh-CN"/>
        </w:rPr>
        <w:t>目前已通过专家评审；并完成报备。</w:t>
      </w:r>
    </w:p>
    <w:p w14:paraId="68EC6E92">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w:t>
      </w:r>
      <w:r>
        <w:rPr>
          <w:rFonts w:hint="eastAsia" w:ascii="Times New Roman" w:hAnsi="Times New Roman" w:eastAsia="宋体"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w:t>
      </w:r>
      <w:r>
        <w:rPr>
          <w:rFonts w:hint="eastAsia" w:ascii="Times New Roman" w:hAnsi="Times New Roman" w:eastAsia="宋体" w:cs="Times New Roman"/>
          <w:b/>
          <w:bCs/>
          <w:color w:val="auto"/>
          <w:kern w:val="2"/>
          <w:sz w:val="30"/>
          <w:szCs w:val="32"/>
          <w:lang w:val="en-US" w:eastAsia="zh-CN" w:bidi="ar-SA"/>
        </w:rPr>
        <w:t>2</w:t>
      </w:r>
      <w:r>
        <w:rPr>
          <w:rFonts w:hint="default" w:ascii="Times New Roman" w:hAnsi="Times New Roman" w:cs="Times New Roman"/>
          <w:color w:val="auto"/>
        </w:rPr>
        <w:t>水土保持措施总体布局</w:t>
      </w:r>
    </w:p>
    <w:p w14:paraId="64C5BEA0">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经现场实地查勘，结合过程资料，本工程各防治分区措施布置如下</w:t>
      </w:r>
      <w:r>
        <w:rPr>
          <w:rFonts w:hint="eastAsia" w:cs="Times New Roman"/>
          <w:color w:val="auto"/>
          <w:szCs w:val="24"/>
          <w:lang w:val="en-US" w:eastAsia="zh-CN"/>
        </w:rPr>
        <w:t>表</w:t>
      </w:r>
      <w:r>
        <w:rPr>
          <w:rFonts w:hint="default" w:ascii="Times New Roman" w:hAnsi="Times New Roman" w:cs="Times New Roman"/>
          <w:color w:val="auto"/>
          <w:szCs w:val="24"/>
        </w:rPr>
        <w:t>：</w:t>
      </w:r>
    </w:p>
    <w:p w14:paraId="6F03F860">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5.8</w:t>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t>工程各防治分区措施布置表</w:t>
      </w:r>
    </w:p>
    <w:tbl>
      <w:tblPr>
        <w:tblStyle w:val="36"/>
        <w:tblW w:w="510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35"/>
        <w:gridCol w:w="2006"/>
        <w:gridCol w:w="2621"/>
        <w:gridCol w:w="2629"/>
      </w:tblGrid>
      <w:tr w14:paraId="5D7A1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727" w:type="pct"/>
            <w:vMerge w:val="restart"/>
            <w:vAlign w:val="center"/>
          </w:tcPr>
          <w:p w14:paraId="744E1406">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防治措施及工程量</w:t>
            </w:r>
          </w:p>
        </w:tc>
        <w:tc>
          <w:tcPr>
            <w:tcW w:w="1181" w:type="pct"/>
            <w:vAlign w:val="center"/>
          </w:tcPr>
          <w:p w14:paraId="59D86B95">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分区</w:t>
            </w:r>
          </w:p>
        </w:tc>
        <w:tc>
          <w:tcPr>
            <w:tcW w:w="1543" w:type="pct"/>
            <w:vAlign w:val="center"/>
          </w:tcPr>
          <w:p w14:paraId="6CEC1C78">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措施类型</w:t>
            </w:r>
          </w:p>
        </w:tc>
        <w:tc>
          <w:tcPr>
            <w:tcW w:w="1547" w:type="pct"/>
            <w:vAlign w:val="center"/>
          </w:tcPr>
          <w:p w14:paraId="22BA4651">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实际实施的防治措施</w:t>
            </w:r>
          </w:p>
        </w:tc>
      </w:tr>
      <w:tr w14:paraId="6BEB38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98" w:hRule="atLeast"/>
        </w:trPr>
        <w:tc>
          <w:tcPr>
            <w:tcW w:w="727" w:type="pct"/>
            <w:vMerge w:val="continue"/>
            <w:vAlign w:val="center"/>
          </w:tcPr>
          <w:p w14:paraId="6428D611">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p>
        </w:tc>
        <w:tc>
          <w:tcPr>
            <w:tcW w:w="1181" w:type="pct"/>
            <w:vMerge w:val="restart"/>
            <w:vAlign w:val="center"/>
          </w:tcPr>
          <w:p w14:paraId="4AF12D1E">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道路工程防治区</w:t>
            </w:r>
          </w:p>
        </w:tc>
        <w:tc>
          <w:tcPr>
            <w:tcW w:w="1543" w:type="pct"/>
            <w:vAlign w:val="center"/>
          </w:tcPr>
          <w:p w14:paraId="1BB83E47">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2D73F8DA">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截排水沟</w:t>
            </w:r>
          </w:p>
          <w:p w14:paraId="228C9960">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急流槽</w:t>
            </w:r>
          </w:p>
          <w:p w14:paraId="79770895">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eastAsia" w:ascii="Times New Roman" w:hAnsi="Times New Roman" w:cs="Times New Roman"/>
                <w:color w:val="auto"/>
                <w:spacing w:val="2"/>
                <w:sz w:val="21"/>
                <w:szCs w:val="21"/>
                <w:lang w:eastAsia="zh-CN"/>
              </w:rPr>
              <w:t>沉沙池</w:t>
            </w:r>
          </w:p>
          <w:p w14:paraId="49AE5479">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挂铁丝网喷有机基材</w:t>
            </w:r>
          </w:p>
          <w:p w14:paraId="6E1EEBF9">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锚杆框架梁+喷播植草</w:t>
            </w:r>
          </w:p>
          <w:p w14:paraId="731B938A">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菱形网格护坡</w:t>
            </w:r>
          </w:p>
          <w:p w14:paraId="5B64C632">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拱形骨架护坡</w:t>
            </w:r>
          </w:p>
          <w:p w14:paraId="2E569AB7">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表土剥离</w:t>
            </w:r>
          </w:p>
          <w:p w14:paraId="5AFBAD57">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表土回覆</w:t>
            </w:r>
          </w:p>
        </w:tc>
      </w:tr>
      <w:tr w14:paraId="349D5D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98" w:hRule="atLeast"/>
        </w:trPr>
        <w:tc>
          <w:tcPr>
            <w:tcW w:w="727" w:type="pct"/>
            <w:vMerge w:val="continue"/>
            <w:vAlign w:val="center"/>
          </w:tcPr>
          <w:p w14:paraId="168CDA87">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1FFD65FE">
            <w:pPr>
              <w:pStyle w:val="40"/>
              <w:spacing w:before="58" w:line="238" w:lineRule="auto"/>
              <w:ind w:left="0" w:leftChars="0" w:right="170" w:firstLine="0" w:firstLineChars="0"/>
              <w:jc w:val="center"/>
              <w:rPr>
                <w:color w:val="auto"/>
                <w:sz w:val="21"/>
                <w:szCs w:val="21"/>
              </w:rPr>
            </w:pPr>
          </w:p>
        </w:tc>
        <w:tc>
          <w:tcPr>
            <w:tcW w:w="1543" w:type="pct"/>
            <w:vAlign w:val="center"/>
          </w:tcPr>
          <w:p w14:paraId="5457958B">
            <w:pPr>
              <w:pStyle w:val="40"/>
              <w:spacing w:before="58" w:line="238" w:lineRule="auto"/>
              <w:ind w:left="0" w:leftChars="0" w:right="170" w:firstLine="0" w:firstLineChars="0"/>
              <w:jc w:val="center"/>
              <w:rPr>
                <w:color w:val="auto"/>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4AC7B840">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直接喷播植草</w:t>
            </w:r>
          </w:p>
          <w:p w14:paraId="21BE93D9">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中央分隔带</w:t>
            </w:r>
          </w:p>
          <w:p w14:paraId="534DF5D0">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景观绿化</w:t>
            </w:r>
          </w:p>
        </w:tc>
      </w:tr>
      <w:tr w14:paraId="66BDE6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98" w:hRule="atLeast"/>
        </w:trPr>
        <w:tc>
          <w:tcPr>
            <w:tcW w:w="727" w:type="pct"/>
            <w:vMerge w:val="continue"/>
            <w:vAlign w:val="center"/>
          </w:tcPr>
          <w:p w14:paraId="5821F74D">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122B2E8D">
            <w:pPr>
              <w:pStyle w:val="40"/>
              <w:spacing w:before="58" w:line="238" w:lineRule="auto"/>
              <w:ind w:left="0" w:leftChars="0" w:right="170" w:firstLine="0" w:firstLineChars="0"/>
              <w:jc w:val="center"/>
              <w:rPr>
                <w:color w:val="auto"/>
                <w:sz w:val="21"/>
                <w:szCs w:val="21"/>
              </w:rPr>
            </w:pPr>
          </w:p>
        </w:tc>
        <w:tc>
          <w:tcPr>
            <w:tcW w:w="1543" w:type="pct"/>
            <w:vAlign w:val="center"/>
          </w:tcPr>
          <w:p w14:paraId="58E516A6">
            <w:pPr>
              <w:pStyle w:val="40"/>
              <w:spacing w:before="58" w:line="238" w:lineRule="auto"/>
              <w:ind w:left="0" w:leftChars="0" w:right="170" w:firstLine="0" w:firstLineChars="0"/>
              <w:jc w:val="center"/>
              <w:rPr>
                <w:color w:val="auto"/>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7C31BD95">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防雨布遮盖</w:t>
            </w:r>
          </w:p>
          <w:p w14:paraId="086A29F2">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临时种草</w:t>
            </w:r>
          </w:p>
          <w:p w14:paraId="1C5F891A">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防雨布遮盖</w:t>
            </w:r>
          </w:p>
        </w:tc>
      </w:tr>
      <w:tr w14:paraId="1CF41B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 w:hRule="atLeast"/>
        </w:trPr>
        <w:tc>
          <w:tcPr>
            <w:tcW w:w="727" w:type="pct"/>
            <w:vMerge w:val="continue"/>
            <w:vAlign w:val="center"/>
          </w:tcPr>
          <w:p w14:paraId="682D779C">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p>
        </w:tc>
        <w:tc>
          <w:tcPr>
            <w:tcW w:w="1181" w:type="pct"/>
            <w:vMerge w:val="restart"/>
            <w:vAlign w:val="center"/>
          </w:tcPr>
          <w:p w14:paraId="42A83A62">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桥涵工程防治区</w:t>
            </w:r>
          </w:p>
        </w:tc>
        <w:tc>
          <w:tcPr>
            <w:tcW w:w="1543" w:type="pct"/>
            <w:vAlign w:val="center"/>
          </w:tcPr>
          <w:p w14:paraId="021D1A4A">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482CE8D6">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表土回覆</w:t>
            </w:r>
          </w:p>
        </w:tc>
      </w:tr>
      <w:tr w14:paraId="318A28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 w:hRule="atLeast"/>
        </w:trPr>
        <w:tc>
          <w:tcPr>
            <w:tcW w:w="727" w:type="pct"/>
            <w:vMerge w:val="continue"/>
            <w:vAlign w:val="center"/>
          </w:tcPr>
          <w:p w14:paraId="2F261222">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3B8D8DB8">
            <w:pPr>
              <w:pStyle w:val="40"/>
              <w:spacing w:before="58" w:line="238" w:lineRule="auto"/>
              <w:ind w:left="0" w:leftChars="0" w:right="170" w:firstLine="0" w:firstLineChars="0"/>
              <w:jc w:val="center"/>
              <w:rPr>
                <w:color w:val="auto"/>
                <w:sz w:val="21"/>
                <w:szCs w:val="21"/>
              </w:rPr>
            </w:pPr>
          </w:p>
        </w:tc>
        <w:tc>
          <w:tcPr>
            <w:tcW w:w="1543" w:type="pct"/>
            <w:vAlign w:val="center"/>
          </w:tcPr>
          <w:p w14:paraId="1A26E032">
            <w:pPr>
              <w:pStyle w:val="40"/>
              <w:spacing w:before="58" w:line="238" w:lineRule="auto"/>
              <w:ind w:left="0" w:leftChars="0" w:right="170" w:firstLine="0" w:firstLineChars="0"/>
              <w:jc w:val="center"/>
              <w:rPr>
                <w:color w:val="auto"/>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1E942C2A">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桥下植被恢复</w:t>
            </w:r>
          </w:p>
        </w:tc>
      </w:tr>
      <w:tr w14:paraId="32B638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2" w:hRule="atLeast"/>
        </w:trPr>
        <w:tc>
          <w:tcPr>
            <w:tcW w:w="727" w:type="pct"/>
            <w:vMerge w:val="continue"/>
            <w:vAlign w:val="center"/>
          </w:tcPr>
          <w:p w14:paraId="373DE1CD">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373B565E">
            <w:pPr>
              <w:pStyle w:val="40"/>
              <w:spacing w:before="58" w:line="238" w:lineRule="auto"/>
              <w:ind w:left="0" w:leftChars="0" w:right="170" w:firstLine="0" w:firstLineChars="0"/>
              <w:jc w:val="center"/>
              <w:rPr>
                <w:color w:val="auto"/>
                <w:sz w:val="21"/>
                <w:szCs w:val="21"/>
              </w:rPr>
            </w:pPr>
          </w:p>
        </w:tc>
        <w:tc>
          <w:tcPr>
            <w:tcW w:w="1543" w:type="pct"/>
            <w:vAlign w:val="center"/>
          </w:tcPr>
          <w:p w14:paraId="656A420A">
            <w:pPr>
              <w:pStyle w:val="40"/>
              <w:spacing w:before="58" w:line="238" w:lineRule="auto"/>
              <w:ind w:left="0" w:leftChars="0" w:right="170" w:firstLine="0" w:firstLineChars="0"/>
              <w:jc w:val="center"/>
              <w:rPr>
                <w:color w:val="auto"/>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40B8DF38">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临时沉浆池</w:t>
            </w:r>
          </w:p>
        </w:tc>
      </w:tr>
      <w:tr w14:paraId="2BAE77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727" w:type="pct"/>
            <w:vMerge w:val="continue"/>
            <w:vAlign w:val="center"/>
          </w:tcPr>
          <w:p w14:paraId="4C80941B">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p>
        </w:tc>
        <w:tc>
          <w:tcPr>
            <w:tcW w:w="1181" w:type="pct"/>
            <w:vMerge w:val="restart"/>
            <w:vAlign w:val="center"/>
          </w:tcPr>
          <w:p w14:paraId="26E39FC9">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互通工程防治区</w:t>
            </w:r>
          </w:p>
        </w:tc>
        <w:tc>
          <w:tcPr>
            <w:tcW w:w="1543" w:type="pct"/>
            <w:vAlign w:val="center"/>
          </w:tcPr>
          <w:p w14:paraId="323EC4F9">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751CFC9F">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截排水沟</w:t>
            </w:r>
          </w:p>
          <w:p w14:paraId="28171AE4">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急流槽</w:t>
            </w:r>
          </w:p>
          <w:p w14:paraId="32B37E2F">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eastAsia" w:ascii="Times New Roman" w:hAnsi="Times New Roman" w:cs="Times New Roman"/>
                <w:color w:val="auto"/>
                <w:spacing w:val="2"/>
                <w:sz w:val="21"/>
                <w:szCs w:val="21"/>
                <w:lang w:eastAsia="zh-CN"/>
              </w:rPr>
              <w:t>沉沙池</w:t>
            </w:r>
          </w:p>
          <w:p w14:paraId="77E2194F">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挂铁丝网喷有机基材</w:t>
            </w:r>
          </w:p>
          <w:p w14:paraId="6BC228A6">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菱形网格护坡</w:t>
            </w:r>
          </w:p>
          <w:p w14:paraId="520245CE">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拱形骨架护坡</w:t>
            </w:r>
          </w:p>
          <w:p w14:paraId="5F14088C">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表土剥离</w:t>
            </w:r>
          </w:p>
          <w:p w14:paraId="1080BD49">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表土回覆</w:t>
            </w:r>
          </w:p>
        </w:tc>
      </w:tr>
      <w:tr w14:paraId="4C51CA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727" w:type="pct"/>
            <w:vMerge w:val="continue"/>
            <w:vAlign w:val="center"/>
          </w:tcPr>
          <w:p w14:paraId="128ADE9E">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76DABD90">
            <w:pPr>
              <w:pStyle w:val="40"/>
              <w:spacing w:before="58" w:line="238" w:lineRule="auto"/>
              <w:ind w:left="0" w:leftChars="0" w:right="170" w:firstLine="0" w:firstLineChars="0"/>
              <w:jc w:val="center"/>
              <w:rPr>
                <w:color w:val="auto"/>
                <w:sz w:val="21"/>
                <w:szCs w:val="21"/>
              </w:rPr>
            </w:pPr>
          </w:p>
        </w:tc>
        <w:tc>
          <w:tcPr>
            <w:tcW w:w="1543" w:type="pct"/>
            <w:vAlign w:val="center"/>
          </w:tcPr>
          <w:p w14:paraId="0D47CD63">
            <w:pPr>
              <w:pStyle w:val="40"/>
              <w:spacing w:before="58" w:line="238" w:lineRule="auto"/>
              <w:ind w:left="0" w:leftChars="0" w:right="170" w:firstLine="0" w:firstLineChars="0"/>
              <w:jc w:val="center"/>
              <w:rPr>
                <w:color w:val="auto"/>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56E0844C">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直接喷播植草</w:t>
            </w:r>
          </w:p>
          <w:p w14:paraId="1691D746">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中央分隔带</w:t>
            </w:r>
          </w:p>
          <w:p w14:paraId="31F9E11F">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景观绿化</w:t>
            </w:r>
          </w:p>
          <w:p w14:paraId="0D9ADC2E">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桥下植被恢复</w:t>
            </w:r>
          </w:p>
        </w:tc>
      </w:tr>
      <w:tr w14:paraId="0CF476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727" w:type="pct"/>
            <w:vMerge w:val="continue"/>
            <w:vAlign w:val="center"/>
          </w:tcPr>
          <w:p w14:paraId="28EB5B41">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0DD29596">
            <w:pPr>
              <w:pStyle w:val="40"/>
              <w:spacing w:before="58" w:line="238" w:lineRule="auto"/>
              <w:ind w:left="0" w:leftChars="0" w:right="170" w:firstLine="0" w:firstLineChars="0"/>
              <w:jc w:val="center"/>
              <w:rPr>
                <w:color w:val="auto"/>
                <w:sz w:val="21"/>
                <w:szCs w:val="21"/>
              </w:rPr>
            </w:pPr>
          </w:p>
        </w:tc>
        <w:tc>
          <w:tcPr>
            <w:tcW w:w="1543" w:type="pct"/>
            <w:vAlign w:val="center"/>
          </w:tcPr>
          <w:p w14:paraId="1B5ADEC6">
            <w:pPr>
              <w:pStyle w:val="40"/>
              <w:spacing w:before="58" w:line="238" w:lineRule="auto"/>
              <w:ind w:left="0" w:leftChars="0" w:right="170" w:firstLine="0" w:firstLineChars="0"/>
              <w:jc w:val="center"/>
              <w:rPr>
                <w:color w:val="auto"/>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3D1735AE">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防雨布遮盖</w:t>
            </w:r>
          </w:p>
          <w:p w14:paraId="000D75B0">
            <w:pPr>
              <w:pStyle w:val="40"/>
              <w:spacing w:before="58" w:line="238" w:lineRule="auto"/>
              <w:ind w:left="0" w:leftChars="0" w:right="17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临时沉浆池</w:t>
            </w:r>
          </w:p>
          <w:p w14:paraId="5887E5D0">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防雨布遮盖</w:t>
            </w:r>
          </w:p>
        </w:tc>
      </w:tr>
      <w:tr w14:paraId="0AC723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trPr>
        <w:tc>
          <w:tcPr>
            <w:tcW w:w="727" w:type="pct"/>
            <w:vMerge w:val="continue"/>
            <w:vAlign w:val="center"/>
          </w:tcPr>
          <w:p w14:paraId="7185D50B">
            <w:pPr>
              <w:pStyle w:val="40"/>
              <w:spacing w:before="58" w:line="238" w:lineRule="auto"/>
              <w:ind w:left="0" w:leftChars="0" w:right="170" w:firstLine="0" w:firstLineChars="0"/>
              <w:jc w:val="center"/>
              <w:rPr>
                <w:color w:val="auto"/>
                <w:sz w:val="21"/>
                <w:szCs w:val="21"/>
              </w:rPr>
            </w:pPr>
          </w:p>
        </w:tc>
        <w:tc>
          <w:tcPr>
            <w:tcW w:w="1181" w:type="pct"/>
            <w:vMerge w:val="restart"/>
            <w:vAlign w:val="center"/>
          </w:tcPr>
          <w:p w14:paraId="3E8357A2">
            <w:pPr>
              <w:pStyle w:val="40"/>
              <w:spacing w:before="58" w:line="238" w:lineRule="auto"/>
              <w:ind w:left="0" w:leftChars="0" w:right="170" w:firstLine="0" w:firstLineChars="0"/>
              <w:jc w:val="center"/>
              <w:rPr>
                <w:rFonts w:hint="eastAsia"/>
                <w:color w:val="auto"/>
                <w:sz w:val="21"/>
                <w:szCs w:val="21"/>
              </w:rPr>
            </w:pPr>
            <w:r>
              <w:rPr>
                <w:rFonts w:hint="eastAsia"/>
                <w:color w:val="auto"/>
                <w:sz w:val="21"/>
                <w:szCs w:val="21"/>
              </w:rPr>
              <w:t>服务管理设施</w:t>
            </w:r>
          </w:p>
          <w:p w14:paraId="5F2A53EC">
            <w:pPr>
              <w:pStyle w:val="40"/>
              <w:spacing w:before="58" w:line="238" w:lineRule="auto"/>
              <w:ind w:left="0" w:leftChars="0" w:right="170" w:firstLine="0" w:firstLineChars="0"/>
              <w:jc w:val="center"/>
              <w:rPr>
                <w:color w:val="auto"/>
                <w:sz w:val="21"/>
                <w:szCs w:val="21"/>
              </w:rPr>
            </w:pPr>
            <w:r>
              <w:rPr>
                <w:rFonts w:hint="eastAsia"/>
                <w:color w:val="auto"/>
                <w:sz w:val="21"/>
                <w:szCs w:val="21"/>
              </w:rPr>
              <w:t>防治区</w:t>
            </w:r>
          </w:p>
        </w:tc>
        <w:tc>
          <w:tcPr>
            <w:tcW w:w="1543" w:type="pct"/>
            <w:vAlign w:val="center"/>
          </w:tcPr>
          <w:p w14:paraId="38119FD0">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714E9606">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截排水沟</w:t>
            </w:r>
          </w:p>
          <w:p w14:paraId="381BA5E3">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表土回覆</w:t>
            </w:r>
          </w:p>
        </w:tc>
      </w:tr>
      <w:tr w14:paraId="076B1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trPr>
        <w:tc>
          <w:tcPr>
            <w:tcW w:w="727" w:type="pct"/>
            <w:vMerge w:val="continue"/>
            <w:vAlign w:val="center"/>
          </w:tcPr>
          <w:p w14:paraId="2B32DB24">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0BFE5498">
            <w:pPr>
              <w:pStyle w:val="40"/>
              <w:spacing w:before="58" w:line="238" w:lineRule="auto"/>
              <w:ind w:left="0" w:leftChars="0" w:right="170" w:firstLine="0" w:firstLineChars="0"/>
              <w:jc w:val="center"/>
              <w:rPr>
                <w:color w:val="auto"/>
                <w:sz w:val="21"/>
                <w:szCs w:val="21"/>
              </w:rPr>
            </w:pPr>
          </w:p>
        </w:tc>
        <w:tc>
          <w:tcPr>
            <w:tcW w:w="1543" w:type="pct"/>
            <w:vAlign w:val="center"/>
          </w:tcPr>
          <w:p w14:paraId="63126F87">
            <w:pPr>
              <w:pStyle w:val="40"/>
              <w:spacing w:before="58" w:line="238" w:lineRule="auto"/>
              <w:ind w:left="0" w:leftChars="0" w:right="170" w:rightChars="0" w:firstLine="0" w:firstLineChars="0"/>
              <w:jc w:val="center"/>
              <w:rPr>
                <w:color w:val="auto"/>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176D4617">
            <w:pPr>
              <w:pStyle w:val="40"/>
              <w:spacing w:before="58" w:line="238" w:lineRule="auto"/>
              <w:ind w:left="0" w:leftChars="0" w:right="170" w:firstLine="0" w:firstLineChars="0"/>
              <w:jc w:val="center"/>
              <w:rPr>
                <w:rFonts w:hint="eastAsia"/>
                <w:color w:val="auto"/>
                <w:sz w:val="21"/>
                <w:szCs w:val="21"/>
              </w:rPr>
            </w:pPr>
            <w:r>
              <w:rPr>
                <w:rFonts w:hint="eastAsia"/>
                <w:color w:val="auto"/>
                <w:sz w:val="21"/>
                <w:szCs w:val="21"/>
              </w:rPr>
              <w:t>直接喷播植草</w:t>
            </w:r>
          </w:p>
          <w:p w14:paraId="6DDFC846">
            <w:pPr>
              <w:pStyle w:val="40"/>
              <w:spacing w:before="58" w:line="238" w:lineRule="auto"/>
              <w:ind w:left="0" w:leftChars="0" w:right="170" w:firstLine="0" w:firstLineChars="0"/>
              <w:jc w:val="center"/>
              <w:rPr>
                <w:color w:val="auto"/>
                <w:sz w:val="21"/>
                <w:szCs w:val="21"/>
              </w:rPr>
            </w:pPr>
            <w:r>
              <w:rPr>
                <w:rFonts w:hint="eastAsia"/>
                <w:color w:val="auto"/>
                <w:sz w:val="21"/>
                <w:szCs w:val="21"/>
              </w:rPr>
              <w:t>景观绿化</w:t>
            </w:r>
          </w:p>
        </w:tc>
      </w:tr>
      <w:tr w14:paraId="1CC6A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trPr>
        <w:tc>
          <w:tcPr>
            <w:tcW w:w="727" w:type="pct"/>
            <w:vMerge w:val="continue"/>
            <w:vAlign w:val="center"/>
          </w:tcPr>
          <w:p w14:paraId="33001C81">
            <w:pPr>
              <w:pStyle w:val="40"/>
              <w:spacing w:before="58" w:line="238" w:lineRule="auto"/>
              <w:ind w:left="0" w:leftChars="0" w:right="170" w:firstLine="0" w:firstLineChars="0"/>
              <w:jc w:val="center"/>
              <w:rPr>
                <w:color w:val="auto"/>
                <w:sz w:val="21"/>
                <w:szCs w:val="21"/>
              </w:rPr>
            </w:pPr>
          </w:p>
        </w:tc>
        <w:tc>
          <w:tcPr>
            <w:tcW w:w="1181" w:type="pct"/>
            <w:vMerge w:val="continue"/>
            <w:vAlign w:val="center"/>
          </w:tcPr>
          <w:p w14:paraId="17F4C300">
            <w:pPr>
              <w:pStyle w:val="40"/>
              <w:spacing w:before="58" w:line="238" w:lineRule="auto"/>
              <w:ind w:left="0" w:leftChars="0" w:right="170" w:firstLine="0" w:firstLineChars="0"/>
              <w:jc w:val="center"/>
              <w:rPr>
                <w:color w:val="auto"/>
                <w:sz w:val="21"/>
                <w:szCs w:val="21"/>
              </w:rPr>
            </w:pPr>
          </w:p>
        </w:tc>
        <w:tc>
          <w:tcPr>
            <w:tcW w:w="1543" w:type="pct"/>
            <w:vAlign w:val="center"/>
          </w:tcPr>
          <w:p w14:paraId="79A36E77">
            <w:pPr>
              <w:pStyle w:val="40"/>
              <w:spacing w:before="58" w:line="238" w:lineRule="auto"/>
              <w:ind w:left="0" w:leftChars="0" w:right="170" w:rightChars="0" w:firstLine="0" w:firstLineChars="0"/>
              <w:jc w:val="center"/>
              <w:rPr>
                <w:color w:val="auto"/>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4AEA47E3">
            <w:pPr>
              <w:pStyle w:val="40"/>
              <w:spacing w:before="58" w:line="238" w:lineRule="auto"/>
              <w:ind w:left="0" w:leftChars="0" w:right="170" w:firstLine="0" w:firstLineChars="0"/>
              <w:jc w:val="center"/>
              <w:rPr>
                <w:color w:val="auto"/>
                <w:sz w:val="21"/>
                <w:szCs w:val="21"/>
              </w:rPr>
            </w:pPr>
            <w:r>
              <w:rPr>
                <w:rFonts w:hint="eastAsia"/>
                <w:color w:val="auto"/>
                <w:sz w:val="21"/>
                <w:szCs w:val="21"/>
              </w:rPr>
              <w:t>防雨布遮盖</w:t>
            </w:r>
          </w:p>
        </w:tc>
      </w:tr>
      <w:tr w14:paraId="0E99BB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trPr>
        <w:tc>
          <w:tcPr>
            <w:tcW w:w="727" w:type="pct"/>
            <w:vMerge w:val="continue"/>
            <w:vAlign w:val="center"/>
          </w:tcPr>
          <w:p w14:paraId="6D3F9FF0">
            <w:pPr>
              <w:pStyle w:val="40"/>
              <w:spacing w:before="58" w:line="238" w:lineRule="auto"/>
              <w:ind w:left="0" w:leftChars="0" w:right="170" w:firstLine="0" w:firstLineChars="0"/>
              <w:jc w:val="center"/>
              <w:rPr>
                <w:color w:val="auto"/>
                <w:sz w:val="21"/>
                <w:szCs w:val="21"/>
              </w:rPr>
            </w:pPr>
          </w:p>
        </w:tc>
        <w:tc>
          <w:tcPr>
            <w:tcW w:w="1181" w:type="pct"/>
            <w:vMerge w:val="restart"/>
            <w:vAlign w:val="center"/>
          </w:tcPr>
          <w:p w14:paraId="5110FD56">
            <w:pPr>
              <w:pStyle w:val="40"/>
              <w:spacing w:before="58" w:line="238" w:lineRule="auto"/>
              <w:ind w:left="0" w:leftChars="0" w:right="170" w:firstLine="0" w:firstLineChars="0"/>
              <w:jc w:val="center"/>
              <w:rPr>
                <w:rFonts w:hint="eastAsia"/>
                <w:color w:val="auto"/>
                <w:sz w:val="21"/>
                <w:szCs w:val="21"/>
              </w:rPr>
            </w:pPr>
            <w:r>
              <w:rPr>
                <w:rFonts w:hint="eastAsia"/>
                <w:color w:val="auto"/>
                <w:sz w:val="21"/>
                <w:szCs w:val="21"/>
              </w:rPr>
              <w:t>改移道路工程</w:t>
            </w:r>
          </w:p>
          <w:p w14:paraId="71100B53">
            <w:pPr>
              <w:pStyle w:val="40"/>
              <w:spacing w:before="58" w:line="238" w:lineRule="auto"/>
              <w:ind w:left="0" w:leftChars="0" w:right="170" w:firstLine="0" w:firstLineChars="0"/>
              <w:jc w:val="center"/>
              <w:rPr>
                <w:color w:val="auto"/>
                <w:sz w:val="21"/>
                <w:szCs w:val="21"/>
              </w:rPr>
            </w:pPr>
            <w:r>
              <w:rPr>
                <w:rFonts w:hint="eastAsia"/>
                <w:color w:val="auto"/>
                <w:sz w:val="21"/>
                <w:szCs w:val="21"/>
              </w:rPr>
              <w:t>防治区</w:t>
            </w:r>
          </w:p>
        </w:tc>
        <w:tc>
          <w:tcPr>
            <w:tcW w:w="1543" w:type="pct"/>
            <w:vAlign w:val="center"/>
          </w:tcPr>
          <w:p w14:paraId="12B69443">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55497533">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表土回覆</w:t>
            </w:r>
          </w:p>
          <w:p w14:paraId="4696C055">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边沟</w:t>
            </w:r>
          </w:p>
        </w:tc>
      </w:tr>
      <w:tr w14:paraId="4A9CC6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trPr>
        <w:tc>
          <w:tcPr>
            <w:tcW w:w="727" w:type="pct"/>
            <w:vMerge w:val="continue"/>
            <w:vAlign w:val="center"/>
          </w:tcPr>
          <w:p w14:paraId="5B71792D">
            <w:pPr>
              <w:pStyle w:val="40"/>
              <w:spacing w:before="58" w:line="238" w:lineRule="auto"/>
              <w:ind w:left="0" w:leftChars="0" w:right="170" w:rightChars="0" w:firstLine="0" w:firstLineChars="0"/>
              <w:jc w:val="center"/>
              <w:rPr>
                <w:color w:val="auto"/>
              </w:rPr>
            </w:pPr>
          </w:p>
        </w:tc>
        <w:tc>
          <w:tcPr>
            <w:tcW w:w="1181" w:type="pct"/>
            <w:vMerge w:val="continue"/>
            <w:vAlign w:val="center"/>
          </w:tcPr>
          <w:p w14:paraId="15D765BD">
            <w:pPr>
              <w:pStyle w:val="40"/>
              <w:spacing w:before="58" w:line="238" w:lineRule="auto"/>
              <w:ind w:left="0" w:leftChars="0" w:right="170" w:rightChars="0" w:firstLine="0" w:firstLineChars="0"/>
              <w:jc w:val="center"/>
              <w:rPr>
                <w:color w:val="auto"/>
              </w:rPr>
            </w:pPr>
          </w:p>
        </w:tc>
        <w:tc>
          <w:tcPr>
            <w:tcW w:w="1543" w:type="pct"/>
            <w:vAlign w:val="center"/>
          </w:tcPr>
          <w:p w14:paraId="6E2937B6">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796A907D">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直接喷播植草</w:t>
            </w:r>
          </w:p>
        </w:tc>
      </w:tr>
      <w:tr w14:paraId="03D697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trPr>
        <w:tc>
          <w:tcPr>
            <w:tcW w:w="727" w:type="pct"/>
            <w:vMerge w:val="continue"/>
            <w:vAlign w:val="center"/>
          </w:tcPr>
          <w:p w14:paraId="7D89E8FF">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181" w:type="pct"/>
            <w:vMerge w:val="continue"/>
            <w:vAlign w:val="center"/>
          </w:tcPr>
          <w:p w14:paraId="43B2E0B2">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543" w:type="pct"/>
            <w:vAlign w:val="center"/>
          </w:tcPr>
          <w:p w14:paraId="356D303D">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5C1C5933">
            <w:pPr>
              <w:pStyle w:val="40"/>
              <w:spacing w:before="58" w:line="238" w:lineRule="auto"/>
              <w:ind w:left="0" w:leftChars="0" w:right="170" w:rightChars="0" w:firstLine="0" w:firstLineChars="0"/>
              <w:jc w:val="center"/>
              <w:rPr>
                <w:rFonts w:hint="eastAsia"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w:t>
            </w:r>
          </w:p>
        </w:tc>
      </w:tr>
      <w:tr w14:paraId="216399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727" w:type="pct"/>
            <w:vMerge w:val="continue"/>
            <w:vAlign w:val="center"/>
          </w:tcPr>
          <w:p w14:paraId="27831831">
            <w:pPr>
              <w:pStyle w:val="40"/>
              <w:spacing w:before="58" w:line="238" w:lineRule="auto"/>
              <w:ind w:left="0" w:leftChars="0" w:right="170" w:firstLine="0" w:firstLineChars="0"/>
              <w:jc w:val="center"/>
              <w:rPr>
                <w:color w:val="auto"/>
                <w:sz w:val="21"/>
                <w:szCs w:val="21"/>
              </w:rPr>
            </w:pPr>
          </w:p>
        </w:tc>
        <w:tc>
          <w:tcPr>
            <w:tcW w:w="1181" w:type="pct"/>
            <w:vMerge w:val="restart"/>
            <w:vAlign w:val="center"/>
          </w:tcPr>
          <w:p w14:paraId="4B1C3D81">
            <w:pPr>
              <w:pStyle w:val="40"/>
              <w:spacing w:before="58" w:line="238" w:lineRule="auto"/>
              <w:ind w:left="0" w:leftChars="0" w:right="170" w:firstLine="0" w:firstLineChars="0"/>
              <w:jc w:val="center"/>
              <w:rPr>
                <w:color w:val="auto"/>
                <w:sz w:val="21"/>
                <w:szCs w:val="21"/>
              </w:rPr>
            </w:pPr>
            <w:r>
              <w:rPr>
                <w:rFonts w:hint="eastAsia"/>
                <w:color w:val="auto"/>
                <w:sz w:val="21"/>
                <w:szCs w:val="21"/>
              </w:rPr>
              <w:t>施工便道防治区</w:t>
            </w:r>
          </w:p>
        </w:tc>
        <w:tc>
          <w:tcPr>
            <w:tcW w:w="1543" w:type="pct"/>
            <w:vAlign w:val="center"/>
          </w:tcPr>
          <w:p w14:paraId="4741E6D9">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51DE1D63">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挡墙</w:t>
            </w:r>
          </w:p>
          <w:p w14:paraId="4E706598">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菱形网格护坡</w:t>
            </w:r>
          </w:p>
          <w:p w14:paraId="12FD8923">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土壤培肥</w:t>
            </w:r>
          </w:p>
          <w:p w14:paraId="3CB6AA89">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复耕</w:t>
            </w:r>
          </w:p>
          <w:p w14:paraId="361FBF2A">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排水沟</w:t>
            </w:r>
          </w:p>
        </w:tc>
      </w:tr>
      <w:tr w14:paraId="26A5D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727" w:type="pct"/>
            <w:vMerge w:val="continue"/>
            <w:vAlign w:val="center"/>
          </w:tcPr>
          <w:p w14:paraId="17E57CCA">
            <w:pPr>
              <w:pStyle w:val="40"/>
              <w:spacing w:before="58" w:line="238" w:lineRule="auto"/>
              <w:ind w:left="0" w:leftChars="0" w:right="170" w:rightChars="0" w:firstLine="0" w:firstLineChars="0"/>
              <w:jc w:val="center"/>
              <w:rPr>
                <w:color w:val="auto"/>
              </w:rPr>
            </w:pPr>
          </w:p>
        </w:tc>
        <w:tc>
          <w:tcPr>
            <w:tcW w:w="1181" w:type="pct"/>
            <w:vMerge w:val="continue"/>
            <w:vAlign w:val="center"/>
          </w:tcPr>
          <w:p w14:paraId="33399B9A">
            <w:pPr>
              <w:pStyle w:val="40"/>
              <w:spacing w:before="58" w:line="238" w:lineRule="auto"/>
              <w:ind w:left="0" w:leftChars="0" w:right="170" w:rightChars="0" w:firstLine="0" w:firstLineChars="0"/>
              <w:jc w:val="center"/>
              <w:rPr>
                <w:color w:val="auto"/>
              </w:rPr>
            </w:pPr>
          </w:p>
        </w:tc>
        <w:tc>
          <w:tcPr>
            <w:tcW w:w="1543" w:type="pct"/>
            <w:vAlign w:val="center"/>
          </w:tcPr>
          <w:p w14:paraId="24C99644">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539D44F8">
            <w:pPr>
              <w:pStyle w:val="40"/>
              <w:spacing w:before="58" w:line="238" w:lineRule="auto"/>
              <w:ind w:left="0" w:leftChars="0" w:right="170" w:rightChars="0" w:firstLine="0" w:firstLineChars="0"/>
              <w:jc w:val="center"/>
              <w:rPr>
                <w:rFonts w:hint="eastAsia"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w:t>
            </w:r>
          </w:p>
        </w:tc>
      </w:tr>
      <w:tr w14:paraId="7CD21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727" w:type="pct"/>
            <w:vMerge w:val="continue"/>
            <w:vAlign w:val="center"/>
          </w:tcPr>
          <w:p w14:paraId="4E8BF57B">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181" w:type="pct"/>
            <w:vMerge w:val="continue"/>
            <w:vAlign w:val="center"/>
          </w:tcPr>
          <w:p w14:paraId="168D8555">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543" w:type="pct"/>
            <w:vAlign w:val="center"/>
          </w:tcPr>
          <w:p w14:paraId="7DB87D26">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304034CA">
            <w:pPr>
              <w:pStyle w:val="40"/>
              <w:spacing w:before="58" w:line="238" w:lineRule="auto"/>
              <w:ind w:left="0" w:leftChars="0" w:right="170" w:rightChars="0" w:firstLine="0" w:firstLineChars="0"/>
              <w:jc w:val="center"/>
              <w:rPr>
                <w:rFonts w:hint="eastAsia"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w:t>
            </w:r>
          </w:p>
        </w:tc>
      </w:tr>
      <w:tr w14:paraId="09E597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727" w:type="pct"/>
            <w:vMerge w:val="continue"/>
            <w:vAlign w:val="center"/>
          </w:tcPr>
          <w:p w14:paraId="618E077B">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181" w:type="pct"/>
            <w:vMerge w:val="restart"/>
            <w:vAlign w:val="center"/>
          </w:tcPr>
          <w:p w14:paraId="3341707E">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弃渣场防治区</w:t>
            </w:r>
          </w:p>
        </w:tc>
        <w:tc>
          <w:tcPr>
            <w:tcW w:w="1543" w:type="pct"/>
            <w:vAlign w:val="center"/>
          </w:tcPr>
          <w:p w14:paraId="41E7EF7B">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工程措施</w:t>
            </w:r>
          </w:p>
        </w:tc>
        <w:tc>
          <w:tcPr>
            <w:tcW w:w="1547" w:type="pct"/>
            <w:vAlign w:val="center"/>
          </w:tcPr>
          <w:p w14:paraId="4848509B">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挡渣墙</w:t>
            </w:r>
          </w:p>
          <w:p w14:paraId="0B3713EB">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排水沟</w:t>
            </w:r>
          </w:p>
          <w:p w14:paraId="217E8665">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平台及顶面排水沟</w:t>
            </w:r>
          </w:p>
          <w:p w14:paraId="207FBD2D">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菱形网格护坡</w:t>
            </w:r>
          </w:p>
          <w:p w14:paraId="335182C7">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土壤培肥</w:t>
            </w:r>
          </w:p>
          <w:p w14:paraId="348FDA2B">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复耕</w:t>
            </w:r>
          </w:p>
          <w:p w14:paraId="26252139">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削坡平整</w:t>
            </w:r>
          </w:p>
        </w:tc>
      </w:tr>
      <w:tr w14:paraId="269D51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727" w:type="pct"/>
            <w:vMerge w:val="continue"/>
            <w:vAlign w:val="center"/>
          </w:tcPr>
          <w:p w14:paraId="1D78A68D">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181" w:type="pct"/>
            <w:vMerge w:val="continue"/>
            <w:vAlign w:val="center"/>
          </w:tcPr>
          <w:p w14:paraId="153E74A7">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543" w:type="pct"/>
            <w:vAlign w:val="center"/>
          </w:tcPr>
          <w:p w14:paraId="03D47867">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植物措施</w:t>
            </w:r>
          </w:p>
        </w:tc>
        <w:tc>
          <w:tcPr>
            <w:tcW w:w="1547" w:type="pct"/>
            <w:vAlign w:val="center"/>
          </w:tcPr>
          <w:p w14:paraId="5944C8B1">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灌草绿化</w:t>
            </w:r>
          </w:p>
        </w:tc>
      </w:tr>
      <w:tr w14:paraId="0DF928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727" w:type="pct"/>
            <w:vMerge w:val="continue"/>
            <w:vAlign w:val="center"/>
          </w:tcPr>
          <w:p w14:paraId="1C920E64">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181" w:type="pct"/>
            <w:vMerge w:val="continue"/>
            <w:vAlign w:val="center"/>
          </w:tcPr>
          <w:p w14:paraId="1DBC12BE">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p>
        </w:tc>
        <w:tc>
          <w:tcPr>
            <w:tcW w:w="1543" w:type="pct"/>
            <w:vAlign w:val="center"/>
          </w:tcPr>
          <w:p w14:paraId="7B31486C">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临时措施</w:t>
            </w:r>
          </w:p>
        </w:tc>
        <w:tc>
          <w:tcPr>
            <w:tcW w:w="1547" w:type="pct"/>
            <w:vAlign w:val="center"/>
          </w:tcPr>
          <w:p w14:paraId="3ED149D1">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临时种草</w:t>
            </w:r>
          </w:p>
          <w:p w14:paraId="7F3BAEA7">
            <w:pPr>
              <w:pStyle w:val="40"/>
              <w:spacing w:before="58" w:line="238" w:lineRule="auto"/>
              <w:ind w:left="0" w:leftChars="0" w:right="170" w:rightChars="0" w:firstLine="0" w:firstLineChars="0"/>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防雨布遮盖</w:t>
            </w:r>
          </w:p>
        </w:tc>
      </w:tr>
    </w:tbl>
    <w:p w14:paraId="6FA27E4E">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1.道路工程防治区</w:t>
      </w:r>
    </w:p>
    <w:p w14:paraId="3A17C6E5">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道路工程已基本完工。施工前，主体工程已对路基区域进行表土剥离；施工期间，对未能及时防护的挖填边坡采用了防雨布进行临时遮盖；沿路基两侧修建了截水沟、排水沟、急流槽、沉沙池等，形成了完善的排水系统；对挖填边坡采用了直接喷播植草、挂铁丝网喷有机基材、锚杆框架梁+喷播植草、菱形网格、拱形骨架等方式进行防护，并对中央分隔带进行了景观绿化。目前，针对尚未完成防护的少部分挖填边坡，已按方案要求新增临时覆盖措施，有效控制了施工期间的水土流失。</w:t>
      </w:r>
    </w:p>
    <w:p w14:paraId="7844EB7C">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2.桥涵工程防治区</w:t>
      </w:r>
    </w:p>
    <w:p w14:paraId="78CED78C">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施工前，主体工程在桥墩及桥台边坡下方设置了编制土袋拦挡，在桥墩施工区设置有临时沉浆池，用于沉淀基础施工泥浆。</w:t>
      </w:r>
    </w:p>
    <w:p w14:paraId="2B3ED779">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施工结束后，对扰动区域进行了土地整治和表土回覆，并撒播种草恢复植被。当前，桥涵工程防治区水土保持措施完善，无明显水土流失，无需新增水土保持措施。</w:t>
      </w:r>
    </w:p>
    <w:p w14:paraId="5F517818">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3.互通工程防治区</w:t>
      </w:r>
    </w:p>
    <w:p w14:paraId="4EF84574">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施工前，主体工程进行了表土剥离；施工中，对不能及时防护的挖填边坡采用防雨布进行遮盖，在互通工程路基两侧修建截水沟、排水沟、急流槽、沉沙池等，形成完善的排水系统；施工后期，对可绿化区域进行了表土回覆，对挖填边坡采用直接喷播植草、挂铁丝网喷有机基材、菱形网格、拱形骨架等进行坡面防护，并对路基中央分隔带进行了景观绿化。目前，互通工程尚有少部分挖填边坡未进行边坡防护，水保方案新增临时遮盖措施。</w:t>
      </w:r>
    </w:p>
    <w:p w14:paraId="2F209594">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4.服务管理设施防治区</w:t>
      </w:r>
    </w:p>
    <w:p w14:paraId="16C1C8A3">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施工中，主体工程对不能及时防护的挖填边坡采用防雨布进行了临时遮盖，在服务管理设施周边修建了截排水沟；施工后期，对挖填边坡采用直接喷播植草进行坡面防护，对可绿化区进行了景观绿化。目前，服务管理设施防治区局部地表裸露，方案新增临时遮盖措施。</w:t>
      </w:r>
    </w:p>
    <w:p w14:paraId="79A48EBA">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5.改移道路工程防治区</w:t>
      </w:r>
    </w:p>
    <w:p w14:paraId="0DFFA798">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施工前，主体工程在挖填边坡下方修建了排水边沟；施工后期，对挖填边坡直接喷播植草防护。目前，改移道路工程防治区水土保持措施较为完善，无明显水土流失，无需新增水土保持措施。</w:t>
      </w:r>
    </w:p>
    <w:p w14:paraId="03E7A47E">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6.施工便道防治区</w:t>
      </w:r>
    </w:p>
    <w:p w14:paraId="1B5E1A73">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根据当地村民要求，施工便道保留。在施工便道填方边坡的坡脚新增挡土墙，对边坡采用菱形网格进行护坡，在道路的内侧设置排水沟，对可复耕的区域进行复耕。</w:t>
      </w:r>
    </w:p>
    <w:p w14:paraId="216A5039">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7.弃渣场防治区</w:t>
      </w:r>
    </w:p>
    <w:p w14:paraId="6205852C">
      <w:pPr>
        <w:keepNext w:val="0"/>
        <w:keepLines w:val="0"/>
        <w:pageBreakBefore w:val="0"/>
        <w:widowControl w:val="0"/>
        <w:kinsoku/>
        <w:wordWrap/>
        <w:overflowPunct/>
        <w:topLinePunct w:val="0"/>
        <w:autoSpaceDE/>
        <w:autoSpaceDN/>
        <w:bidi w:val="0"/>
        <w:adjustRightInd w:val="0"/>
        <w:snapToGrid w:val="0"/>
        <w:ind w:left="0"/>
        <w:textAlignment w:val="auto"/>
        <w:rPr>
          <w:color w:val="auto"/>
        </w:rPr>
      </w:pPr>
      <w:r>
        <w:rPr>
          <w:rFonts w:hint="eastAsia" w:ascii="Times New Roman" w:hAnsi="Times New Roman" w:eastAsia="宋体" w:cs="Times New Roman"/>
          <w:color w:val="auto"/>
          <w:szCs w:val="24"/>
          <w:lang w:val="en-US" w:eastAsia="zh-CN"/>
        </w:rPr>
        <w:t>验收调查，</w:t>
      </w:r>
      <w:r>
        <w:rPr>
          <w:rFonts w:hint="default" w:ascii="Times New Roman" w:hAnsi="Times New Roman" w:eastAsia="宋体" w:cs="Times New Roman"/>
          <w:color w:val="auto"/>
          <w:szCs w:val="24"/>
        </w:rPr>
        <w:t>主体工程已在弃渣场堆渣边坡的坡脚修建了挡渣墙，在弃渣场周边修建了排水沟。目前，</w:t>
      </w:r>
      <w:r>
        <w:rPr>
          <w:rFonts w:hint="eastAsia" w:ascii="Times New Roman" w:hAnsi="Times New Roman" w:eastAsia="宋体" w:cs="Times New Roman"/>
          <w:color w:val="auto"/>
          <w:szCs w:val="24"/>
          <w:lang w:val="en-US" w:eastAsia="zh-CN"/>
        </w:rPr>
        <w:t>项目已按照水保验收意见</w:t>
      </w:r>
      <w:r>
        <w:rPr>
          <w:rFonts w:hint="default" w:ascii="Times New Roman" w:hAnsi="Times New Roman" w:eastAsia="宋体" w:cs="Times New Roman"/>
          <w:color w:val="auto"/>
          <w:szCs w:val="24"/>
        </w:rPr>
        <w:t>对渣场进行削坡，降低堆渣边坡的坡比，</w:t>
      </w:r>
      <w:r>
        <w:rPr>
          <w:rFonts w:hint="eastAsia" w:ascii="Times New Roman" w:hAnsi="Times New Roman" w:eastAsia="宋体" w:cs="Times New Roman"/>
          <w:color w:val="auto"/>
          <w:szCs w:val="24"/>
          <w:lang w:val="en-US" w:eastAsia="zh-CN"/>
        </w:rPr>
        <w:t>并</w:t>
      </w:r>
      <w:r>
        <w:rPr>
          <w:rFonts w:hint="default" w:ascii="Times New Roman" w:hAnsi="Times New Roman" w:eastAsia="宋体" w:cs="Times New Roman"/>
          <w:color w:val="auto"/>
          <w:szCs w:val="24"/>
        </w:rPr>
        <w:t>进一步完善弃渣场的渣顶平台及边坡的截</w:t>
      </w:r>
      <w:r>
        <w:rPr>
          <w:rFonts w:hint="eastAsia" w:cs="Times New Roman"/>
          <w:color w:val="auto"/>
          <w:szCs w:val="24"/>
          <w:lang w:eastAsia="zh-CN"/>
        </w:rPr>
        <w:t>（</w:t>
      </w:r>
      <w:r>
        <w:rPr>
          <w:rFonts w:hint="default" w:ascii="Times New Roman" w:hAnsi="Times New Roman" w:eastAsia="宋体" w:cs="Times New Roman"/>
          <w:color w:val="auto"/>
          <w:szCs w:val="24"/>
        </w:rPr>
        <w:t>排</w:t>
      </w:r>
      <w:r>
        <w:rPr>
          <w:rFonts w:hint="eastAsia" w:cs="Times New Roman"/>
          <w:color w:val="auto"/>
          <w:szCs w:val="24"/>
          <w:lang w:eastAsia="zh-CN"/>
        </w:rPr>
        <w:t>）</w:t>
      </w:r>
      <w:r>
        <w:rPr>
          <w:rFonts w:hint="default" w:ascii="Times New Roman" w:hAnsi="Times New Roman" w:eastAsia="宋体" w:cs="Times New Roman"/>
          <w:color w:val="auto"/>
          <w:szCs w:val="24"/>
        </w:rPr>
        <w:t>水措施；对渣场的边坡进行绿化，对堆渣平台进行复耕；遇到降雨，对不能及时防护的裸露地表采用防雨布进行遮盖。</w:t>
      </w:r>
    </w:p>
    <w:p w14:paraId="1EBF8B2E">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5.9.2</w:t>
      </w:r>
      <w:r>
        <w:rPr>
          <w:rFonts w:hint="default" w:ascii="Times New Roman" w:hAnsi="Times New Roman" w:cs="Times New Roman"/>
          <w:color w:val="auto"/>
        </w:rPr>
        <w:t>水土保持设施完成情况</w:t>
      </w:r>
    </w:p>
    <w:p w14:paraId="4BB4DC08">
      <w:pPr>
        <w:pStyle w:val="24"/>
        <w:ind w:firstLine="480"/>
        <w:rPr>
          <w:rFonts w:hint="eastAsia" w:cs="Times New Roman"/>
          <w:color w:val="auto"/>
          <w:szCs w:val="24"/>
          <w:lang w:eastAsia="zh-CN"/>
        </w:rPr>
        <w:sectPr>
          <w:headerReference r:id="rId18" w:type="first"/>
          <w:pgSz w:w="11906" w:h="16838"/>
          <w:pgMar w:top="1440" w:right="1800" w:bottom="1440" w:left="180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r>
        <w:rPr>
          <w:rFonts w:hint="default" w:ascii="Times New Roman" w:hAnsi="Times New Roman" w:cs="Times New Roman"/>
          <w:color w:val="auto"/>
          <w:szCs w:val="24"/>
        </w:rPr>
        <w:t>本工程水土保持工程主要分为工程措施、植物措施和临时措施。目前各项措施已实施完毕，具体实施情况如下表</w:t>
      </w:r>
      <w:r>
        <w:rPr>
          <w:rFonts w:hint="eastAsia" w:cs="Times New Roman"/>
          <w:color w:val="auto"/>
          <w:szCs w:val="24"/>
          <w:lang w:eastAsia="zh-CN"/>
        </w:rPr>
        <w:t>：</w:t>
      </w:r>
    </w:p>
    <w:p w14:paraId="4784039F">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eastAsia" w:cs="Times New Roman"/>
          <w:color w:val="auto"/>
          <w:lang w:val="en-US" w:eastAsia="zh-CN"/>
        </w:rPr>
        <w:t>5.8</w:t>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rPr>
        <w:t>各防治分区水土保持措施完成情况</w:t>
      </w:r>
    </w:p>
    <w:tbl>
      <w:tblPr>
        <w:tblStyle w:val="3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56"/>
        <w:gridCol w:w="417"/>
        <w:gridCol w:w="784"/>
        <w:gridCol w:w="873"/>
        <w:gridCol w:w="940"/>
        <w:gridCol w:w="2068"/>
        <w:gridCol w:w="5966"/>
        <w:gridCol w:w="1617"/>
        <w:gridCol w:w="557"/>
      </w:tblGrid>
      <w:tr w14:paraId="263EC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tcBorders>
              <w:top w:val="single" w:color="000000" w:sz="10" w:space="0"/>
              <w:left w:val="single" w:color="000000" w:sz="10" w:space="0"/>
            </w:tcBorders>
            <w:noWrap w:val="0"/>
            <w:vAlign w:val="center"/>
          </w:tcPr>
          <w:p w14:paraId="5901F1D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防治</w:t>
            </w:r>
          </w:p>
          <w:p w14:paraId="76EAAFE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分区</w:t>
            </w:r>
          </w:p>
        </w:tc>
        <w:tc>
          <w:tcPr>
            <w:tcW w:w="149" w:type="pct"/>
            <w:tcBorders>
              <w:top w:val="single" w:color="000000" w:sz="10" w:space="0"/>
            </w:tcBorders>
            <w:noWrap w:val="0"/>
            <w:vAlign w:val="center"/>
          </w:tcPr>
          <w:p w14:paraId="7499F26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措施类型</w:t>
            </w:r>
          </w:p>
        </w:tc>
        <w:tc>
          <w:tcPr>
            <w:tcW w:w="280" w:type="pct"/>
            <w:tcBorders>
              <w:top w:val="single" w:color="000000" w:sz="10" w:space="0"/>
            </w:tcBorders>
            <w:noWrap w:val="0"/>
            <w:vAlign w:val="center"/>
          </w:tcPr>
          <w:p w14:paraId="359E557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措施建设内容</w:t>
            </w:r>
          </w:p>
        </w:tc>
        <w:tc>
          <w:tcPr>
            <w:tcW w:w="312" w:type="pct"/>
            <w:tcBorders>
              <w:top w:val="single" w:color="000000" w:sz="10" w:space="0"/>
            </w:tcBorders>
            <w:noWrap w:val="0"/>
            <w:vAlign w:val="center"/>
          </w:tcPr>
          <w:p w14:paraId="2D1931A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336" w:type="pct"/>
            <w:tcBorders>
              <w:top w:val="single" w:color="000000" w:sz="10" w:space="0"/>
            </w:tcBorders>
            <w:noWrap w:val="0"/>
            <w:vAlign w:val="center"/>
          </w:tcPr>
          <w:p w14:paraId="73F5C9C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实际完成工程量</w:t>
            </w:r>
          </w:p>
        </w:tc>
        <w:tc>
          <w:tcPr>
            <w:tcW w:w="739" w:type="pct"/>
            <w:tcBorders>
              <w:top w:val="single" w:color="000000" w:sz="10" w:space="0"/>
            </w:tcBorders>
            <w:noWrap w:val="0"/>
            <w:vAlign w:val="center"/>
          </w:tcPr>
          <w:p w14:paraId="0441C4C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开完工时间</w:t>
            </w:r>
          </w:p>
        </w:tc>
        <w:tc>
          <w:tcPr>
            <w:tcW w:w="2132" w:type="pct"/>
            <w:tcBorders>
              <w:top w:val="single" w:color="000000" w:sz="10" w:space="0"/>
            </w:tcBorders>
            <w:noWrap w:val="0"/>
            <w:vAlign w:val="center"/>
          </w:tcPr>
          <w:p w14:paraId="2031606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规格尺寸</w:t>
            </w:r>
          </w:p>
        </w:tc>
        <w:tc>
          <w:tcPr>
            <w:tcW w:w="578" w:type="pct"/>
            <w:tcBorders>
              <w:top w:val="single" w:color="000000" w:sz="10" w:space="0"/>
            </w:tcBorders>
            <w:noWrap w:val="0"/>
            <w:vAlign w:val="center"/>
          </w:tcPr>
          <w:p w14:paraId="7460468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水土保持防治效果</w:t>
            </w:r>
          </w:p>
        </w:tc>
        <w:tc>
          <w:tcPr>
            <w:tcW w:w="199" w:type="pct"/>
            <w:tcBorders>
              <w:top w:val="single" w:color="000000" w:sz="10" w:space="0"/>
              <w:right w:val="single" w:color="000000" w:sz="10" w:space="0"/>
            </w:tcBorders>
            <w:noWrap w:val="0"/>
            <w:vAlign w:val="center"/>
          </w:tcPr>
          <w:p w14:paraId="3550C3E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实际运行情况</w:t>
            </w:r>
          </w:p>
        </w:tc>
      </w:tr>
      <w:tr w14:paraId="7376F2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restart"/>
            <w:tcBorders>
              <w:left w:val="single" w:color="000000" w:sz="10" w:space="0"/>
            </w:tcBorders>
            <w:noWrap w:val="0"/>
            <w:vAlign w:val="center"/>
          </w:tcPr>
          <w:p w14:paraId="7D80776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道路工程防治区</w:t>
            </w:r>
          </w:p>
        </w:tc>
        <w:tc>
          <w:tcPr>
            <w:tcW w:w="149" w:type="pct"/>
            <w:vMerge w:val="restart"/>
            <w:noWrap w:val="0"/>
            <w:vAlign w:val="center"/>
          </w:tcPr>
          <w:p w14:paraId="1A69C4D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80" w:type="pct"/>
            <w:noWrap w:val="0"/>
            <w:vAlign w:val="center"/>
          </w:tcPr>
          <w:p w14:paraId="7FBC45F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截排水沟</w:t>
            </w:r>
          </w:p>
        </w:tc>
        <w:tc>
          <w:tcPr>
            <w:tcW w:w="312" w:type="pct"/>
            <w:noWrap w:val="0"/>
            <w:vAlign w:val="center"/>
          </w:tcPr>
          <w:p w14:paraId="191E878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36" w:type="pct"/>
            <w:noWrap w:val="0"/>
            <w:vAlign w:val="center"/>
          </w:tcPr>
          <w:p w14:paraId="5C38340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24769</w:t>
            </w:r>
          </w:p>
        </w:tc>
        <w:tc>
          <w:tcPr>
            <w:tcW w:w="739" w:type="pct"/>
            <w:vMerge w:val="restart"/>
            <w:noWrap w:val="0"/>
            <w:vAlign w:val="center"/>
          </w:tcPr>
          <w:p w14:paraId="2B851A0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2020年2月</w:t>
            </w:r>
          </w:p>
          <w:p w14:paraId="4CF62C7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~2020年11月</w:t>
            </w:r>
          </w:p>
        </w:tc>
        <w:tc>
          <w:tcPr>
            <w:tcW w:w="2132" w:type="pct"/>
            <w:noWrap w:val="0"/>
            <w:vAlign w:val="center"/>
          </w:tcPr>
          <w:p w14:paraId="3BEF55C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多为矩形断面，采用M7.5浆砌块石砌筑</w:t>
            </w:r>
          </w:p>
        </w:tc>
        <w:tc>
          <w:tcPr>
            <w:tcW w:w="578" w:type="pct"/>
            <w:vMerge w:val="restart"/>
            <w:noWrap w:val="0"/>
            <w:vAlign w:val="center"/>
          </w:tcPr>
          <w:p w14:paraId="7898EA4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各防治分区防治效果良好，达到水土保持要求</w:t>
            </w:r>
          </w:p>
        </w:tc>
        <w:tc>
          <w:tcPr>
            <w:tcW w:w="199" w:type="pct"/>
            <w:vMerge w:val="restart"/>
            <w:tcBorders>
              <w:right w:val="single" w:color="000000" w:sz="10" w:space="0"/>
            </w:tcBorders>
            <w:noWrap w:val="0"/>
            <w:vAlign w:val="center"/>
          </w:tcPr>
          <w:p w14:paraId="67AF661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3E33D6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B7FC932">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07AD720">
            <w:pPr>
              <w:pStyle w:val="27"/>
              <w:jc w:val="center"/>
              <w:rPr>
                <w:rFonts w:hint="default" w:ascii="Times New Roman" w:hAnsi="Times New Roman" w:eastAsia="宋体" w:cs="Times New Roman"/>
                <w:color w:val="auto"/>
                <w:sz w:val="21"/>
                <w:szCs w:val="21"/>
              </w:rPr>
            </w:pPr>
          </w:p>
        </w:tc>
        <w:tc>
          <w:tcPr>
            <w:tcW w:w="280" w:type="pct"/>
            <w:noWrap w:val="0"/>
            <w:vAlign w:val="center"/>
          </w:tcPr>
          <w:p w14:paraId="3D03C6D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急流槽</w:t>
            </w:r>
          </w:p>
        </w:tc>
        <w:tc>
          <w:tcPr>
            <w:tcW w:w="312" w:type="pct"/>
            <w:noWrap w:val="0"/>
            <w:vAlign w:val="center"/>
          </w:tcPr>
          <w:p w14:paraId="632379E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36" w:type="pct"/>
            <w:noWrap w:val="0"/>
            <w:vAlign w:val="center"/>
          </w:tcPr>
          <w:p w14:paraId="2D1BA08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106</w:t>
            </w:r>
          </w:p>
        </w:tc>
        <w:tc>
          <w:tcPr>
            <w:tcW w:w="739" w:type="pct"/>
            <w:vMerge w:val="continue"/>
            <w:noWrap w:val="0"/>
            <w:vAlign w:val="center"/>
          </w:tcPr>
          <w:p w14:paraId="2DB21A96">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2D88FBF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断面为矩形，采用M7.5浆砌块石砌筑</w:t>
            </w:r>
          </w:p>
        </w:tc>
        <w:tc>
          <w:tcPr>
            <w:tcW w:w="578" w:type="pct"/>
            <w:vMerge w:val="continue"/>
            <w:noWrap w:val="0"/>
            <w:vAlign w:val="center"/>
          </w:tcPr>
          <w:p w14:paraId="5CF8125C">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7CA65A46">
            <w:pPr>
              <w:pStyle w:val="27"/>
              <w:jc w:val="center"/>
              <w:rPr>
                <w:rFonts w:hint="default" w:ascii="Times New Roman" w:hAnsi="Times New Roman" w:eastAsia="宋体" w:cs="Times New Roman"/>
                <w:color w:val="auto"/>
                <w:sz w:val="21"/>
                <w:szCs w:val="21"/>
              </w:rPr>
            </w:pPr>
          </w:p>
        </w:tc>
      </w:tr>
      <w:tr w14:paraId="0C54E7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64A7CAF">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3B2DDCA2">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4D5F49C">
            <w:pPr>
              <w:pStyle w:val="27"/>
              <w:jc w:val="center"/>
              <w:rPr>
                <w:rFonts w:hint="default" w:ascii="Times New Roman" w:hAnsi="Times New Roman" w:eastAsia="宋体" w:cs="Times New Roman"/>
                <w:color w:val="auto"/>
                <w:sz w:val="21"/>
                <w:szCs w:val="21"/>
              </w:rPr>
            </w:pPr>
            <w:r>
              <w:rPr>
                <w:rFonts w:hint="eastAsia" w:eastAsia="宋体" w:cs="Times New Roman"/>
                <w:color w:val="auto"/>
                <w:sz w:val="21"/>
                <w:szCs w:val="21"/>
                <w:lang w:eastAsia="zh-CN"/>
              </w:rPr>
              <w:t>沉沙池</w:t>
            </w:r>
          </w:p>
        </w:tc>
        <w:tc>
          <w:tcPr>
            <w:tcW w:w="312" w:type="pct"/>
            <w:noWrap w:val="0"/>
            <w:vAlign w:val="center"/>
          </w:tcPr>
          <w:p w14:paraId="308141C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座</w:t>
            </w:r>
          </w:p>
        </w:tc>
        <w:tc>
          <w:tcPr>
            <w:tcW w:w="336" w:type="pct"/>
            <w:noWrap w:val="0"/>
            <w:vAlign w:val="center"/>
          </w:tcPr>
          <w:p w14:paraId="43A207E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67</w:t>
            </w:r>
          </w:p>
        </w:tc>
        <w:tc>
          <w:tcPr>
            <w:tcW w:w="739" w:type="pct"/>
            <w:vMerge w:val="continue"/>
            <w:noWrap w:val="0"/>
            <w:vAlign w:val="center"/>
          </w:tcPr>
          <w:p w14:paraId="7BF943B3">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796A6B2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采用M7.5浆砌块石砌筑，尺寸120cm×100cm×60cm（长×宽×深）</w:t>
            </w:r>
          </w:p>
        </w:tc>
        <w:tc>
          <w:tcPr>
            <w:tcW w:w="578" w:type="pct"/>
            <w:vMerge w:val="continue"/>
            <w:noWrap w:val="0"/>
            <w:vAlign w:val="center"/>
          </w:tcPr>
          <w:p w14:paraId="5751F23A">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020C86DA">
            <w:pPr>
              <w:pStyle w:val="27"/>
              <w:jc w:val="center"/>
              <w:rPr>
                <w:rFonts w:hint="default" w:ascii="Times New Roman" w:hAnsi="Times New Roman" w:eastAsia="宋体" w:cs="Times New Roman"/>
                <w:color w:val="auto"/>
                <w:sz w:val="21"/>
                <w:szCs w:val="21"/>
              </w:rPr>
            </w:pPr>
          </w:p>
        </w:tc>
      </w:tr>
      <w:tr w14:paraId="530283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rPr>
        <w:tc>
          <w:tcPr>
            <w:tcW w:w="270" w:type="pct"/>
            <w:vMerge w:val="continue"/>
            <w:tcBorders>
              <w:left w:val="single" w:color="000000" w:sz="10" w:space="0"/>
            </w:tcBorders>
            <w:noWrap w:val="0"/>
            <w:vAlign w:val="center"/>
          </w:tcPr>
          <w:p w14:paraId="26D049E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4255ACFA">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8CD891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挂铁丝网喷有机基材</w:t>
            </w:r>
          </w:p>
        </w:tc>
        <w:tc>
          <w:tcPr>
            <w:tcW w:w="312" w:type="pct"/>
            <w:noWrap w:val="0"/>
            <w:vAlign w:val="center"/>
          </w:tcPr>
          <w:p w14:paraId="115D3B3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1AF447E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11001</w:t>
            </w:r>
          </w:p>
        </w:tc>
        <w:tc>
          <w:tcPr>
            <w:tcW w:w="739" w:type="pct"/>
            <w:noWrap w:val="0"/>
            <w:vAlign w:val="center"/>
          </w:tcPr>
          <w:p w14:paraId="1A2ACED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2020年2月</w:t>
            </w:r>
          </w:p>
          <w:p w14:paraId="3FB1569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~2020年4月</w:t>
            </w:r>
          </w:p>
        </w:tc>
        <w:tc>
          <w:tcPr>
            <w:tcW w:w="2132" w:type="pct"/>
            <w:noWrap w:val="0"/>
            <w:vAlign w:val="center"/>
          </w:tcPr>
          <w:p w14:paraId="774F16F4">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78" w:type="pct"/>
            <w:vMerge w:val="continue"/>
            <w:noWrap w:val="0"/>
            <w:vAlign w:val="center"/>
          </w:tcPr>
          <w:p w14:paraId="3ED50172">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4901ACAB">
            <w:pPr>
              <w:pStyle w:val="27"/>
              <w:jc w:val="center"/>
              <w:rPr>
                <w:rFonts w:hint="default" w:ascii="Times New Roman" w:hAnsi="Times New Roman" w:eastAsia="宋体" w:cs="Times New Roman"/>
                <w:color w:val="auto"/>
                <w:sz w:val="21"/>
                <w:szCs w:val="21"/>
              </w:rPr>
            </w:pPr>
          </w:p>
        </w:tc>
      </w:tr>
      <w:tr w14:paraId="70967B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3BB480D8">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59E0F9DA">
            <w:pPr>
              <w:pStyle w:val="27"/>
              <w:jc w:val="center"/>
              <w:rPr>
                <w:rFonts w:hint="default" w:ascii="Times New Roman" w:hAnsi="Times New Roman" w:eastAsia="宋体" w:cs="Times New Roman"/>
                <w:color w:val="auto"/>
                <w:sz w:val="21"/>
                <w:szCs w:val="21"/>
              </w:rPr>
            </w:pPr>
          </w:p>
        </w:tc>
        <w:tc>
          <w:tcPr>
            <w:tcW w:w="280" w:type="pct"/>
            <w:noWrap w:val="0"/>
            <w:vAlign w:val="center"/>
          </w:tcPr>
          <w:p w14:paraId="0B08183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锚杆框架梁+喷播植草</w:t>
            </w:r>
          </w:p>
        </w:tc>
        <w:tc>
          <w:tcPr>
            <w:tcW w:w="312" w:type="pct"/>
            <w:noWrap w:val="0"/>
            <w:vAlign w:val="center"/>
          </w:tcPr>
          <w:p w14:paraId="38E8A0A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034F02F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1306</w:t>
            </w:r>
          </w:p>
        </w:tc>
        <w:tc>
          <w:tcPr>
            <w:tcW w:w="739" w:type="pct"/>
            <w:vMerge w:val="restart"/>
            <w:noWrap w:val="0"/>
            <w:vAlign w:val="center"/>
          </w:tcPr>
          <w:p w14:paraId="0F8834C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2020年2月</w:t>
            </w:r>
          </w:p>
          <w:p w14:paraId="125898C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~2020年11月</w:t>
            </w:r>
          </w:p>
        </w:tc>
        <w:tc>
          <w:tcPr>
            <w:tcW w:w="2132" w:type="pct"/>
            <w:noWrap w:val="0"/>
            <w:vAlign w:val="center"/>
          </w:tcPr>
          <w:p w14:paraId="1DD026E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框架梁采用4m×3m的单元格，采用C30砼现浇，断面尺寸为30cm×30cm</w:t>
            </w:r>
          </w:p>
        </w:tc>
        <w:tc>
          <w:tcPr>
            <w:tcW w:w="578" w:type="pct"/>
            <w:vMerge w:val="continue"/>
            <w:noWrap w:val="0"/>
            <w:vAlign w:val="center"/>
          </w:tcPr>
          <w:p w14:paraId="71C326AC">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33445B67">
            <w:pPr>
              <w:pStyle w:val="27"/>
              <w:jc w:val="center"/>
              <w:rPr>
                <w:rFonts w:hint="default" w:ascii="Times New Roman" w:hAnsi="Times New Roman" w:eastAsia="宋体" w:cs="Times New Roman"/>
                <w:color w:val="auto"/>
                <w:sz w:val="21"/>
                <w:szCs w:val="21"/>
              </w:rPr>
            </w:pPr>
          </w:p>
        </w:tc>
      </w:tr>
      <w:tr w14:paraId="448586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rPr>
        <w:tc>
          <w:tcPr>
            <w:tcW w:w="270" w:type="pct"/>
            <w:vMerge w:val="continue"/>
            <w:tcBorders>
              <w:left w:val="single" w:color="000000" w:sz="10" w:space="0"/>
            </w:tcBorders>
            <w:noWrap w:val="0"/>
            <w:vAlign w:val="center"/>
          </w:tcPr>
          <w:p w14:paraId="281FF1B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B82F9AE">
            <w:pPr>
              <w:pStyle w:val="27"/>
              <w:jc w:val="center"/>
              <w:rPr>
                <w:rFonts w:hint="default" w:ascii="Times New Roman" w:hAnsi="Times New Roman" w:eastAsia="宋体" w:cs="Times New Roman"/>
                <w:color w:val="auto"/>
                <w:sz w:val="21"/>
                <w:szCs w:val="21"/>
              </w:rPr>
            </w:pPr>
          </w:p>
        </w:tc>
        <w:tc>
          <w:tcPr>
            <w:tcW w:w="280" w:type="pct"/>
            <w:noWrap w:val="0"/>
            <w:vAlign w:val="center"/>
          </w:tcPr>
          <w:p w14:paraId="774E60E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菱形网格护坡</w:t>
            </w:r>
          </w:p>
        </w:tc>
        <w:tc>
          <w:tcPr>
            <w:tcW w:w="312" w:type="pct"/>
            <w:noWrap w:val="0"/>
            <w:vAlign w:val="center"/>
          </w:tcPr>
          <w:p w14:paraId="49BC968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6C89D7C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26159</w:t>
            </w:r>
          </w:p>
        </w:tc>
        <w:tc>
          <w:tcPr>
            <w:tcW w:w="739" w:type="pct"/>
            <w:vMerge w:val="continue"/>
            <w:noWrap w:val="0"/>
            <w:vAlign w:val="center"/>
          </w:tcPr>
          <w:p w14:paraId="01C71ABB">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6443B15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骨架采用M7.5浆砌块石砌筑，框格骨架长为3m，断面尺寸为40cm×25cm</w:t>
            </w:r>
          </w:p>
        </w:tc>
        <w:tc>
          <w:tcPr>
            <w:tcW w:w="578" w:type="pct"/>
            <w:vMerge w:val="continue"/>
            <w:noWrap w:val="0"/>
            <w:vAlign w:val="center"/>
          </w:tcPr>
          <w:p w14:paraId="4236AA03">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8187489">
            <w:pPr>
              <w:pStyle w:val="27"/>
              <w:jc w:val="center"/>
              <w:rPr>
                <w:rFonts w:hint="default" w:ascii="Times New Roman" w:hAnsi="Times New Roman" w:eastAsia="宋体" w:cs="Times New Roman"/>
                <w:color w:val="auto"/>
                <w:sz w:val="21"/>
                <w:szCs w:val="21"/>
              </w:rPr>
            </w:pPr>
          </w:p>
        </w:tc>
      </w:tr>
      <w:tr w14:paraId="29F5AE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53C8CF2A">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327F4B6A">
            <w:pPr>
              <w:pStyle w:val="27"/>
              <w:jc w:val="center"/>
              <w:rPr>
                <w:rFonts w:hint="default" w:ascii="Times New Roman" w:hAnsi="Times New Roman" w:eastAsia="宋体" w:cs="Times New Roman"/>
                <w:color w:val="auto"/>
                <w:sz w:val="21"/>
                <w:szCs w:val="21"/>
              </w:rPr>
            </w:pPr>
          </w:p>
        </w:tc>
        <w:tc>
          <w:tcPr>
            <w:tcW w:w="280" w:type="pct"/>
            <w:noWrap w:val="0"/>
            <w:vAlign w:val="center"/>
          </w:tcPr>
          <w:p w14:paraId="347FCE3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拱形骨架护坡</w:t>
            </w:r>
          </w:p>
        </w:tc>
        <w:tc>
          <w:tcPr>
            <w:tcW w:w="312" w:type="pct"/>
            <w:noWrap w:val="0"/>
            <w:vAlign w:val="center"/>
          </w:tcPr>
          <w:p w14:paraId="65C8330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49B1D80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1306</w:t>
            </w:r>
          </w:p>
        </w:tc>
        <w:tc>
          <w:tcPr>
            <w:tcW w:w="739" w:type="pct"/>
            <w:noWrap w:val="0"/>
            <w:vAlign w:val="center"/>
          </w:tcPr>
          <w:p w14:paraId="741A799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2019年2月</w:t>
            </w:r>
          </w:p>
          <w:p w14:paraId="4C9EA77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~2019年6月</w:t>
            </w:r>
          </w:p>
        </w:tc>
        <w:tc>
          <w:tcPr>
            <w:tcW w:w="2132" w:type="pct"/>
            <w:noWrap w:val="0"/>
            <w:vAlign w:val="center"/>
          </w:tcPr>
          <w:p w14:paraId="37F17F9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骨架采用M7.5浆砌块石砌筑，框格骨架长为3m，断面尺寸为40cm×25cm</w:t>
            </w:r>
          </w:p>
        </w:tc>
        <w:tc>
          <w:tcPr>
            <w:tcW w:w="578" w:type="pct"/>
            <w:vMerge w:val="continue"/>
            <w:noWrap w:val="0"/>
            <w:vAlign w:val="center"/>
          </w:tcPr>
          <w:p w14:paraId="746B2BCD">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178A8453">
            <w:pPr>
              <w:pStyle w:val="27"/>
              <w:jc w:val="center"/>
              <w:rPr>
                <w:rFonts w:hint="default" w:ascii="Times New Roman" w:hAnsi="Times New Roman" w:eastAsia="宋体" w:cs="Times New Roman"/>
                <w:color w:val="auto"/>
                <w:sz w:val="21"/>
                <w:szCs w:val="21"/>
              </w:rPr>
            </w:pPr>
          </w:p>
        </w:tc>
      </w:tr>
      <w:tr w14:paraId="4602D5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3AF9E709">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DD46775">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82DDE5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表土剥离</w:t>
            </w:r>
          </w:p>
        </w:tc>
        <w:tc>
          <w:tcPr>
            <w:tcW w:w="312" w:type="pct"/>
            <w:noWrap w:val="0"/>
            <w:vAlign w:val="center"/>
          </w:tcPr>
          <w:p w14:paraId="701E03A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336" w:type="pct"/>
            <w:noWrap w:val="0"/>
            <w:vAlign w:val="center"/>
          </w:tcPr>
          <w:p w14:paraId="270EF7A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4.34</w:t>
            </w:r>
          </w:p>
        </w:tc>
        <w:tc>
          <w:tcPr>
            <w:tcW w:w="739" w:type="pct"/>
            <w:vMerge w:val="restart"/>
            <w:noWrap w:val="0"/>
            <w:vAlign w:val="center"/>
          </w:tcPr>
          <w:p w14:paraId="4C7A3ED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2020年2月</w:t>
            </w:r>
          </w:p>
          <w:p w14:paraId="6AA92C8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~2020年10月</w:t>
            </w:r>
          </w:p>
        </w:tc>
        <w:tc>
          <w:tcPr>
            <w:tcW w:w="2132" w:type="pct"/>
            <w:noWrap w:val="0"/>
            <w:vAlign w:val="center"/>
          </w:tcPr>
          <w:p w14:paraId="3B14A157">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78" w:type="pct"/>
            <w:vMerge w:val="continue"/>
            <w:noWrap w:val="0"/>
            <w:vAlign w:val="center"/>
          </w:tcPr>
          <w:p w14:paraId="5BC859DB">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722C6348">
            <w:pPr>
              <w:pStyle w:val="27"/>
              <w:jc w:val="center"/>
              <w:rPr>
                <w:rFonts w:hint="default" w:ascii="Times New Roman" w:hAnsi="Times New Roman" w:eastAsia="宋体" w:cs="Times New Roman"/>
                <w:color w:val="auto"/>
                <w:sz w:val="21"/>
                <w:szCs w:val="21"/>
              </w:rPr>
            </w:pPr>
          </w:p>
        </w:tc>
      </w:tr>
      <w:tr w14:paraId="278C55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6CEDFA6B">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77BD1879">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FB57E1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表土回覆</w:t>
            </w:r>
          </w:p>
        </w:tc>
        <w:tc>
          <w:tcPr>
            <w:tcW w:w="312" w:type="pct"/>
            <w:noWrap w:val="0"/>
            <w:vAlign w:val="center"/>
          </w:tcPr>
          <w:p w14:paraId="4E63EB4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336" w:type="pct"/>
            <w:noWrap w:val="0"/>
            <w:vAlign w:val="center"/>
          </w:tcPr>
          <w:p w14:paraId="25C6F82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2.04</w:t>
            </w:r>
          </w:p>
        </w:tc>
        <w:tc>
          <w:tcPr>
            <w:tcW w:w="739" w:type="pct"/>
            <w:vMerge w:val="continue"/>
            <w:noWrap w:val="0"/>
            <w:vAlign w:val="center"/>
          </w:tcPr>
          <w:p w14:paraId="48C5877E">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6EC7F7BA">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78" w:type="pct"/>
            <w:vMerge w:val="continue"/>
            <w:noWrap w:val="0"/>
            <w:vAlign w:val="center"/>
          </w:tcPr>
          <w:p w14:paraId="177320FF">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BDFF0AE">
            <w:pPr>
              <w:pStyle w:val="27"/>
              <w:jc w:val="center"/>
              <w:rPr>
                <w:rFonts w:hint="default" w:ascii="Times New Roman" w:hAnsi="Times New Roman" w:eastAsia="宋体" w:cs="Times New Roman"/>
                <w:color w:val="auto"/>
                <w:sz w:val="21"/>
                <w:szCs w:val="21"/>
              </w:rPr>
            </w:pPr>
          </w:p>
        </w:tc>
      </w:tr>
      <w:tr w14:paraId="312D8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210B80E3">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7DF7707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80" w:type="pct"/>
            <w:noWrap w:val="0"/>
            <w:vAlign w:val="center"/>
          </w:tcPr>
          <w:p w14:paraId="725D3C3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直接喷播植草</w:t>
            </w:r>
          </w:p>
        </w:tc>
        <w:tc>
          <w:tcPr>
            <w:tcW w:w="312" w:type="pct"/>
            <w:noWrap w:val="0"/>
            <w:vAlign w:val="center"/>
          </w:tcPr>
          <w:p w14:paraId="67F33E7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336A881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53304</w:t>
            </w:r>
          </w:p>
        </w:tc>
        <w:tc>
          <w:tcPr>
            <w:tcW w:w="739" w:type="pct"/>
            <w:noWrap w:val="0"/>
            <w:vAlign w:val="center"/>
          </w:tcPr>
          <w:p w14:paraId="7A6B6CA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2020年2月~2020年11月</w:t>
            </w:r>
          </w:p>
        </w:tc>
        <w:tc>
          <w:tcPr>
            <w:tcW w:w="2132" w:type="pct"/>
            <w:noWrap w:val="0"/>
            <w:vAlign w:val="center"/>
          </w:tcPr>
          <w:p w14:paraId="20C3E4AD">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坡比缓于1</w:t>
            </w:r>
            <w:r>
              <w:rPr>
                <w:rFonts w:hint="eastAsia" w:eastAsia="宋体" w:cs="Times New Roman"/>
                <w:color w:val="auto"/>
                <w:sz w:val="21"/>
                <w:szCs w:val="21"/>
                <w:lang w:eastAsia="zh-CN"/>
              </w:rPr>
              <w:t>:</w:t>
            </w:r>
            <w:r>
              <w:rPr>
                <w:rFonts w:hint="default" w:ascii="Times New Roman" w:hAnsi="Times New Roman" w:eastAsia="宋体" w:cs="Times New Roman"/>
                <w:color w:val="auto"/>
                <w:sz w:val="21"/>
                <w:szCs w:val="21"/>
              </w:rPr>
              <w:t>1，边坡总高度小于</w:t>
            </w:r>
          </w:p>
          <w:p w14:paraId="37D822F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3m的土质边坡及边坡高度≤4m的</w:t>
            </w:r>
          </w:p>
          <w:p w14:paraId="2529E9F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填方边坡</w:t>
            </w:r>
          </w:p>
        </w:tc>
        <w:tc>
          <w:tcPr>
            <w:tcW w:w="578" w:type="pct"/>
            <w:vMerge w:val="continue"/>
            <w:noWrap w:val="0"/>
            <w:vAlign w:val="center"/>
          </w:tcPr>
          <w:p w14:paraId="7BEE2A24">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761AC59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0E082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2318DF49">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08AB1E56">
            <w:pPr>
              <w:pStyle w:val="27"/>
              <w:jc w:val="center"/>
              <w:rPr>
                <w:rFonts w:hint="default" w:ascii="Times New Roman" w:hAnsi="Times New Roman" w:eastAsia="宋体" w:cs="Times New Roman"/>
                <w:color w:val="auto"/>
                <w:sz w:val="21"/>
                <w:szCs w:val="21"/>
              </w:rPr>
            </w:pPr>
          </w:p>
        </w:tc>
        <w:tc>
          <w:tcPr>
            <w:tcW w:w="280" w:type="pct"/>
            <w:noWrap w:val="0"/>
            <w:vAlign w:val="center"/>
          </w:tcPr>
          <w:p w14:paraId="5B6575D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中央分隔带</w:t>
            </w:r>
          </w:p>
        </w:tc>
        <w:tc>
          <w:tcPr>
            <w:tcW w:w="312" w:type="pct"/>
            <w:noWrap w:val="0"/>
            <w:vAlign w:val="center"/>
          </w:tcPr>
          <w:p w14:paraId="20F4085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4BB67C5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1.83</w:t>
            </w:r>
          </w:p>
        </w:tc>
        <w:tc>
          <w:tcPr>
            <w:tcW w:w="739" w:type="pct"/>
            <w:vMerge w:val="restart"/>
            <w:noWrap w:val="0"/>
            <w:vAlign w:val="center"/>
          </w:tcPr>
          <w:p w14:paraId="4382918D">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2020年11月~2020年12月</w:t>
            </w:r>
          </w:p>
        </w:tc>
        <w:tc>
          <w:tcPr>
            <w:tcW w:w="2132" w:type="pct"/>
            <w:noWrap w:val="0"/>
            <w:vAlign w:val="center"/>
          </w:tcPr>
          <w:p w14:paraId="57663A3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整体式路基中央</w:t>
            </w:r>
          </w:p>
        </w:tc>
        <w:tc>
          <w:tcPr>
            <w:tcW w:w="578" w:type="pct"/>
            <w:vMerge w:val="continue"/>
            <w:noWrap w:val="0"/>
            <w:vAlign w:val="center"/>
          </w:tcPr>
          <w:p w14:paraId="4FF57B23">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59D970FC">
            <w:pPr>
              <w:pStyle w:val="27"/>
              <w:jc w:val="center"/>
              <w:rPr>
                <w:rFonts w:hint="default" w:ascii="Times New Roman" w:hAnsi="Times New Roman" w:eastAsia="宋体" w:cs="Times New Roman"/>
                <w:color w:val="auto"/>
                <w:sz w:val="21"/>
                <w:szCs w:val="21"/>
              </w:rPr>
            </w:pPr>
          </w:p>
        </w:tc>
      </w:tr>
      <w:tr w14:paraId="6F10F6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7A83742E">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E1661EE">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6A15FE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景观绿化</w:t>
            </w:r>
          </w:p>
        </w:tc>
        <w:tc>
          <w:tcPr>
            <w:tcW w:w="312" w:type="pct"/>
            <w:noWrap w:val="0"/>
            <w:vAlign w:val="center"/>
          </w:tcPr>
          <w:p w14:paraId="04E48A2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hm2</w:t>
            </w:r>
          </w:p>
        </w:tc>
        <w:tc>
          <w:tcPr>
            <w:tcW w:w="336" w:type="pct"/>
            <w:noWrap w:val="0"/>
            <w:vAlign w:val="center"/>
          </w:tcPr>
          <w:p w14:paraId="45EB9C9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1.84</w:t>
            </w:r>
          </w:p>
        </w:tc>
        <w:tc>
          <w:tcPr>
            <w:tcW w:w="739" w:type="pct"/>
            <w:vMerge w:val="continue"/>
            <w:noWrap w:val="0"/>
            <w:vAlign w:val="center"/>
          </w:tcPr>
          <w:p w14:paraId="6D8001B9">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26630A7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路基两侧界桩内</w:t>
            </w:r>
          </w:p>
        </w:tc>
        <w:tc>
          <w:tcPr>
            <w:tcW w:w="578" w:type="pct"/>
            <w:vMerge w:val="continue"/>
            <w:noWrap w:val="0"/>
            <w:vAlign w:val="center"/>
          </w:tcPr>
          <w:p w14:paraId="7D9E0A41">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50AEFE10">
            <w:pPr>
              <w:pStyle w:val="27"/>
              <w:jc w:val="center"/>
              <w:rPr>
                <w:rFonts w:hint="default" w:ascii="Times New Roman" w:hAnsi="Times New Roman" w:eastAsia="宋体" w:cs="Times New Roman"/>
                <w:color w:val="auto"/>
                <w:sz w:val="21"/>
                <w:szCs w:val="21"/>
              </w:rPr>
            </w:pPr>
          </w:p>
        </w:tc>
      </w:tr>
      <w:tr w14:paraId="72EB4E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77360166">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3CDA7EC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80" w:type="pct"/>
            <w:noWrap w:val="0"/>
            <w:vAlign w:val="center"/>
          </w:tcPr>
          <w:p w14:paraId="1EB6045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防雨布遮盖</w:t>
            </w:r>
          </w:p>
        </w:tc>
        <w:tc>
          <w:tcPr>
            <w:tcW w:w="312" w:type="pct"/>
            <w:noWrap w:val="0"/>
            <w:vAlign w:val="center"/>
          </w:tcPr>
          <w:p w14:paraId="79553CB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m³</w:t>
            </w:r>
          </w:p>
        </w:tc>
        <w:tc>
          <w:tcPr>
            <w:tcW w:w="336" w:type="pct"/>
            <w:noWrap w:val="0"/>
            <w:vAlign w:val="center"/>
          </w:tcPr>
          <w:p w14:paraId="5C2D6C7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30200</w:t>
            </w:r>
          </w:p>
        </w:tc>
        <w:tc>
          <w:tcPr>
            <w:tcW w:w="739" w:type="pct"/>
            <w:noWrap w:val="0"/>
            <w:vAlign w:val="center"/>
          </w:tcPr>
          <w:p w14:paraId="1249949D">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2019年5月~10月、2020年5月</w:t>
            </w:r>
          </w:p>
          <w:p w14:paraId="7C574C9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~10月、2020年12月</w:t>
            </w:r>
          </w:p>
        </w:tc>
        <w:tc>
          <w:tcPr>
            <w:tcW w:w="2132" w:type="pct"/>
            <w:noWrap w:val="0"/>
            <w:vAlign w:val="center"/>
          </w:tcPr>
          <w:p w14:paraId="71ED817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rPr>
              <w:t>不能及时完成防护的路基边坡</w:t>
            </w:r>
          </w:p>
        </w:tc>
        <w:tc>
          <w:tcPr>
            <w:tcW w:w="578" w:type="pct"/>
            <w:vMerge w:val="continue"/>
            <w:noWrap w:val="0"/>
            <w:vAlign w:val="center"/>
          </w:tcPr>
          <w:p w14:paraId="1A6DEB13">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170E7DA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7CACED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38" w:hRule="atLeast"/>
        </w:trPr>
        <w:tc>
          <w:tcPr>
            <w:tcW w:w="270" w:type="pct"/>
            <w:vMerge w:val="continue"/>
            <w:tcBorders>
              <w:left w:val="single" w:color="000000" w:sz="10" w:space="0"/>
            </w:tcBorders>
            <w:noWrap w:val="0"/>
            <w:vAlign w:val="center"/>
          </w:tcPr>
          <w:p w14:paraId="6D636CCE">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F5D4434">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54BCFF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临时种草</w:t>
            </w:r>
          </w:p>
        </w:tc>
        <w:tc>
          <w:tcPr>
            <w:tcW w:w="312" w:type="pct"/>
            <w:noWrap w:val="0"/>
            <w:vAlign w:val="center"/>
          </w:tcPr>
          <w:p w14:paraId="6C03745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5D5B412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0.79</w:t>
            </w:r>
          </w:p>
        </w:tc>
        <w:tc>
          <w:tcPr>
            <w:tcW w:w="739" w:type="pct"/>
            <w:noWrap w:val="0"/>
            <w:vAlign w:val="center"/>
          </w:tcPr>
          <w:p w14:paraId="01618E3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2019年2月~2019年6月</w:t>
            </w:r>
          </w:p>
        </w:tc>
        <w:tc>
          <w:tcPr>
            <w:tcW w:w="2132" w:type="pct"/>
            <w:noWrap w:val="0"/>
            <w:vAlign w:val="center"/>
          </w:tcPr>
          <w:p w14:paraId="3800D97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rPr>
              <w:t>表土堆放表面</w:t>
            </w:r>
          </w:p>
        </w:tc>
        <w:tc>
          <w:tcPr>
            <w:tcW w:w="578" w:type="pct"/>
            <w:vMerge w:val="continue"/>
            <w:noWrap w:val="0"/>
            <w:vAlign w:val="center"/>
          </w:tcPr>
          <w:p w14:paraId="39324CEB">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4D9C6C9E">
            <w:pPr>
              <w:pStyle w:val="27"/>
              <w:jc w:val="center"/>
              <w:rPr>
                <w:rFonts w:hint="default" w:ascii="Times New Roman" w:hAnsi="Times New Roman" w:eastAsia="宋体" w:cs="Times New Roman"/>
                <w:color w:val="auto"/>
                <w:sz w:val="21"/>
                <w:szCs w:val="21"/>
              </w:rPr>
            </w:pPr>
          </w:p>
        </w:tc>
      </w:tr>
      <w:tr w14:paraId="37027C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6" w:hRule="atLeast"/>
        </w:trPr>
        <w:tc>
          <w:tcPr>
            <w:tcW w:w="270" w:type="pct"/>
            <w:vMerge w:val="restart"/>
            <w:tcBorders>
              <w:left w:val="single" w:color="000000" w:sz="10" w:space="0"/>
            </w:tcBorders>
            <w:noWrap w:val="0"/>
            <w:vAlign w:val="center"/>
          </w:tcPr>
          <w:p w14:paraId="6BB187D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桥梁工程区</w:t>
            </w:r>
          </w:p>
        </w:tc>
        <w:tc>
          <w:tcPr>
            <w:tcW w:w="149" w:type="pct"/>
            <w:noWrap w:val="0"/>
            <w:vAlign w:val="center"/>
          </w:tcPr>
          <w:p w14:paraId="3432AB9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80" w:type="pct"/>
            <w:noWrap w:val="0"/>
            <w:vAlign w:val="center"/>
          </w:tcPr>
          <w:p w14:paraId="6992DAE5">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表土回覆</w:t>
            </w:r>
          </w:p>
        </w:tc>
        <w:tc>
          <w:tcPr>
            <w:tcW w:w="312" w:type="pct"/>
            <w:noWrap w:val="0"/>
            <w:vAlign w:val="center"/>
          </w:tcPr>
          <w:p w14:paraId="4FBB8C6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万m³</w:t>
            </w:r>
          </w:p>
        </w:tc>
        <w:tc>
          <w:tcPr>
            <w:tcW w:w="336" w:type="pct"/>
            <w:noWrap w:val="0"/>
            <w:vAlign w:val="center"/>
          </w:tcPr>
          <w:p w14:paraId="7FA740CE">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0.29</w:t>
            </w:r>
          </w:p>
        </w:tc>
        <w:tc>
          <w:tcPr>
            <w:tcW w:w="739" w:type="pct"/>
            <w:noWrap w:val="0"/>
            <w:vAlign w:val="center"/>
          </w:tcPr>
          <w:p w14:paraId="51F488E0">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2020年3月~2020年11月</w:t>
            </w:r>
          </w:p>
        </w:tc>
        <w:tc>
          <w:tcPr>
            <w:tcW w:w="2132" w:type="pct"/>
            <w:noWrap w:val="0"/>
            <w:vAlign w:val="center"/>
          </w:tcPr>
          <w:p w14:paraId="69E553D1">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施工扰动可绿化区域</w:t>
            </w:r>
          </w:p>
        </w:tc>
        <w:tc>
          <w:tcPr>
            <w:tcW w:w="578" w:type="pct"/>
            <w:vMerge w:val="continue"/>
            <w:noWrap w:val="0"/>
            <w:vAlign w:val="center"/>
          </w:tcPr>
          <w:p w14:paraId="26C9E880">
            <w:pPr>
              <w:pStyle w:val="27"/>
              <w:jc w:val="center"/>
              <w:rPr>
                <w:rFonts w:hint="default" w:ascii="Times New Roman" w:hAnsi="Times New Roman" w:eastAsia="宋体" w:cs="Times New Roman"/>
                <w:color w:val="auto"/>
                <w:sz w:val="21"/>
                <w:szCs w:val="21"/>
              </w:rPr>
            </w:pPr>
          </w:p>
        </w:tc>
        <w:tc>
          <w:tcPr>
            <w:tcW w:w="199" w:type="pct"/>
            <w:tcBorders>
              <w:right w:val="single" w:color="000000" w:sz="10" w:space="0"/>
            </w:tcBorders>
            <w:noWrap w:val="0"/>
            <w:vAlign w:val="center"/>
          </w:tcPr>
          <w:p w14:paraId="08BEE39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5A30CC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259A6988">
            <w:pPr>
              <w:pStyle w:val="27"/>
              <w:jc w:val="center"/>
              <w:rPr>
                <w:rFonts w:hint="default" w:ascii="Times New Roman" w:hAnsi="Times New Roman" w:eastAsia="宋体" w:cs="Times New Roman"/>
                <w:color w:val="auto"/>
                <w:sz w:val="21"/>
                <w:szCs w:val="21"/>
              </w:rPr>
            </w:pPr>
          </w:p>
        </w:tc>
        <w:tc>
          <w:tcPr>
            <w:tcW w:w="149" w:type="pct"/>
            <w:noWrap w:val="0"/>
            <w:vAlign w:val="center"/>
          </w:tcPr>
          <w:p w14:paraId="5AABA47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80" w:type="pct"/>
            <w:noWrap w:val="0"/>
            <w:vAlign w:val="center"/>
          </w:tcPr>
          <w:p w14:paraId="6B76C5A2">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桥下植被恢复</w:t>
            </w:r>
          </w:p>
        </w:tc>
        <w:tc>
          <w:tcPr>
            <w:tcW w:w="312" w:type="pct"/>
            <w:noWrap w:val="0"/>
            <w:vAlign w:val="center"/>
          </w:tcPr>
          <w:p w14:paraId="0468C9AC">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hm²</w:t>
            </w:r>
          </w:p>
        </w:tc>
        <w:tc>
          <w:tcPr>
            <w:tcW w:w="336" w:type="pct"/>
            <w:noWrap w:val="0"/>
            <w:vAlign w:val="center"/>
          </w:tcPr>
          <w:p w14:paraId="11A09BF8">
            <w:pPr>
              <w:pStyle w:val="27"/>
              <w:jc w:val="center"/>
              <w:rPr>
                <w:rFonts w:hint="default" w:ascii="Times New Roman" w:hAnsi="Times New Roman" w:eastAsia="宋体" w:cs="Times New Roman"/>
                <w:color w:val="auto"/>
                <w:spacing w:val="-4"/>
                <w:lang w:val="en-US" w:eastAsia="zh-CN"/>
              </w:rPr>
            </w:pPr>
            <w:r>
              <w:rPr>
                <w:rFonts w:hint="default" w:ascii="Times New Roman" w:hAnsi="Times New Roman" w:eastAsia="宋体" w:cs="Times New Roman"/>
                <w:color w:val="auto"/>
                <w:spacing w:val="-4"/>
                <w:lang w:val="en-US" w:eastAsia="zh-CN"/>
              </w:rPr>
              <w:t>0.98</w:t>
            </w:r>
          </w:p>
        </w:tc>
        <w:tc>
          <w:tcPr>
            <w:tcW w:w="739" w:type="pct"/>
            <w:noWrap w:val="0"/>
            <w:vAlign w:val="center"/>
          </w:tcPr>
          <w:p w14:paraId="0BA7C2FD">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2020年4月~2020年12月</w:t>
            </w:r>
          </w:p>
        </w:tc>
        <w:tc>
          <w:tcPr>
            <w:tcW w:w="2132" w:type="pct"/>
            <w:noWrap w:val="0"/>
            <w:vAlign w:val="center"/>
          </w:tcPr>
          <w:p w14:paraId="52389C8F">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施工扰动可绿化区域</w:t>
            </w:r>
          </w:p>
        </w:tc>
        <w:tc>
          <w:tcPr>
            <w:tcW w:w="578" w:type="pct"/>
            <w:vMerge w:val="continue"/>
            <w:noWrap w:val="0"/>
            <w:vAlign w:val="center"/>
          </w:tcPr>
          <w:p w14:paraId="02E30ACE">
            <w:pPr>
              <w:pStyle w:val="27"/>
              <w:jc w:val="center"/>
              <w:rPr>
                <w:rFonts w:hint="default" w:ascii="Times New Roman" w:hAnsi="Times New Roman" w:eastAsia="宋体" w:cs="Times New Roman"/>
                <w:color w:val="auto"/>
                <w:sz w:val="21"/>
                <w:szCs w:val="21"/>
              </w:rPr>
            </w:pPr>
          </w:p>
        </w:tc>
        <w:tc>
          <w:tcPr>
            <w:tcW w:w="199" w:type="pct"/>
            <w:tcBorders>
              <w:right w:val="single" w:color="000000" w:sz="10" w:space="0"/>
            </w:tcBorders>
            <w:noWrap w:val="0"/>
            <w:vAlign w:val="center"/>
          </w:tcPr>
          <w:p w14:paraId="1D71BA7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29BFE7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270" w:type="pct"/>
            <w:vMerge w:val="continue"/>
            <w:tcBorders>
              <w:left w:val="single" w:color="000000" w:sz="10" w:space="0"/>
            </w:tcBorders>
            <w:noWrap w:val="0"/>
            <w:vAlign w:val="center"/>
          </w:tcPr>
          <w:p w14:paraId="3490AE70">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7DF66F0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80" w:type="pct"/>
            <w:noWrap w:val="0"/>
            <w:vAlign w:val="center"/>
          </w:tcPr>
          <w:p w14:paraId="7478E538">
            <w:pPr>
              <w:pStyle w:val="27"/>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rPr>
              <w:t>临时沉浆池</w:t>
            </w:r>
          </w:p>
        </w:tc>
        <w:tc>
          <w:tcPr>
            <w:tcW w:w="312" w:type="pct"/>
            <w:noWrap w:val="0"/>
            <w:vAlign w:val="center"/>
          </w:tcPr>
          <w:p w14:paraId="158AE2BB">
            <w:pPr>
              <w:pStyle w:val="27"/>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座</w:t>
            </w:r>
          </w:p>
        </w:tc>
        <w:tc>
          <w:tcPr>
            <w:tcW w:w="336" w:type="pct"/>
            <w:noWrap w:val="0"/>
            <w:vAlign w:val="center"/>
          </w:tcPr>
          <w:p w14:paraId="1285C44A">
            <w:pPr>
              <w:pStyle w:val="27"/>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rPr>
              <w:t>12</w:t>
            </w:r>
          </w:p>
        </w:tc>
        <w:tc>
          <w:tcPr>
            <w:tcW w:w="739" w:type="pct"/>
            <w:noWrap w:val="0"/>
            <w:vAlign w:val="center"/>
          </w:tcPr>
          <w:p w14:paraId="5D8FE10B">
            <w:pPr>
              <w:pStyle w:val="27"/>
              <w:ind w:firstLine="0" w:firstLineChars="0"/>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2018年9月~2019年6月</w:t>
            </w:r>
          </w:p>
        </w:tc>
        <w:tc>
          <w:tcPr>
            <w:tcW w:w="2132" w:type="pct"/>
            <w:noWrap w:val="0"/>
            <w:vAlign w:val="center"/>
          </w:tcPr>
          <w:p w14:paraId="3064BE8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rPr>
              <w:t>桥头处或引桥下征地范围</w:t>
            </w:r>
          </w:p>
        </w:tc>
        <w:tc>
          <w:tcPr>
            <w:tcW w:w="578" w:type="pct"/>
            <w:vMerge w:val="continue"/>
            <w:noWrap w:val="0"/>
            <w:vAlign w:val="center"/>
          </w:tcPr>
          <w:p w14:paraId="7C352DDA">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6EC4A08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2742E6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restart"/>
            <w:tcBorders>
              <w:left w:val="single" w:color="000000" w:sz="10" w:space="0"/>
            </w:tcBorders>
            <w:noWrap w:val="0"/>
            <w:vAlign w:val="center"/>
          </w:tcPr>
          <w:p w14:paraId="6FD26CD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互通工程区</w:t>
            </w:r>
          </w:p>
        </w:tc>
        <w:tc>
          <w:tcPr>
            <w:tcW w:w="149" w:type="pct"/>
            <w:vMerge w:val="restart"/>
            <w:noWrap w:val="0"/>
            <w:vAlign w:val="center"/>
          </w:tcPr>
          <w:p w14:paraId="1D89B42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80" w:type="pct"/>
            <w:noWrap w:val="0"/>
            <w:vAlign w:val="center"/>
          </w:tcPr>
          <w:p w14:paraId="45A9A361">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截排水沟</w:t>
            </w:r>
          </w:p>
        </w:tc>
        <w:tc>
          <w:tcPr>
            <w:tcW w:w="312" w:type="pct"/>
            <w:noWrap w:val="0"/>
            <w:vAlign w:val="center"/>
          </w:tcPr>
          <w:p w14:paraId="2192A966">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m</w:t>
            </w:r>
          </w:p>
        </w:tc>
        <w:tc>
          <w:tcPr>
            <w:tcW w:w="336" w:type="pct"/>
            <w:noWrap w:val="0"/>
            <w:vAlign w:val="center"/>
          </w:tcPr>
          <w:p w14:paraId="62902BCD">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9334.5</w:t>
            </w:r>
          </w:p>
        </w:tc>
        <w:tc>
          <w:tcPr>
            <w:tcW w:w="739" w:type="pct"/>
            <w:vMerge w:val="restart"/>
            <w:noWrap w:val="0"/>
            <w:vAlign w:val="center"/>
          </w:tcPr>
          <w:p w14:paraId="2C9B63C3">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2020年2月</w:t>
            </w:r>
          </w:p>
          <w:p w14:paraId="5B343A86">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~2020年11月</w:t>
            </w:r>
          </w:p>
        </w:tc>
        <w:tc>
          <w:tcPr>
            <w:tcW w:w="2132" w:type="pct"/>
            <w:noWrap w:val="0"/>
            <w:vAlign w:val="center"/>
          </w:tcPr>
          <w:p w14:paraId="0176C3A6">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路基两侧挖填边坡下方，挖方边坡上游，边坡平台</w:t>
            </w:r>
          </w:p>
        </w:tc>
        <w:tc>
          <w:tcPr>
            <w:tcW w:w="578" w:type="pct"/>
            <w:vMerge w:val="continue"/>
            <w:noWrap w:val="0"/>
            <w:vAlign w:val="center"/>
          </w:tcPr>
          <w:p w14:paraId="1EB3EEF4">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053E924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643DF8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7D9B38B">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7E1404B9">
            <w:pPr>
              <w:pStyle w:val="27"/>
              <w:jc w:val="center"/>
              <w:rPr>
                <w:rFonts w:hint="default" w:ascii="Times New Roman" w:hAnsi="Times New Roman" w:eastAsia="宋体" w:cs="Times New Roman"/>
                <w:color w:val="auto"/>
                <w:sz w:val="21"/>
                <w:szCs w:val="21"/>
              </w:rPr>
            </w:pPr>
          </w:p>
        </w:tc>
        <w:tc>
          <w:tcPr>
            <w:tcW w:w="280" w:type="pct"/>
            <w:noWrap w:val="0"/>
            <w:vAlign w:val="center"/>
          </w:tcPr>
          <w:p w14:paraId="23312DE9">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急流槽</w:t>
            </w:r>
          </w:p>
        </w:tc>
        <w:tc>
          <w:tcPr>
            <w:tcW w:w="312" w:type="pct"/>
            <w:noWrap w:val="0"/>
            <w:vAlign w:val="center"/>
          </w:tcPr>
          <w:p w14:paraId="19B5B078">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m</w:t>
            </w:r>
          </w:p>
        </w:tc>
        <w:tc>
          <w:tcPr>
            <w:tcW w:w="336" w:type="pct"/>
            <w:noWrap w:val="0"/>
            <w:vAlign w:val="center"/>
          </w:tcPr>
          <w:p w14:paraId="75B6B4D6">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204.2</w:t>
            </w:r>
          </w:p>
        </w:tc>
        <w:tc>
          <w:tcPr>
            <w:tcW w:w="739" w:type="pct"/>
            <w:vMerge w:val="continue"/>
            <w:noWrap w:val="0"/>
            <w:vAlign w:val="center"/>
          </w:tcPr>
          <w:p w14:paraId="0B0FF8BD">
            <w:pPr>
              <w:pStyle w:val="27"/>
              <w:jc w:val="center"/>
              <w:rPr>
                <w:rFonts w:hint="default" w:ascii="Times New Roman" w:hAnsi="Times New Roman" w:eastAsia="宋体" w:cs="Times New Roman"/>
                <w:color w:val="auto"/>
                <w:spacing w:val="-4"/>
              </w:rPr>
            </w:pPr>
          </w:p>
        </w:tc>
        <w:tc>
          <w:tcPr>
            <w:tcW w:w="2132" w:type="pct"/>
            <w:noWrap w:val="0"/>
            <w:vAlign w:val="center"/>
          </w:tcPr>
          <w:p w14:paraId="3E134A55">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各类截排水沟、边沟过渡区域</w:t>
            </w:r>
          </w:p>
        </w:tc>
        <w:tc>
          <w:tcPr>
            <w:tcW w:w="578" w:type="pct"/>
            <w:vMerge w:val="continue"/>
            <w:noWrap w:val="0"/>
            <w:vAlign w:val="center"/>
          </w:tcPr>
          <w:p w14:paraId="0CDB2DF2">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70F7077C">
            <w:pPr>
              <w:pStyle w:val="27"/>
              <w:jc w:val="center"/>
              <w:rPr>
                <w:rFonts w:hint="default" w:ascii="Times New Roman" w:hAnsi="Times New Roman" w:eastAsia="宋体" w:cs="Times New Roman"/>
                <w:color w:val="auto"/>
                <w:sz w:val="21"/>
                <w:szCs w:val="21"/>
              </w:rPr>
            </w:pPr>
          </w:p>
        </w:tc>
      </w:tr>
      <w:tr w14:paraId="6A1F2B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21E94C10">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2409F3B">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675D051">
            <w:pPr>
              <w:pStyle w:val="27"/>
              <w:jc w:val="center"/>
              <w:rPr>
                <w:rFonts w:hint="default" w:ascii="Times New Roman" w:hAnsi="Times New Roman" w:eastAsia="宋体" w:cs="Times New Roman"/>
                <w:color w:val="auto"/>
                <w:spacing w:val="-4"/>
              </w:rPr>
            </w:pPr>
            <w:r>
              <w:rPr>
                <w:rFonts w:hint="eastAsia" w:eastAsia="宋体" w:cs="Times New Roman"/>
                <w:color w:val="auto"/>
                <w:spacing w:val="-4"/>
                <w:lang w:eastAsia="zh-CN"/>
              </w:rPr>
              <w:t>沉沙池</w:t>
            </w:r>
          </w:p>
        </w:tc>
        <w:tc>
          <w:tcPr>
            <w:tcW w:w="312" w:type="pct"/>
            <w:noWrap w:val="0"/>
            <w:vAlign w:val="center"/>
          </w:tcPr>
          <w:p w14:paraId="5618F92F">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座</w:t>
            </w:r>
          </w:p>
        </w:tc>
        <w:tc>
          <w:tcPr>
            <w:tcW w:w="336" w:type="pct"/>
            <w:noWrap w:val="0"/>
            <w:vAlign w:val="center"/>
          </w:tcPr>
          <w:p w14:paraId="605F77EA">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9</w:t>
            </w:r>
          </w:p>
        </w:tc>
        <w:tc>
          <w:tcPr>
            <w:tcW w:w="739" w:type="pct"/>
            <w:vMerge w:val="continue"/>
            <w:noWrap w:val="0"/>
            <w:vAlign w:val="center"/>
          </w:tcPr>
          <w:p w14:paraId="7850B119">
            <w:pPr>
              <w:pStyle w:val="27"/>
              <w:jc w:val="center"/>
              <w:rPr>
                <w:rFonts w:hint="default" w:ascii="Times New Roman" w:hAnsi="Times New Roman" w:eastAsia="宋体" w:cs="Times New Roman"/>
                <w:color w:val="auto"/>
                <w:spacing w:val="-4"/>
              </w:rPr>
            </w:pPr>
          </w:p>
        </w:tc>
        <w:tc>
          <w:tcPr>
            <w:tcW w:w="2132" w:type="pct"/>
            <w:noWrap w:val="0"/>
            <w:vAlign w:val="center"/>
          </w:tcPr>
          <w:p w14:paraId="49F09B40">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边沟转弯及末端</w:t>
            </w:r>
          </w:p>
        </w:tc>
        <w:tc>
          <w:tcPr>
            <w:tcW w:w="578" w:type="pct"/>
            <w:vMerge w:val="continue"/>
            <w:noWrap w:val="0"/>
            <w:vAlign w:val="center"/>
          </w:tcPr>
          <w:p w14:paraId="638C086A">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7635098A">
            <w:pPr>
              <w:pStyle w:val="27"/>
              <w:jc w:val="center"/>
              <w:rPr>
                <w:rFonts w:hint="default" w:ascii="Times New Roman" w:hAnsi="Times New Roman" w:eastAsia="宋体" w:cs="Times New Roman"/>
                <w:color w:val="auto"/>
                <w:sz w:val="21"/>
                <w:szCs w:val="21"/>
              </w:rPr>
            </w:pPr>
          </w:p>
        </w:tc>
      </w:tr>
      <w:tr w14:paraId="27F68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E556668">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565C9D85">
            <w:pPr>
              <w:pStyle w:val="27"/>
              <w:jc w:val="center"/>
              <w:rPr>
                <w:rFonts w:hint="default" w:ascii="Times New Roman" w:hAnsi="Times New Roman" w:eastAsia="宋体" w:cs="Times New Roman"/>
                <w:color w:val="auto"/>
                <w:sz w:val="21"/>
                <w:szCs w:val="21"/>
              </w:rPr>
            </w:pPr>
          </w:p>
        </w:tc>
        <w:tc>
          <w:tcPr>
            <w:tcW w:w="280" w:type="pct"/>
            <w:noWrap w:val="0"/>
            <w:vAlign w:val="center"/>
          </w:tcPr>
          <w:p w14:paraId="0DB2ED79">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挂铁丝网喷有机基材</w:t>
            </w:r>
          </w:p>
        </w:tc>
        <w:tc>
          <w:tcPr>
            <w:tcW w:w="312" w:type="pct"/>
            <w:noWrap w:val="0"/>
            <w:vAlign w:val="center"/>
          </w:tcPr>
          <w:p w14:paraId="4BE97B1E">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m</w:t>
            </w:r>
            <w:r>
              <w:rPr>
                <w:rFonts w:hint="default" w:ascii="Times New Roman" w:hAnsi="Times New Roman" w:eastAsia="宋体" w:cs="Times New Roman"/>
                <w:color w:val="auto"/>
                <w:spacing w:val="-4"/>
                <w:vertAlign w:val="superscript"/>
              </w:rPr>
              <w:t>2</w:t>
            </w:r>
          </w:p>
        </w:tc>
        <w:tc>
          <w:tcPr>
            <w:tcW w:w="336" w:type="pct"/>
            <w:noWrap w:val="0"/>
            <w:vAlign w:val="center"/>
          </w:tcPr>
          <w:p w14:paraId="0F88691B">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12787</w:t>
            </w:r>
          </w:p>
        </w:tc>
        <w:tc>
          <w:tcPr>
            <w:tcW w:w="739" w:type="pct"/>
            <w:vMerge w:val="continue"/>
            <w:noWrap w:val="0"/>
            <w:vAlign w:val="center"/>
          </w:tcPr>
          <w:p w14:paraId="731B495E">
            <w:pPr>
              <w:pStyle w:val="27"/>
              <w:jc w:val="center"/>
              <w:rPr>
                <w:rFonts w:hint="default" w:ascii="Times New Roman" w:hAnsi="Times New Roman" w:eastAsia="宋体" w:cs="Times New Roman"/>
                <w:color w:val="auto"/>
                <w:spacing w:val="-4"/>
              </w:rPr>
            </w:pPr>
          </w:p>
        </w:tc>
        <w:tc>
          <w:tcPr>
            <w:tcW w:w="2132" w:type="pct"/>
            <w:noWrap w:val="0"/>
            <w:vAlign w:val="center"/>
          </w:tcPr>
          <w:p w14:paraId="072E1646">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整体边坡稳定，坡比不陡于1</w:t>
            </w:r>
            <w:r>
              <w:rPr>
                <w:rFonts w:hint="eastAsia" w:eastAsia="宋体" w:cs="Times New Roman"/>
                <w:color w:val="auto"/>
                <w:spacing w:val="-4"/>
                <w:lang w:eastAsia="zh-CN"/>
              </w:rPr>
              <w:t>:</w:t>
            </w:r>
            <w:r>
              <w:rPr>
                <w:rFonts w:hint="default" w:ascii="Times New Roman" w:hAnsi="Times New Roman" w:eastAsia="宋体" w:cs="Times New Roman"/>
                <w:color w:val="auto"/>
                <w:spacing w:val="-4"/>
              </w:rPr>
              <w:t>0.75的砂泥岩互层边坡或边坡整体稳定，土建</w:t>
            </w:r>
            <w:r>
              <w:rPr>
                <w:rFonts w:hint="eastAsia" w:eastAsia="宋体" w:cs="Times New Roman"/>
                <w:color w:val="auto"/>
                <w:spacing w:val="-4"/>
                <w:lang w:eastAsia="zh-CN"/>
              </w:rPr>
              <w:t>未</w:t>
            </w:r>
            <w:r>
              <w:rPr>
                <w:rFonts w:hint="default" w:ascii="Times New Roman" w:hAnsi="Times New Roman" w:eastAsia="宋体" w:cs="Times New Roman"/>
                <w:color w:val="auto"/>
                <w:spacing w:val="-4"/>
              </w:rPr>
              <w:t>采取工程防护措施，但岩体较为破碎的粉质泥岩、泥质砂岩（砂质泥岩）以及粉砂岩边坡</w:t>
            </w:r>
          </w:p>
        </w:tc>
        <w:tc>
          <w:tcPr>
            <w:tcW w:w="578" w:type="pct"/>
            <w:vMerge w:val="continue"/>
            <w:noWrap w:val="0"/>
            <w:vAlign w:val="center"/>
          </w:tcPr>
          <w:p w14:paraId="1EE8B24D">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25B09D4D">
            <w:pPr>
              <w:pStyle w:val="27"/>
              <w:jc w:val="center"/>
              <w:rPr>
                <w:rFonts w:hint="default" w:ascii="Times New Roman" w:hAnsi="Times New Roman" w:eastAsia="宋体" w:cs="Times New Roman"/>
                <w:color w:val="auto"/>
                <w:sz w:val="21"/>
                <w:szCs w:val="21"/>
              </w:rPr>
            </w:pPr>
          </w:p>
        </w:tc>
      </w:tr>
      <w:tr w14:paraId="4B7134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29DF4827">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19C37806">
            <w:pPr>
              <w:pStyle w:val="27"/>
              <w:jc w:val="center"/>
              <w:rPr>
                <w:rFonts w:hint="default" w:ascii="Times New Roman" w:hAnsi="Times New Roman" w:eastAsia="宋体" w:cs="Times New Roman"/>
                <w:color w:val="auto"/>
                <w:sz w:val="21"/>
                <w:szCs w:val="21"/>
              </w:rPr>
            </w:pPr>
          </w:p>
        </w:tc>
        <w:tc>
          <w:tcPr>
            <w:tcW w:w="280" w:type="pct"/>
            <w:noWrap w:val="0"/>
            <w:vAlign w:val="center"/>
          </w:tcPr>
          <w:p w14:paraId="366F7708">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菱形网格护坡</w:t>
            </w:r>
          </w:p>
        </w:tc>
        <w:tc>
          <w:tcPr>
            <w:tcW w:w="312" w:type="pct"/>
            <w:noWrap w:val="0"/>
            <w:vAlign w:val="center"/>
          </w:tcPr>
          <w:p w14:paraId="672444C0">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m</w:t>
            </w:r>
            <w:r>
              <w:rPr>
                <w:rFonts w:hint="default" w:ascii="Times New Roman" w:hAnsi="Times New Roman" w:eastAsia="宋体" w:cs="Times New Roman"/>
                <w:color w:val="auto"/>
                <w:spacing w:val="-4"/>
                <w:vertAlign w:val="superscript"/>
              </w:rPr>
              <w:t>2</w:t>
            </w:r>
          </w:p>
        </w:tc>
        <w:tc>
          <w:tcPr>
            <w:tcW w:w="336" w:type="pct"/>
            <w:noWrap w:val="0"/>
            <w:vAlign w:val="center"/>
          </w:tcPr>
          <w:p w14:paraId="31721D0B">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7538</w:t>
            </w:r>
          </w:p>
        </w:tc>
        <w:tc>
          <w:tcPr>
            <w:tcW w:w="739" w:type="pct"/>
            <w:vMerge w:val="continue"/>
            <w:noWrap w:val="0"/>
            <w:vAlign w:val="center"/>
          </w:tcPr>
          <w:p w14:paraId="7CCF1380">
            <w:pPr>
              <w:pStyle w:val="27"/>
              <w:jc w:val="center"/>
              <w:rPr>
                <w:rFonts w:hint="default" w:ascii="Times New Roman" w:hAnsi="Times New Roman" w:eastAsia="宋体" w:cs="Times New Roman"/>
                <w:color w:val="auto"/>
                <w:spacing w:val="-4"/>
              </w:rPr>
            </w:pPr>
          </w:p>
        </w:tc>
        <w:tc>
          <w:tcPr>
            <w:tcW w:w="2132" w:type="pct"/>
            <w:noWrap w:val="0"/>
            <w:vAlign w:val="center"/>
          </w:tcPr>
          <w:p w14:paraId="0A4BA008">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边坡高度＞4m的填方边坡</w:t>
            </w:r>
          </w:p>
        </w:tc>
        <w:tc>
          <w:tcPr>
            <w:tcW w:w="578" w:type="pct"/>
            <w:vMerge w:val="continue"/>
            <w:noWrap w:val="0"/>
            <w:vAlign w:val="center"/>
          </w:tcPr>
          <w:p w14:paraId="08D0BB09">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35B3E13F">
            <w:pPr>
              <w:pStyle w:val="27"/>
              <w:jc w:val="center"/>
              <w:rPr>
                <w:rFonts w:hint="default" w:ascii="Times New Roman" w:hAnsi="Times New Roman" w:eastAsia="宋体" w:cs="Times New Roman"/>
                <w:color w:val="auto"/>
                <w:sz w:val="21"/>
                <w:szCs w:val="21"/>
              </w:rPr>
            </w:pPr>
          </w:p>
        </w:tc>
      </w:tr>
      <w:tr w14:paraId="2AA3B0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FD6022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1466EB02">
            <w:pPr>
              <w:pStyle w:val="27"/>
              <w:jc w:val="center"/>
              <w:rPr>
                <w:rFonts w:hint="default" w:ascii="Times New Roman" w:hAnsi="Times New Roman" w:eastAsia="宋体" w:cs="Times New Roman"/>
                <w:color w:val="auto"/>
                <w:sz w:val="21"/>
                <w:szCs w:val="21"/>
              </w:rPr>
            </w:pPr>
          </w:p>
        </w:tc>
        <w:tc>
          <w:tcPr>
            <w:tcW w:w="280" w:type="pct"/>
            <w:noWrap w:val="0"/>
            <w:vAlign w:val="center"/>
          </w:tcPr>
          <w:p w14:paraId="6F90895A">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拱形骨架护坡</w:t>
            </w:r>
          </w:p>
        </w:tc>
        <w:tc>
          <w:tcPr>
            <w:tcW w:w="312" w:type="pct"/>
            <w:noWrap w:val="0"/>
            <w:vAlign w:val="center"/>
          </w:tcPr>
          <w:p w14:paraId="5ABFF3D1">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m</w:t>
            </w:r>
            <w:r>
              <w:rPr>
                <w:rFonts w:hint="default" w:ascii="Times New Roman" w:hAnsi="Times New Roman" w:eastAsia="宋体" w:cs="Times New Roman"/>
                <w:color w:val="auto"/>
                <w:spacing w:val="-4"/>
                <w:vertAlign w:val="superscript"/>
              </w:rPr>
              <w:t>2</w:t>
            </w:r>
          </w:p>
        </w:tc>
        <w:tc>
          <w:tcPr>
            <w:tcW w:w="336" w:type="pct"/>
            <w:noWrap w:val="0"/>
            <w:vAlign w:val="center"/>
          </w:tcPr>
          <w:p w14:paraId="3DB692FA">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15326</w:t>
            </w:r>
          </w:p>
        </w:tc>
        <w:tc>
          <w:tcPr>
            <w:tcW w:w="739" w:type="pct"/>
            <w:vMerge w:val="continue"/>
            <w:noWrap w:val="0"/>
            <w:vAlign w:val="center"/>
          </w:tcPr>
          <w:p w14:paraId="7DB626DA">
            <w:pPr>
              <w:pStyle w:val="27"/>
              <w:jc w:val="center"/>
              <w:rPr>
                <w:rFonts w:hint="default" w:ascii="Times New Roman" w:hAnsi="Times New Roman" w:eastAsia="宋体" w:cs="Times New Roman"/>
                <w:color w:val="auto"/>
                <w:spacing w:val="-4"/>
              </w:rPr>
            </w:pPr>
          </w:p>
        </w:tc>
        <w:tc>
          <w:tcPr>
            <w:tcW w:w="2132" w:type="pct"/>
            <w:noWrap w:val="0"/>
            <w:vAlign w:val="center"/>
          </w:tcPr>
          <w:p w14:paraId="0BE8CB92">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边坡高度＞4m，且为超高单向横坡平曲线内侧边坡、凹形竖曲线底部两侧边坡以及桥头路堤（设置长度≥23m）两侧边坡</w:t>
            </w:r>
          </w:p>
        </w:tc>
        <w:tc>
          <w:tcPr>
            <w:tcW w:w="578" w:type="pct"/>
            <w:vMerge w:val="continue"/>
            <w:noWrap w:val="0"/>
            <w:vAlign w:val="center"/>
          </w:tcPr>
          <w:p w14:paraId="12612AF4">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9243491">
            <w:pPr>
              <w:pStyle w:val="27"/>
              <w:jc w:val="center"/>
              <w:rPr>
                <w:rFonts w:hint="default" w:ascii="Times New Roman" w:hAnsi="Times New Roman" w:eastAsia="宋体" w:cs="Times New Roman"/>
                <w:color w:val="auto"/>
                <w:sz w:val="21"/>
                <w:szCs w:val="21"/>
              </w:rPr>
            </w:pPr>
          </w:p>
        </w:tc>
      </w:tr>
      <w:tr w14:paraId="73E062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DCCD3E1">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5FD014C4">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8F71812">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表土剥离</w:t>
            </w:r>
          </w:p>
        </w:tc>
        <w:tc>
          <w:tcPr>
            <w:tcW w:w="312" w:type="pct"/>
            <w:noWrap w:val="0"/>
            <w:vAlign w:val="center"/>
          </w:tcPr>
          <w:p w14:paraId="4CFAF3FB">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万m</w:t>
            </w:r>
            <w:r>
              <w:rPr>
                <w:rFonts w:hint="default" w:ascii="Times New Roman" w:hAnsi="Times New Roman" w:eastAsia="宋体" w:cs="Times New Roman"/>
                <w:color w:val="auto"/>
                <w:spacing w:val="-4"/>
                <w:vertAlign w:val="superscript"/>
              </w:rPr>
              <w:t>3</w:t>
            </w:r>
          </w:p>
        </w:tc>
        <w:tc>
          <w:tcPr>
            <w:tcW w:w="336" w:type="pct"/>
            <w:noWrap w:val="0"/>
            <w:vAlign w:val="center"/>
          </w:tcPr>
          <w:p w14:paraId="150B29B7">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2.31</w:t>
            </w:r>
          </w:p>
        </w:tc>
        <w:tc>
          <w:tcPr>
            <w:tcW w:w="739" w:type="pct"/>
            <w:noWrap w:val="0"/>
            <w:vAlign w:val="center"/>
          </w:tcPr>
          <w:p w14:paraId="573AAABB">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2019年2月</w:t>
            </w:r>
          </w:p>
          <w:p w14:paraId="5EE48F07">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~2019年6月</w:t>
            </w:r>
          </w:p>
        </w:tc>
        <w:tc>
          <w:tcPr>
            <w:tcW w:w="2132" w:type="pct"/>
            <w:noWrap w:val="0"/>
            <w:vAlign w:val="center"/>
          </w:tcPr>
          <w:p w14:paraId="5BD7E076">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占地区耕地</w:t>
            </w:r>
          </w:p>
        </w:tc>
        <w:tc>
          <w:tcPr>
            <w:tcW w:w="578" w:type="pct"/>
            <w:vMerge w:val="continue"/>
            <w:noWrap w:val="0"/>
            <w:vAlign w:val="center"/>
          </w:tcPr>
          <w:p w14:paraId="5A013B39">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560AB748">
            <w:pPr>
              <w:pStyle w:val="27"/>
              <w:jc w:val="center"/>
              <w:rPr>
                <w:rFonts w:hint="default" w:ascii="Times New Roman" w:hAnsi="Times New Roman" w:eastAsia="宋体" w:cs="Times New Roman"/>
                <w:color w:val="auto"/>
                <w:sz w:val="21"/>
                <w:szCs w:val="21"/>
              </w:rPr>
            </w:pPr>
          </w:p>
        </w:tc>
      </w:tr>
      <w:tr w14:paraId="344E4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C2CF8AF">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39A6951E">
            <w:pPr>
              <w:pStyle w:val="27"/>
              <w:jc w:val="center"/>
              <w:rPr>
                <w:rFonts w:hint="default" w:ascii="Times New Roman" w:hAnsi="Times New Roman" w:eastAsia="宋体" w:cs="Times New Roman"/>
                <w:color w:val="auto"/>
                <w:sz w:val="21"/>
                <w:szCs w:val="21"/>
              </w:rPr>
            </w:pPr>
          </w:p>
        </w:tc>
        <w:tc>
          <w:tcPr>
            <w:tcW w:w="280" w:type="pct"/>
            <w:noWrap w:val="0"/>
            <w:vAlign w:val="center"/>
          </w:tcPr>
          <w:p w14:paraId="70051FBE">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表土回覆</w:t>
            </w:r>
          </w:p>
        </w:tc>
        <w:tc>
          <w:tcPr>
            <w:tcW w:w="312" w:type="pct"/>
            <w:noWrap w:val="0"/>
            <w:vAlign w:val="center"/>
          </w:tcPr>
          <w:p w14:paraId="432B0630">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万m</w:t>
            </w:r>
            <w:r>
              <w:rPr>
                <w:rFonts w:hint="default" w:ascii="Times New Roman" w:hAnsi="Times New Roman" w:eastAsia="宋体" w:cs="Times New Roman"/>
                <w:color w:val="auto"/>
                <w:spacing w:val="-4"/>
                <w:vertAlign w:val="superscript"/>
              </w:rPr>
              <w:t>3</w:t>
            </w:r>
          </w:p>
        </w:tc>
        <w:tc>
          <w:tcPr>
            <w:tcW w:w="336" w:type="pct"/>
            <w:noWrap w:val="0"/>
            <w:vAlign w:val="center"/>
          </w:tcPr>
          <w:p w14:paraId="7B87A4FE">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2.31</w:t>
            </w:r>
          </w:p>
        </w:tc>
        <w:tc>
          <w:tcPr>
            <w:tcW w:w="739" w:type="pct"/>
            <w:noWrap w:val="0"/>
            <w:vAlign w:val="center"/>
          </w:tcPr>
          <w:p w14:paraId="69CC8D6F">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2020年2月</w:t>
            </w:r>
          </w:p>
          <w:p w14:paraId="67A05454">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~2020年12月</w:t>
            </w:r>
          </w:p>
        </w:tc>
        <w:tc>
          <w:tcPr>
            <w:tcW w:w="2132" w:type="pct"/>
            <w:noWrap w:val="0"/>
            <w:vAlign w:val="center"/>
          </w:tcPr>
          <w:p w14:paraId="76F5751A">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可绿化的挖填边坡，中央分隔带，景观绿化区域，匝道桥梁下方施工扰动可绿化区</w:t>
            </w:r>
          </w:p>
        </w:tc>
        <w:tc>
          <w:tcPr>
            <w:tcW w:w="578" w:type="pct"/>
            <w:vMerge w:val="continue"/>
            <w:noWrap w:val="0"/>
            <w:vAlign w:val="center"/>
          </w:tcPr>
          <w:p w14:paraId="6937CD45">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03DDB55B">
            <w:pPr>
              <w:pStyle w:val="27"/>
              <w:jc w:val="center"/>
              <w:rPr>
                <w:rFonts w:hint="default" w:ascii="Times New Roman" w:hAnsi="Times New Roman" w:eastAsia="宋体" w:cs="Times New Roman"/>
                <w:color w:val="auto"/>
                <w:sz w:val="21"/>
                <w:szCs w:val="21"/>
              </w:rPr>
            </w:pPr>
          </w:p>
        </w:tc>
      </w:tr>
      <w:tr w14:paraId="408A04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17FB63C">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136DDB2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80" w:type="pct"/>
            <w:noWrap w:val="0"/>
            <w:vAlign w:val="center"/>
          </w:tcPr>
          <w:p w14:paraId="57B422A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直接喷播植草</w:t>
            </w:r>
          </w:p>
        </w:tc>
        <w:tc>
          <w:tcPr>
            <w:tcW w:w="312" w:type="pct"/>
            <w:noWrap w:val="0"/>
            <w:vAlign w:val="center"/>
          </w:tcPr>
          <w:p w14:paraId="75E3331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m²</w:t>
            </w:r>
          </w:p>
        </w:tc>
        <w:tc>
          <w:tcPr>
            <w:tcW w:w="336" w:type="pct"/>
            <w:noWrap w:val="0"/>
            <w:vAlign w:val="center"/>
          </w:tcPr>
          <w:p w14:paraId="1F0D3D63">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40796</w:t>
            </w:r>
          </w:p>
        </w:tc>
        <w:tc>
          <w:tcPr>
            <w:tcW w:w="739" w:type="pct"/>
            <w:noWrap w:val="0"/>
            <w:vAlign w:val="center"/>
          </w:tcPr>
          <w:p w14:paraId="60AFA141">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2020年3月</w:t>
            </w:r>
          </w:p>
          <w:p w14:paraId="4B29EAFF">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~2020年12月</w:t>
            </w:r>
          </w:p>
        </w:tc>
        <w:tc>
          <w:tcPr>
            <w:tcW w:w="2132" w:type="pct"/>
            <w:noWrap w:val="0"/>
            <w:vAlign w:val="center"/>
          </w:tcPr>
          <w:p w14:paraId="20F008F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rPr>
              <w:t>坡比缓于1</w:t>
            </w:r>
            <w:r>
              <w:rPr>
                <w:rFonts w:hint="eastAsia" w:eastAsia="宋体" w:cs="Times New Roman"/>
                <w:color w:val="auto"/>
                <w:spacing w:val="-4"/>
                <w:lang w:eastAsia="zh-CN"/>
              </w:rPr>
              <w:t>:</w:t>
            </w:r>
            <w:r>
              <w:rPr>
                <w:rFonts w:hint="default" w:ascii="Times New Roman" w:hAnsi="Times New Roman" w:eastAsia="宋体" w:cs="Times New Roman"/>
                <w:color w:val="auto"/>
                <w:spacing w:val="-4"/>
              </w:rPr>
              <w:t>1，边坡总高度小于3m的土质边坡及边坡高度≤4m的</w:t>
            </w:r>
            <w:r>
              <w:rPr>
                <w:rFonts w:hint="default" w:ascii="Times New Roman" w:hAnsi="Times New Roman" w:eastAsia="宋体" w:cs="Times New Roman"/>
                <w:color w:val="auto"/>
                <w:spacing w:val="-2"/>
              </w:rPr>
              <w:t>填方边坡</w:t>
            </w:r>
          </w:p>
        </w:tc>
        <w:tc>
          <w:tcPr>
            <w:tcW w:w="578" w:type="pct"/>
            <w:vMerge w:val="continue"/>
            <w:noWrap w:val="0"/>
            <w:vAlign w:val="center"/>
          </w:tcPr>
          <w:p w14:paraId="5217532D">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53B478A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1BDF7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50B822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1ADFB017">
            <w:pPr>
              <w:pStyle w:val="27"/>
              <w:jc w:val="center"/>
              <w:rPr>
                <w:rFonts w:hint="default" w:ascii="Times New Roman" w:hAnsi="Times New Roman" w:eastAsia="宋体" w:cs="Times New Roman"/>
                <w:color w:val="auto"/>
                <w:sz w:val="21"/>
                <w:szCs w:val="21"/>
              </w:rPr>
            </w:pPr>
          </w:p>
        </w:tc>
        <w:tc>
          <w:tcPr>
            <w:tcW w:w="280" w:type="pct"/>
            <w:noWrap w:val="0"/>
            <w:vAlign w:val="center"/>
          </w:tcPr>
          <w:p w14:paraId="2AC1495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中央分隔绿化带</w:t>
            </w:r>
          </w:p>
        </w:tc>
        <w:tc>
          <w:tcPr>
            <w:tcW w:w="312" w:type="pct"/>
            <w:noWrap w:val="0"/>
            <w:vAlign w:val="center"/>
          </w:tcPr>
          <w:p w14:paraId="5CCF489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hm²</w:t>
            </w:r>
          </w:p>
        </w:tc>
        <w:tc>
          <w:tcPr>
            <w:tcW w:w="336" w:type="pct"/>
            <w:noWrap w:val="0"/>
            <w:vAlign w:val="center"/>
          </w:tcPr>
          <w:p w14:paraId="716C9841">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0.21</w:t>
            </w:r>
          </w:p>
        </w:tc>
        <w:tc>
          <w:tcPr>
            <w:tcW w:w="739" w:type="pct"/>
            <w:vMerge w:val="restart"/>
            <w:noWrap w:val="0"/>
            <w:vAlign w:val="center"/>
          </w:tcPr>
          <w:p w14:paraId="220A7A9D">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2020年11月</w:t>
            </w:r>
          </w:p>
          <w:p w14:paraId="34DAC4B2">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~2020年12月</w:t>
            </w:r>
          </w:p>
        </w:tc>
        <w:tc>
          <w:tcPr>
            <w:tcW w:w="2132" w:type="pct"/>
            <w:noWrap w:val="0"/>
            <w:vAlign w:val="center"/>
          </w:tcPr>
          <w:p w14:paraId="01854FE4">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整体式路基中央</w:t>
            </w:r>
          </w:p>
        </w:tc>
        <w:tc>
          <w:tcPr>
            <w:tcW w:w="578" w:type="pct"/>
            <w:vMerge w:val="continue"/>
            <w:noWrap w:val="0"/>
            <w:vAlign w:val="center"/>
          </w:tcPr>
          <w:p w14:paraId="6B30D4ED">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08C1D747">
            <w:pPr>
              <w:pStyle w:val="27"/>
              <w:jc w:val="center"/>
              <w:rPr>
                <w:rFonts w:hint="default" w:ascii="Times New Roman" w:hAnsi="Times New Roman" w:eastAsia="宋体" w:cs="Times New Roman"/>
                <w:color w:val="auto"/>
                <w:sz w:val="21"/>
                <w:szCs w:val="21"/>
              </w:rPr>
            </w:pPr>
          </w:p>
        </w:tc>
      </w:tr>
      <w:tr w14:paraId="49D243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34DB0FF2">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7A69F1E9">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9B1B82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景观绿化</w:t>
            </w:r>
          </w:p>
        </w:tc>
        <w:tc>
          <w:tcPr>
            <w:tcW w:w="312" w:type="pct"/>
            <w:noWrap w:val="0"/>
            <w:vAlign w:val="center"/>
          </w:tcPr>
          <w:p w14:paraId="2D44846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hm²</w:t>
            </w:r>
          </w:p>
        </w:tc>
        <w:tc>
          <w:tcPr>
            <w:tcW w:w="336" w:type="pct"/>
            <w:noWrap w:val="0"/>
            <w:vAlign w:val="center"/>
          </w:tcPr>
          <w:p w14:paraId="45CB37AC">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4.12</w:t>
            </w:r>
          </w:p>
        </w:tc>
        <w:tc>
          <w:tcPr>
            <w:tcW w:w="739" w:type="pct"/>
            <w:vMerge w:val="continue"/>
            <w:noWrap w:val="0"/>
            <w:vAlign w:val="center"/>
          </w:tcPr>
          <w:p w14:paraId="68048CC1">
            <w:pPr>
              <w:pStyle w:val="27"/>
              <w:jc w:val="center"/>
              <w:rPr>
                <w:rFonts w:hint="default" w:ascii="Times New Roman" w:hAnsi="Times New Roman" w:eastAsia="宋体" w:cs="Times New Roman"/>
                <w:color w:val="auto"/>
                <w:spacing w:val="-4"/>
              </w:rPr>
            </w:pPr>
          </w:p>
        </w:tc>
        <w:tc>
          <w:tcPr>
            <w:tcW w:w="2132" w:type="pct"/>
            <w:noWrap w:val="0"/>
            <w:vAlign w:val="center"/>
          </w:tcPr>
          <w:p w14:paraId="3DA9B72C">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互通工程占地范围内可绿化区</w:t>
            </w:r>
          </w:p>
        </w:tc>
        <w:tc>
          <w:tcPr>
            <w:tcW w:w="578" w:type="pct"/>
            <w:vMerge w:val="continue"/>
            <w:noWrap w:val="0"/>
            <w:vAlign w:val="center"/>
          </w:tcPr>
          <w:p w14:paraId="3043F000">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7CB709C">
            <w:pPr>
              <w:pStyle w:val="27"/>
              <w:jc w:val="center"/>
              <w:rPr>
                <w:rFonts w:hint="default" w:ascii="Times New Roman" w:hAnsi="Times New Roman" w:eastAsia="宋体" w:cs="Times New Roman"/>
                <w:color w:val="auto"/>
                <w:sz w:val="21"/>
                <w:szCs w:val="21"/>
              </w:rPr>
            </w:pPr>
          </w:p>
        </w:tc>
      </w:tr>
      <w:tr w14:paraId="339AE1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C369BE8">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875305E">
            <w:pPr>
              <w:pStyle w:val="27"/>
              <w:jc w:val="center"/>
              <w:rPr>
                <w:rFonts w:hint="default" w:ascii="Times New Roman" w:hAnsi="Times New Roman" w:eastAsia="宋体" w:cs="Times New Roman"/>
                <w:color w:val="auto"/>
                <w:sz w:val="21"/>
                <w:szCs w:val="21"/>
              </w:rPr>
            </w:pPr>
          </w:p>
        </w:tc>
        <w:tc>
          <w:tcPr>
            <w:tcW w:w="280" w:type="pct"/>
            <w:noWrap w:val="0"/>
            <w:vAlign w:val="center"/>
          </w:tcPr>
          <w:p w14:paraId="2FBC3FD6">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桥下植被恢复</w:t>
            </w:r>
          </w:p>
        </w:tc>
        <w:tc>
          <w:tcPr>
            <w:tcW w:w="312" w:type="pct"/>
            <w:noWrap w:val="0"/>
            <w:vAlign w:val="center"/>
          </w:tcPr>
          <w:p w14:paraId="5377DA9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hm²</w:t>
            </w:r>
          </w:p>
        </w:tc>
        <w:tc>
          <w:tcPr>
            <w:tcW w:w="336" w:type="pct"/>
            <w:noWrap w:val="0"/>
            <w:vAlign w:val="center"/>
          </w:tcPr>
          <w:p w14:paraId="20B6449A">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1.18</w:t>
            </w:r>
          </w:p>
        </w:tc>
        <w:tc>
          <w:tcPr>
            <w:tcW w:w="739" w:type="pct"/>
            <w:noWrap w:val="0"/>
            <w:vAlign w:val="center"/>
          </w:tcPr>
          <w:p w14:paraId="5DB5B10A">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2020年3月</w:t>
            </w:r>
          </w:p>
          <w:p w14:paraId="4FDB08AF">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~2020年12月</w:t>
            </w:r>
          </w:p>
        </w:tc>
        <w:tc>
          <w:tcPr>
            <w:tcW w:w="2132" w:type="pct"/>
            <w:noWrap w:val="0"/>
            <w:vAlign w:val="center"/>
          </w:tcPr>
          <w:p w14:paraId="4E79ACE0">
            <w:pPr>
              <w:pStyle w:val="27"/>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匝道桥梁下方施工扰动可绿化区</w:t>
            </w:r>
          </w:p>
        </w:tc>
        <w:tc>
          <w:tcPr>
            <w:tcW w:w="578" w:type="pct"/>
            <w:vMerge w:val="continue"/>
            <w:noWrap w:val="0"/>
            <w:vAlign w:val="center"/>
          </w:tcPr>
          <w:p w14:paraId="66640DDB">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46386FF6">
            <w:pPr>
              <w:pStyle w:val="27"/>
              <w:jc w:val="center"/>
              <w:rPr>
                <w:rFonts w:hint="default" w:ascii="Times New Roman" w:hAnsi="Times New Roman" w:eastAsia="宋体" w:cs="Times New Roman"/>
                <w:color w:val="auto"/>
                <w:sz w:val="21"/>
                <w:szCs w:val="21"/>
              </w:rPr>
            </w:pPr>
          </w:p>
        </w:tc>
      </w:tr>
      <w:tr w14:paraId="2DB881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270" w:type="pct"/>
            <w:vMerge w:val="continue"/>
            <w:tcBorders>
              <w:left w:val="single" w:color="000000" w:sz="10" w:space="0"/>
            </w:tcBorders>
            <w:noWrap w:val="0"/>
            <w:vAlign w:val="center"/>
          </w:tcPr>
          <w:p w14:paraId="4487D651">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2B65065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80" w:type="pct"/>
            <w:noWrap w:val="0"/>
            <w:vAlign w:val="center"/>
          </w:tcPr>
          <w:p w14:paraId="2B1B4641">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防雨布遮盖</w:t>
            </w:r>
          </w:p>
        </w:tc>
        <w:tc>
          <w:tcPr>
            <w:tcW w:w="312" w:type="pct"/>
            <w:noWrap w:val="0"/>
            <w:vAlign w:val="center"/>
          </w:tcPr>
          <w:p w14:paraId="4BD878FA">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c>
          <w:tcPr>
            <w:tcW w:w="336" w:type="pct"/>
            <w:noWrap w:val="0"/>
            <w:vAlign w:val="center"/>
          </w:tcPr>
          <w:p w14:paraId="1771D3DF">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21400</w:t>
            </w:r>
          </w:p>
        </w:tc>
        <w:tc>
          <w:tcPr>
            <w:tcW w:w="739" w:type="pct"/>
            <w:vMerge w:val="restart"/>
            <w:noWrap w:val="0"/>
            <w:vAlign w:val="center"/>
          </w:tcPr>
          <w:p w14:paraId="5E94BD87">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2019年5月~10月、2020年5月~10月、2020年12月</w:t>
            </w:r>
          </w:p>
        </w:tc>
        <w:tc>
          <w:tcPr>
            <w:tcW w:w="2132" w:type="pct"/>
            <w:vMerge w:val="restart"/>
            <w:noWrap w:val="0"/>
            <w:vAlign w:val="center"/>
          </w:tcPr>
          <w:p w14:paraId="4F3C2D39">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不能及时完成防护的路基边坡</w:t>
            </w:r>
          </w:p>
        </w:tc>
        <w:tc>
          <w:tcPr>
            <w:tcW w:w="578" w:type="pct"/>
            <w:vMerge w:val="continue"/>
            <w:noWrap w:val="0"/>
            <w:vAlign w:val="center"/>
          </w:tcPr>
          <w:p w14:paraId="28B772F4">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1374559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7B6A0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70" w:type="pct"/>
            <w:vMerge w:val="continue"/>
            <w:tcBorders>
              <w:left w:val="single" w:color="000000" w:sz="10" w:space="0"/>
            </w:tcBorders>
            <w:noWrap w:val="0"/>
            <w:vAlign w:val="center"/>
          </w:tcPr>
          <w:p w14:paraId="4D87CBD5">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46352BC3">
            <w:pPr>
              <w:pStyle w:val="27"/>
              <w:jc w:val="center"/>
              <w:rPr>
                <w:rFonts w:hint="default" w:ascii="Times New Roman" w:hAnsi="Times New Roman" w:eastAsia="宋体" w:cs="Times New Roman"/>
                <w:color w:val="auto"/>
                <w:sz w:val="21"/>
                <w:szCs w:val="21"/>
              </w:rPr>
            </w:pPr>
          </w:p>
        </w:tc>
        <w:tc>
          <w:tcPr>
            <w:tcW w:w="280" w:type="pct"/>
            <w:vMerge w:val="restart"/>
            <w:noWrap w:val="0"/>
            <w:vAlign w:val="center"/>
          </w:tcPr>
          <w:p w14:paraId="199C974E">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临时沉浆池</w:t>
            </w:r>
          </w:p>
        </w:tc>
        <w:tc>
          <w:tcPr>
            <w:tcW w:w="312" w:type="pct"/>
            <w:vMerge w:val="restart"/>
            <w:noWrap w:val="0"/>
            <w:vAlign w:val="center"/>
          </w:tcPr>
          <w:p w14:paraId="342A4676">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座</w:t>
            </w:r>
          </w:p>
        </w:tc>
        <w:tc>
          <w:tcPr>
            <w:tcW w:w="336" w:type="pct"/>
            <w:vMerge w:val="restart"/>
            <w:noWrap w:val="0"/>
            <w:vAlign w:val="center"/>
          </w:tcPr>
          <w:p w14:paraId="4D3E025F">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38</w:t>
            </w:r>
          </w:p>
        </w:tc>
        <w:tc>
          <w:tcPr>
            <w:tcW w:w="739" w:type="pct"/>
            <w:vMerge w:val="continue"/>
            <w:noWrap w:val="0"/>
            <w:vAlign w:val="center"/>
          </w:tcPr>
          <w:p w14:paraId="18B42A33">
            <w:pPr>
              <w:pStyle w:val="27"/>
              <w:jc w:val="center"/>
              <w:rPr>
                <w:rFonts w:hint="default" w:ascii="Times New Roman" w:hAnsi="Times New Roman" w:eastAsia="宋体" w:cs="Times New Roman"/>
                <w:color w:val="auto"/>
                <w:sz w:val="21"/>
                <w:szCs w:val="21"/>
                <w:lang w:val="en-US" w:eastAsia="zh-CN"/>
              </w:rPr>
            </w:pPr>
          </w:p>
        </w:tc>
        <w:tc>
          <w:tcPr>
            <w:tcW w:w="2132" w:type="pct"/>
            <w:vMerge w:val="continue"/>
            <w:noWrap w:val="0"/>
            <w:vAlign w:val="center"/>
          </w:tcPr>
          <w:p w14:paraId="3546D919">
            <w:pPr>
              <w:pStyle w:val="27"/>
              <w:jc w:val="center"/>
              <w:rPr>
                <w:rFonts w:hint="default" w:ascii="Times New Roman" w:hAnsi="Times New Roman" w:eastAsia="宋体" w:cs="Times New Roman"/>
                <w:color w:val="auto"/>
                <w:sz w:val="21"/>
                <w:szCs w:val="21"/>
                <w:lang w:val="en-US" w:eastAsia="zh-CN"/>
              </w:rPr>
            </w:pPr>
          </w:p>
        </w:tc>
        <w:tc>
          <w:tcPr>
            <w:tcW w:w="578" w:type="pct"/>
            <w:vMerge w:val="continue"/>
            <w:noWrap w:val="0"/>
            <w:vAlign w:val="center"/>
          </w:tcPr>
          <w:p w14:paraId="321DECAD">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36BABC1D">
            <w:pPr>
              <w:pStyle w:val="27"/>
              <w:jc w:val="center"/>
              <w:rPr>
                <w:rFonts w:hint="default" w:ascii="Times New Roman" w:hAnsi="Times New Roman" w:eastAsia="宋体" w:cs="Times New Roman"/>
                <w:color w:val="auto"/>
                <w:sz w:val="21"/>
                <w:szCs w:val="21"/>
              </w:rPr>
            </w:pPr>
          </w:p>
        </w:tc>
      </w:tr>
      <w:tr w14:paraId="5DF0A9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7" w:hRule="atLeast"/>
        </w:trPr>
        <w:tc>
          <w:tcPr>
            <w:tcW w:w="270" w:type="pct"/>
            <w:vMerge w:val="continue"/>
            <w:tcBorders>
              <w:left w:val="single" w:color="000000" w:sz="10" w:space="0"/>
            </w:tcBorders>
            <w:noWrap w:val="0"/>
            <w:vAlign w:val="center"/>
          </w:tcPr>
          <w:p w14:paraId="08E6FDA9">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4975DB9D">
            <w:pPr>
              <w:pStyle w:val="27"/>
              <w:jc w:val="center"/>
              <w:rPr>
                <w:rFonts w:hint="default" w:ascii="Times New Roman" w:hAnsi="Times New Roman" w:eastAsia="宋体" w:cs="Times New Roman"/>
                <w:color w:val="auto"/>
                <w:sz w:val="21"/>
                <w:szCs w:val="21"/>
              </w:rPr>
            </w:pPr>
          </w:p>
        </w:tc>
        <w:tc>
          <w:tcPr>
            <w:tcW w:w="280" w:type="pct"/>
            <w:vMerge w:val="continue"/>
            <w:noWrap w:val="0"/>
            <w:vAlign w:val="center"/>
          </w:tcPr>
          <w:p w14:paraId="49706080">
            <w:pPr>
              <w:pStyle w:val="27"/>
              <w:jc w:val="center"/>
              <w:rPr>
                <w:rFonts w:hint="default" w:ascii="Times New Roman" w:hAnsi="Times New Roman" w:eastAsia="宋体" w:cs="Times New Roman"/>
                <w:color w:val="auto"/>
                <w:sz w:val="21"/>
                <w:szCs w:val="21"/>
                <w:lang w:val="en-US" w:eastAsia="zh-CN"/>
              </w:rPr>
            </w:pPr>
          </w:p>
        </w:tc>
        <w:tc>
          <w:tcPr>
            <w:tcW w:w="312" w:type="pct"/>
            <w:vMerge w:val="continue"/>
            <w:noWrap w:val="0"/>
            <w:vAlign w:val="center"/>
          </w:tcPr>
          <w:p w14:paraId="5A9D2E5E">
            <w:pPr>
              <w:pStyle w:val="27"/>
              <w:jc w:val="center"/>
              <w:rPr>
                <w:rFonts w:hint="default" w:ascii="Times New Roman" w:hAnsi="Times New Roman" w:eastAsia="宋体" w:cs="Times New Roman"/>
                <w:color w:val="auto"/>
                <w:sz w:val="21"/>
                <w:szCs w:val="21"/>
                <w:lang w:val="en-US" w:eastAsia="zh-CN"/>
              </w:rPr>
            </w:pPr>
          </w:p>
        </w:tc>
        <w:tc>
          <w:tcPr>
            <w:tcW w:w="336" w:type="pct"/>
            <w:vMerge w:val="continue"/>
            <w:noWrap w:val="0"/>
            <w:vAlign w:val="center"/>
          </w:tcPr>
          <w:p w14:paraId="7C48D7C0">
            <w:pPr>
              <w:pStyle w:val="27"/>
              <w:jc w:val="center"/>
              <w:rPr>
                <w:rFonts w:hint="default" w:ascii="Times New Roman" w:hAnsi="Times New Roman" w:eastAsia="宋体" w:cs="Times New Roman"/>
                <w:color w:val="auto"/>
                <w:sz w:val="21"/>
                <w:szCs w:val="21"/>
                <w:lang w:val="en-US" w:eastAsia="zh-CN"/>
              </w:rPr>
            </w:pPr>
          </w:p>
        </w:tc>
        <w:tc>
          <w:tcPr>
            <w:tcW w:w="739" w:type="pct"/>
            <w:noWrap w:val="0"/>
            <w:vAlign w:val="center"/>
          </w:tcPr>
          <w:p w14:paraId="76B56B17">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2018年9月~2019年6月</w:t>
            </w:r>
          </w:p>
        </w:tc>
        <w:tc>
          <w:tcPr>
            <w:tcW w:w="2132" w:type="pct"/>
            <w:noWrap w:val="0"/>
            <w:vAlign w:val="center"/>
          </w:tcPr>
          <w:p w14:paraId="18968EF6">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匝道桥头处或引桥下征地范围</w:t>
            </w:r>
          </w:p>
        </w:tc>
        <w:tc>
          <w:tcPr>
            <w:tcW w:w="578" w:type="pct"/>
            <w:vMerge w:val="continue"/>
            <w:noWrap w:val="0"/>
            <w:vAlign w:val="center"/>
          </w:tcPr>
          <w:p w14:paraId="40F943EA">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53B6E665">
            <w:pPr>
              <w:pStyle w:val="27"/>
              <w:jc w:val="center"/>
              <w:rPr>
                <w:rFonts w:hint="default" w:ascii="Times New Roman" w:hAnsi="Times New Roman" w:eastAsia="宋体" w:cs="Times New Roman"/>
                <w:color w:val="auto"/>
                <w:sz w:val="21"/>
                <w:szCs w:val="21"/>
              </w:rPr>
            </w:pPr>
          </w:p>
        </w:tc>
      </w:tr>
      <w:tr w14:paraId="3078D9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4" w:hRule="atLeast"/>
        </w:trPr>
        <w:tc>
          <w:tcPr>
            <w:tcW w:w="270" w:type="pct"/>
            <w:vMerge w:val="restart"/>
            <w:tcBorders>
              <w:left w:val="single" w:color="000000" w:sz="10" w:space="0"/>
            </w:tcBorders>
            <w:noWrap w:val="0"/>
            <w:vAlign w:val="center"/>
          </w:tcPr>
          <w:p w14:paraId="6ACE5A6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服务管理设施区</w:t>
            </w:r>
          </w:p>
        </w:tc>
        <w:tc>
          <w:tcPr>
            <w:tcW w:w="149" w:type="pct"/>
            <w:vMerge w:val="restart"/>
            <w:noWrap w:val="0"/>
            <w:vAlign w:val="center"/>
          </w:tcPr>
          <w:p w14:paraId="1798DDD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80" w:type="pct"/>
            <w:noWrap w:val="0"/>
            <w:vAlign w:val="center"/>
          </w:tcPr>
          <w:p w14:paraId="2C791E89">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截排水沟</w:t>
            </w:r>
          </w:p>
        </w:tc>
        <w:tc>
          <w:tcPr>
            <w:tcW w:w="312" w:type="pct"/>
            <w:noWrap w:val="0"/>
            <w:vAlign w:val="center"/>
          </w:tcPr>
          <w:p w14:paraId="064DC88E">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336" w:type="pct"/>
            <w:noWrap w:val="0"/>
            <w:vAlign w:val="center"/>
          </w:tcPr>
          <w:p w14:paraId="694025FF">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204</w:t>
            </w:r>
          </w:p>
        </w:tc>
        <w:tc>
          <w:tcPr>
            <w:tcW w:w="739" w:type="pct"/>
            <w:noWrap w:val="0"/>
            <w:vAlign w:val="center"/>
          </w:tcPr>
          <w:p w14:paraId="62F75754">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2020年2月</w:t>
            </w:r>
          </w:p>
          <w:p w14:paraId="38370101">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~2020年11月</w:t>
            </w:r>
          </w:p>
        </w:tc>
        <w:tc>
          <w:tcPr>
            <w:tcW w:w="2132" w:type="pct"/>
            <w:noWrap w:val="0"/>
            <w:vAlign w:val="center"/>
          </w:tcPr>
          <w:p w14:paraId="13D22610">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挖填边坡下方，挖方边坡上游，边坡平台</w:t>
            </w:r>
          </w:p>
        </w:tc>
        <w:tc>
          <w:tcPr>
            <w:tcW w:w="578" w:type="pct"/>
            <w:vMerge w:val="continue"/>
            <w:noWrap w:val="0"/>
            <w:vAlign w:val="center"/>
          </w:tcPr>
          <w:p w14:paraId="4BF6B994">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3460D8B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14D01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8" w:hRule="atLeast"/>
        </w:trPr>
        <w:tc>
          <w:tcPr>
            <w:tcW w:w="270" w:type="pct"/>
            <w:vMerge w:val="continue"/>
            <w:tcBorders>
              <w:left w:val="single" w:color="000000" w:sz="10" w:space="0"/>
            </w:tcBorders>
            <w:noWrap w:val="0"/>
            <w:vAlign w:val="center"/>
          </w:tcPr>
          <w:p w14:paraId="570E998E">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0FC492DB">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E8404E0">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表土回覆</w:t>
            </w:r>
          </w:p>
        </w:tc>
        <w:tc>
          <w:tcPr>
            <w:tcW w:w="312" w:type="pct"/>
            <w:noWrap w:val="0"/>
            <w:vAlign w:val="center"/>
          </w:tcPr>
          <w:p w14:paraId="508B014D">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336" w:type="pct"/>
            <w:noWrap w:val="0"/>
            <w:vAlign w:val="center"/>
          </w:tcPr>
          <w:p w14:paraId="3EE98DE8">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c>
          <w:tcPr>
            <w:tcW w:w="739" w:type="pct"/>
            <w:noWrap w:val="0"/>
            <w:vAlign w:val="center"/>
          </w:tcPr>
          <w:p w14:paraId="33F889AC">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2020年9月</w:t>
            </w:r>
          </w:p>
          <w:p w14:paraId="636F168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~2020年11月</w:t>
            </w:r>
          </w:p>
        </w:tc>
        <w:tc>
          <w:tcPr>
            <w:tcW w:w="2132" w:type="pct"/>
            <w:noWrap w:val="0"/>
            <w:vAlign w:val="center"/>
          </w:tcPr>
          <w:p w14:paraId="6832B9B9">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可绿化的挖填边坡，景观绿化区域</w:t>
            </w:r>
          </w:p>
        </w:tc>
        <w:tc>
          <w:tcPr>
            <w:tcW w:w="578" w:type="pct"/>
            <w:vMerge w:val="continue"/>
            <w:noWrap w:val="0"/>
            <w:vAlign w:val="center"/>
          </w:tcPr>
          <w:p w14:paraId="21DFECC6">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4217A43">
            <w:pPr>
              <w:pStyle w:val="27"/>
              <w:jc w:val="center"/>
              <w:rPr>
                <w:rFonts w:hint="default" w:ascii="Times New Roman" w:hAnsi="Times New Roman" w:eastAsia="宋体" w:cs="Times New Roman"/>
                <w:color w:val="auto"/>
                <w:sz w:val="21"/>
                <w:szCs w:val="21"/>
              </w:rPr>
            </w:pPr>
          </w:p>
        </w:tc>
      </w:tr>
      <w:tr w14:paraId="54BB3D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237FE6A0">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624FCC1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80" w:type="pct"/>
            <w:noWrap w:val="0"/>
            <w:vAlign w:val="center"/>
          </w:tcPr>
          <w:p w14:paraId="43C874FF">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直接喷播植草</w:t>
            </w:r>
          </w:p>
        </w:tc>
        <w:tc>
          <w:tcPr>
            <w:tcW w:w="312" w:type="pct"/>
            <w:noWrap w:val="0"/>
            <w:vAlign w:val="center"/>
          </w:tcPr>
          <w:p w14:paraId="5F4FF54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c>
          <w:tcPr>
            <w:tcW w:w="336" w:type="pct"/>
            <w:noWrap w:val="0"/>
            <w:vAlign w:val="center"/>
          </w:tcPr>
          <w:p w14:paraId="1CD81A8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754</w:t>
            </w:r>
          </w:p>
        </w:tc>
        <w:tc>
          <w:tcPr>
            <w:tcW w:w="739" w:type="pct"/>
            <w:noWrap w:val="0"/>
            <w:vAlign w:val="center"/>
          </w:tcPr>
          <w:p w14:paraId="4D19ABE5">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2020年9月~2020年12月</w:t>
            </w:r>
          </w:p>
        </w:tc>
        <w:tc>
          <w:tcPr>
            <w:tcW w:w="2132" w:type="pct"/>
            <w:noWrap w:val="0"/>
            <w:vAlign w:val="center"/>
          </w:tcPr>
          <w:p w14:paraId="77276AE3">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坡比缓于1</w:t>
            </w:r>
            <w:r>
              <w:rPr>
                <w:rFonts w:hint="eastAsia"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1，边坡总高度小于</w:t>
            </w:r>
          </w:p>
          <w:p w14:paraId="211C4E06">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3m的土质边坡及边坡高度≤4m的</w:t>
            </w:r>
          </w:p>
          <w:p w14:paraId="587DBA83">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填方边坡</w:t>
            </w:r>
          </w:p>
        </w:tc>
        <w:tc>
          <w:tcPr>
            <w:tcW w:w="578" w:type="pct"/>
            <w:vMerge w:val="continue"/>
            <w:noWrap w:val="0"/>
            <w:vAlign w:val="center"/>
          </w:tcPr>
          <w:p w14:paraId="26780E87">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07C238E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43D2C5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6E297683">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062694C7">
            <w:pPr>
              <w:pStyle w:val="27"/>
              <w:jc w:val="center"/>
              <w:rPr>
                <w:rFonts w:hint="default" w:ascii="Times New Roman" w:hAnsi="Times New Roman" w:eastAsia="宋体" w:cs="Times New Roman"/>
                <w:color w:val="auto"/>
                <w:sz w:val="21"/>
                <w:szCs w:val="21"/>
              </w:rPr>
            </w:pPr>
          </w:p>
        </w:tc>
        <w:tc>
          <w:tcPr>
            <w:tcW w:w="280" w:type="pct"/>
            <w:noWrap w:val="0"/>
            <w:vAlign w:val="center"/>
          </w:tcPr>
          <w:p w14:paraId="7EADFB7E">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景观绿化</w:t>
            </w:r>
          </w:p>
        </w:tc>
        <w:tc>
          <w:tcPr>
            <w:tcW w:w="312" w:type="pct"/>
            <w:noWrap w:val="0"/>
            <w:vAlign w:val="center"/>
          </w:tcPr>
          <w:p w14:paraId="72CC1479">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hm</w:t>
            </w:r>
            <w:r>
              <w:rPr>
                <w:rFonts w:hint="default" w:ascii="Times New Roman" w:hAnsi="Times New Roman" w:eastAsia="宋体" w:cs="Times New Roman"/>
                <w:color w:val="auto"/>
                <w:sz w:val="21"/>
                <w:szCs w:val="21"/>
                <w:vertAlign w:val="superscript"/>
                <w:lang w:val="en-US" w:eastAsia="zh-CN"/>
              </w:rPr>
              <w:t>2</w:t>
            </w:r>
          </w:p>
        </w:tc>
        <w:tc>
          <w:tcPr>
            <w:tcW w:w="336" w:type="pct"/>
            <w:noWrap w:val="0"/>
            <w:vAlign w:val="center"/>
          </w:tcPr>
          <w:p w14:paraId="13197AA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739" w:type="pct"/>
            <w:noWrap w:val="0"/>
            <w:vAlign w:val="center"/>
          </w:tcPr>
          <w:p w14:paraId="1714D4C0">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2020年11月~2020年12月</w:t>
            </w:r>
          </w:p>
        </w:tc>
        <w:tc>
          <w:tcPr>
            <w:tcW w:w="2132" w:type="pct"/>
            <w:noWrap w:val="0"/>
            <w:vAlign w:val="center"/>
          </w:tcPr>
          <w:p w14:paraId="74D41EB1">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服务区及收费站内可绿化区</w:t>
            </w:r>
          </w:p>
        </w:tc>
        <w:tc>
          <w:tcPr>
            <w:tcW w:w="578" w:type="pct"/>
            <w:vMerge w:val="continue"/>
            <w:noWrap w:val="0"/>
            <w:vAlign w:val="center"/>
          </w:tcPr>
          <w:p w14:paraId="32712524">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1E0F6A67">
            <w:pPr>
              <w:pStyle w:val="27"/>
              <w:jc w:val="center"/>
              <w:rPr>
                <w:rFonts w:hint="default" w:ascii="Times New Roman" w:hAnsi="Times New Roman" w:eastAsia="宋体" w:cs="Times New Roman"/>
                <w:color w:val="auto"/>
                <w:sz w:val="21"/>
                <w:szCs w:val="21"/>
              </w:rPr>
            </w:pPr>
          </w:p>
        </w:tc>
      </w:tr>
      <w:tr w14:paraId="0F456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3A47A28E">
            <w:pPr>
              <w:pStyle w:val="27"/>
              <w:jc w:val="center"/>
              <w:rPr>
                <w:rFonts w:hint="default" w:ascii="Times New Roman" w:hAnsi="Times New Roman" w:eastAsia="宋体" w:cs="Times New Roman"/>
                <w:color w:val="auto"/>
                <w:sz w:val="21"/>
                <w:szCs w:val="21"/>
              </w:rPr>
            </w:pPr>
          </w:p>
        </w:tc>
        <w:tc>
          <w:tcPr>
            <w:tcW w:w="149" w:type="pct"/>
            <w:noWrap w:val="0"/>
            <w:vAlign w:val="center"/>
          </w:tcPr>
          <w:p w14:paraId="533AD6D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80" w:type="pct"/>
            <w:noWrap w:val="0"/>
            <w:vAlign w:val="center"/>
          </w:tcPr>
          <w:p w14:paraId="52181711">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防雨布遮盖</w:t>
            </w:r>
          </w:p>
        </w:tc>
        <w:tc>
          <w:tcPr>
            <w:tcW w:w="312" w:type="pct"/>
            <w:noWrap w:val="0"/>
            <w:vAlign w:val="center"/>
          </w:tcPr>
          <w:p w14:paraId="04B72328">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c>
          <w:tcPr>
            <w:tcW w:w="336" w:type="pct"/>
            <w:noWrap w:val="0"/>
            <w:vAlign w:val="center"/>
          </w:tcPr>
          <w:p w14:paraId="6FF076C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w:t>
            </w:r>
          </w:p>
        </w:tc>
        <w:tc>
          <w:tcPr>
            <w:tcW w:w="739" w:type="pct"/>
            <w:noWrap w:val="0"/>
            <w:vAlign w:val="center"/>
          </w:tcPr>
          <w:p w14:paraId="18901ADB">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2019年5月</w:t>
            </w:r>
            <w:r>
              <w:rPr>
                <w:rFonts w:hint="eastAsia"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10</w:t>
            </w:r>
          </w:p>
          <w:p w14:paraId="5475129D">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月、2020年12</w:t>
            </w:r>
          </w:p>
          <w:p w14:paraId="0F771BE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月</w:t>
            </w:r>
          </w:p>
        </w:tc>
        <w:tc>
          <w:tcPr>
            <w:tcW w:w="2132" w:type="pct"/>
            <w:noWrap w:val="0"/>
            <w:vAlign w:val="center"/>
          </w:tcPr>
          <w:p w14:paraId="7B42E509">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不能及时完成防护的路基边坡</w:t>
            </w:r>
          </w:p>
        </w:tc>
        <w:tc>
          <w:tcPr>
            <w:tcW w:w="578" w:type="pct"/>
            <w:vMerge w:val="continue"/>
            <w:noWrap w:val="0"/>
            <w:vAlign w:val="center"/>
          </w:tcPr>
          <w:p w14:paraId="1C51A6B6">
            <w:pPr>
              <w:pStyle w:val="27"/>
              <w:jc w:val="center"/>
              <w:rPr>
                <w:rFonts w:hint="default" w:ascii="Times New Roman" w:hAnsi="Times New Roman" w:eastAsia="宋体" w:cs="Times New Roman"/>
                <w:color w:val="auto"/>
                <w:sz w:val="21"/>
                <w:szCs w:val="21"/>
              </w:rPr>
            </w:pPr>
          </w:p>
        </w:tc>
        <w:tc>
          <w:tcPr>
            <w:tcW w:w="199" w:type="pct"/>
            <w:tcBorders>
              <w:right w:val="single" w:color="000000" w:sz="10" w:space="0"/>
            </w:tcBorders>
            <w:noWrap w:val="0"/>
            <w:vAlign w:val="center"/>
          </w:tcPr>
          <w:p w14:paraId="6DFCA66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791468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restart"/>
            <w:tcBorders>
              <w:left w:val="single" w:color="000000" w:sz="10" w:space="0"/>
            </w:tcBorders>
            <w:noWrap w:val="0"/>
            <w:vAlign w:val="center"/>
          </w:tcPr>
          <w:p w14:paraId="16180EB1">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改移道路工程防治区</w:t>
            </w:r>
          </w:p>
        </w:tc>
        <w:tc>
          <w:tcPr>
            <w:tcW w:w="149" w:type="pct"/>
            <w:vMerge w:val="restart"/>
            <w:noWrap w:val="0"/>
            <w:vAlign w:val="center"/>
          </w:tcPr>
          <w:p w14:paraId="125E120E">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工程措施</w:t>
            </w:r>
          </w:p>
        </w:tc>
        <w:tc>
          <w:tcPr>
            <w:tcW w:w="280" w:type="pct"/>
            <w:noWrap w:val="0"/>
            <w:vAlign w:val="center"/>
          </w:tcPr>
          <w:p w14:paraId="2B8F340F">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表土回覆</w:t>
            </w:r>
          </w:p>
        </w:tc>
        <w:tc>
          <w:tcPr>
            <w:tcW w:w="312" w:type="pct"/>
            <w:noWrap w:val="0"/>
            <w:vAlign w:val="center"/>
          </w:tcPr>
          <w:p w14:paraId="2445BBF4">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3</w:t>
            </w:r>
          </w:p>
        </w:tc>
        <w:tc>
          <w:tcPr>
            <w:tcW w:w="336" w:type="pct"/>
            <w:noWrap w:val="0"/>
            <w:vAlign w:val="center"/>
          </w:tcPr>
          <w:p w14:paraId="72F7F0D5">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0.09</w:t>
            </w:r>
          </w:p>
        </w:tc>
        <w:tc>
          <w:tcPr>
            <w:tcW w:w="739" w:type="pct"/>
            <w:vMerge w:val="restart"/>
            <w:noWrap w:val="0"/>
            <w:vAlign w:val="center"/>
          </w:tcPr>
          <w:p w14:paraId="2C2C9987">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2018年12月</w:t>
            </w:r>
          </w:p>
          <w:p w14:paraId="3D78B908">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~2019年9月</w:t>
            </w:r>
          </w:p>
        </w:tc>
        <w:tc>
          <w:tcPr>
            <w:tcW w:w="2132" w:type="pct"/>
            <w:noWrap w:val="0"/>
            <w:vAlign w:val="center"/>
          </w:tcPr>
          <w:p w14:paraId="2396E4A8">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挖填边坡</w:t>
            </w:r>
          </w:p>
        </w:tc>
        <w:tc>
          <w:tcPr>
            <w:tcW w:w="578" w:type="pct"/>
            <w:vMerge w:val="continue"/>
            <w:noWrap w:val="0"/>
            <w:vAlign w:val="center"/>
          </w:tcPr>
          <w:p w14:paraId="575F5526">
            <w:pPr>
              <w:pStyle w:val="27"/>
              <w:jc w:val="center"/>
              <w:rPr>
                <w:rFonts w:hint="default" w:ascii="Times New Roman" w:hAnsi="Times New Roman" w:eastAsia="宋体" w:cs="Times New Roman"/>
                <w:color w:val="auto"/>
                <w:sz w:val="21"/>
                <w:szCs w:val="21"/>
                <w:lang w:val="en-US" w:eastAsia="zh-CN"/>
              </w:rPr>
            </w:pPr>
          </w:p>
        </w:tc>
        <w:tc>
          <w:tcPr>
            <w:tcW w:w="199" w:type="pct"/>
            <w:vMerge w:val="restart"/>
            <w:tcBorders>
              <w:right w:val="single" w:color="000000" w:sz="10" w:space="0"/>
            </w:tcBorders>
            <w:noWrap w:val="0"/>
            <w:vAlign w:val="center"/>
          </w:tcPr>
          <w:p w14:paraId="71A1DC9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良好</w:t>
            </w:r>
          </w:p>
        </w:tc>
      </w:tr>
      <w:tr w14:paraId="34D3EB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5E0BA4DB">
            <w:pPr>
              <w:pStyle w:val="27"/>
              <w:jc w:val="center"/>
              <w:rPr>
                <w:rFonts w:hint="default" w:ascii="Times New Roman" w:hAnsi="Times New Roman" w:eastAsia="宋体" w:cs="Times New Roman"/>
                <w:color w:val="auto"/>
                <w:sz w:val="21"/>
                <w:szCs w:val="21"/>
                <w:lang w:val="en-US" w:eastAsia="zh-CN"/>
              </w:rPr>
            </w:pPr>
          </w:p>
        </w:tc>
        <w:tc>
          <w:tcPr>
            <w:tcW w:w="149" w:type="pct"/>
            <w:vMerge w:val="continue"/>
            <w:noWrap w:val="0"/>
            <w:vAlign w:val="center"/>
          </w:tcPr>
          <w:p w14:paraId="27EA0C18">
            <w:pPr>
              <w:pStyle w:val="27"/>
              <w:jc w:val="center"/>
              <w:rPr>
                <w:rFonts w:hint="default" w:ascii="Times New Roman" w:hAnsi="Times New Roman" w:eastAsia="宋体" w:cs="Times New Roman"/>
                <w:color w:val="auto"/>
                <w:sz w:val="21"/>
                <w:szCs w:val="21"/>
                <w:lang w:val="en-US" w:eastAsia="zh-CN"/>
              </w:rPr>
            </w:pPr>
          </w:p>
        </w:tc>
        <w:tc>
          <w:tcPr>
            <w:tcW w:w="280" w:type="pct"/>
            <w:noWrap w:val="0"/>
            <w:vAlign w:val="center"/>
          </w:tcPr>
          <w:p w14:paraId="50328FB6">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边沟</w:t>
            </w:r>
          </w:p>
        </w:tc>
        <w:tc>
          <w:tcPr>
            <w:tcW w:w="312" w:type="pct"/>
            <w:noWrap w:val="0"/>
            <w:vAlign w:val="center"/>
          </w:tcPr>
          <w:p w14:paraId="7233AC69">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336" w:type="pct"/>
            <w:noWrap w:val="0"/>
            <w:vAlign w:val="center"/>
          </w:tcPr>
          <w:p w14:paraId="6F2FE09B">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2959</w:t>
            </w:r>
          </w:p>
        </w:tc>
        <w:tc>
          <w:tcPr>
            <w:tcW w:w="739" w:type="pct"/>
            <w:vMerge w:val="continue"/>
            <w:noWrap w:val="0"/>
            <w:vAlign w:val="center"/>
          </w:tcPr>
          <w:p w14:paraId="54E94A60">
            <w:pPr>
              <w:pStyle w:val="27"/>
              <w:jc w:val="center"/>
              <w:rPr>
                <w:rFonts w:hint="default" w:ascii="Times New Roman" w:hAnsi="Times New Roman" w:eastAsia="宋体" w:cs="Times New Roman"/>
                <w:color w:val="auto"/>
                <w:sz w:val="21"/>
                <w:szCs w:val="21"/>
                <w:lang w:val="en-US" w:eastAsia="zh-CN"/>
              </w:rPr>
            </w:pPr>
          </w:p>
        </w:tc>
        <w:tc>
          <w:tcPr>
            <w:tcW w:w="2132" w:type="pct"/>
            <w:noWrap w:val="0"/>
            <w:vAlign w:val="center"/>
          </w:tcPr>
          <w:p w14:paraId="1DDF24F1">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挖填边坡坡脚</w:t>
            </w:r>
          </w:p>
        </w:tc>
        <w:tc>
          <w:tcPr>
            <w:tcW w:w="578" w:type="pct"/>
            <w:vMerge w:val="continue"/>
            <w:noWrap w:val="0"/>
            <w:vAlign w:val="center"/>
          </w:tcPr>
          <w:p w14:paraId="32F66D42">
            <w:pPr>
              <w:pStyle w:val="27"/>
              <w:jc w:val="center"/>
              <w:rPr>
                <w:rFonts w:hint="default" w:ascii="Times New Roman" w:hAnsi="Times New Roman" w:eastAsia="宋体" w:cs="Times New Roman"/>
                <w:color w:val="auto"/>
                <w:sz w:val="21"/>
                <w:szCs w:val="21"/>
                <w:lang w:val="en-US" w:eastAsia="zh-CN"/>
              </w:rPr>
            </w:pPr>
          </w:p>
        </w:tc>
        <w:tc>
          <w:tcPr>
            <w:tcW w:w="199" w:type="pct"/>
            <w:vMerge w:val="continue"/>
            <w:tcBorders>
              <w:right w:val="single" w:color="000000" w:sz="10" w:space="0"/>
            </w:tcBorders>
            <w:noWrap w:val="0"/>
            <w:vAlign w:val="center"/>
          </w:tcPr>
          <w:p w14:paraId="5184724B">
            <w:pPr>
              <w:pStyle w:val="27"/>
              <w:jc w:val="center"/>
              <w:rPr>
                <w:rFonts w:hint="default" w:ascii="Times New Roman" w:hAnsi="Times New Roman" w:eastAsia="宋体" w:cs="Times New Roman"/>
                <w:color w:val="auto"/>
                <w:sz w:val="21"/>
                <w:szCs w:val="21"/>
                <w:lang w:val="en-US" w:eastAsia="zh-CN"/>
              </w:rPr>
            </w:pPr>
          </w:p>
        </w:tc>
      </w:tr>
      <w:tr w14:paraId="1E9368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7C5E4FC">
            <w:pPr>
              <w:pStyle w:val="27"/>
              <w:jc w:val="center"/>
              <w:rPr>
                <w:rFonts w:hint="default" w:ascii="Times New Roman" w:hAnsi="Times New Roman" w:eastAsia="宋体" w:cs="Times New Roman"/>
                <w:color w:val="auto"/>
                <w:sz w:val="21"/>
                <w:szCs w:val="21"/>
                <w:lang w:val="en-US" w:eastAsia="zh-CN"/>
              </w:rPr>
            </w:pPr>
          </w:p>
        </w:tc>
        <w:tc>
          <w:tcPr>
            <w:tcW w:w="149" w:type="pct"/>
            <w:noWrap w:val="0"/>
            <w:vAlign w:val="center"/>
          </w:tcPr>
          <w:p w14:paraId="6370FD6F">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植物措施</w:t>
            </w:r>
          </w:p>
        </w:tc>
        <w:tc>
          <w:tcPr>
            <w:tcW w:w="280" w:type="pct"/>
            <w:noWrap w:val="0"/>
            <w:vAlign w:val="center"/>
          </w:tcPr>
          <w:p w14:paraId="0C554B1C">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直接喷播植草</w:t>
            </w:r>
          </w:p>
        </w:tc>
        <w:tc>
          <w:tcPr>
            <w:tcW w:w="312" w:type="pct"/>
            <w:noWrap w:val="0"/>
            <w:vAlign w:val="center"/>
          </w:tcPr>
          <w:p w14:paraId="7CB4F3C5">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c>
          <w:tcPr>
            <w:tcW w:w="336" w:type="pct"/>
            <w:noWrap w:val="0"/>
            <w:vAlign w:val="center"/>
          </w:tcPr>
          <w:p w14:paraId="1B1DED0D">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9235</w:t>
            </w:r>
          </w:p>
        </w:tc>
        <w:tc>
          <w:tcPr>
            <w:tcW w:w="739" w:type="pct"/>
            <w:vMerge w:val="continue"/>
            <w:noWrap w:val="0"/>
            <w:vAlign w:val="center"/>
          </w:tcPr>
          <w:p w14:paraId="07D6F025">
            <w:pPr>
              <w:pStyle w:val="27"/>
              <w:jc w:val="center"/>
              <w:rPr>
                <w:rFonts w:hint="default" w:ascii="Times New Roman" w:hAnsi="Times New Roman" w:eastAsia="宋体" w:cs="Times New Roman"/>
                <w:color w:val="auto"/>
                <w:sz w:val="21"/>
                <w:szCs w:val="21"/>
                <w:lang w:val="en-US" w:eastAsia="zh-CN"/>
              </w:rPr>
            </w:pPr>
          </w:p>
        </w:tc>
        <w:tc>
          <w:tcPr>
            <w:tcW w:w="2132" w:type="pct"/>
            <w:noWrap w:val="0"/>
            <w:vAlign w:val="center"/>
          </w:tcPr>
          <w:p w14:paraId="39AB8B6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挖填边坡</w:t>
            </w:r>
          </w:p>
        </w:tc>
        <w:tc>
          <w:tcPr>
            <w:tcW w:w="578" w:type="pct"/>
            <w:vMerge w:val="continue"/>
            <w:noWrap w:val="0"/>
            <w:vAlign w:val="center"/>
          </w:tcPr>
          <w:p w14:paraId="10586401">
            <w:pPr>
              <w:pStyle w:val="27"/>
              <w:jc w:val="center"/>
              <w:rPr>
                <w:rFonts w:hint="default" w:ascii="Times New Roman" w:hAnsi="Times New Roman" w:eastAsia="宋体" w:cs="Times New Roman"/>
                <w:color w:val="auto"/>
                <w:sz w:val="21"/>
                <w:szCs w:val="21"/>
                <w:lang w:val="en-US" w:eastAsia="zh-CN"/>
              </w:rPr>
            </w:pPr>
          </w:p>
        </w:tc>
        <w:tc>
          <w:tcPr>
            <w:tcW w:w="199" w:type="pct"/>
            <w:tcBorders>
              <w:right w:val="single" w:color="000000" w:sz="10" w:space="0"/>
            </w:tcBorders>
            <w:noWrap w:val="0"/>
            <w:vAlign w:val="center"/>
          </w:tcPr>
          <w:p w14:paraId="415FAD92">
            <w:pPr>
              <w:pStyle w:val="2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良好</w:t>
            </w:r>
          </w:p>
        </w:tc>
      </w:tr>
      <w:tr w14:paraId="74960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restart"/>
            <w:tcBorders>
              <w:left w:val="single" w:color="000000" w:sz="10" w:space="0"/>
            </w:tcBorders>
            <w:noWrap w:val="0"/>
            <w:vAlign w:val="center"/>
          </w:tcPr>
          <w:p w14:paraId="662B133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施工便道区</w:t>
            </w:r>
          </w:p>
        </w:tc>
        <w:tc>
          <w:tcPr>
            <w:tcW w:w="149" w:type="pct"/>
            <w:vMerge w:val="restart"/>
            <w:noWrap w:val="0"/>
            <w:vAlign w:val="center"/>
          </w:tcPr>
          <w:p w14:paraId="241CE56D">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80" w:type="pct"/>
            <w:noWrap w:val="0"/>
            <w:vAlign w:val="center"/>
          </w:tcPr>
          <w:p w14:paraId="58FF347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挡墙</w:t>
            </w:r>
          </w:p>
        </w:tc>
        <w:tc>
          <w:tcPr>
            <w:tcW w:w="312" w:type="pct"/>
            <w:noWrap w:val="0"/>
            <w:vAlign w:val="center"/>
          </w:tcPr>
          <w:p w14:paraId="43B7470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336" w:type="pct"/>
            <w:noWrap w:val="0"/>
            <w:vAlign w:val="center"/>
          </w:tcPr>
          <w:p w14:paraId="069C8D2F">
            <w:pPr>
              <w:pStyle w:val="27"/>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0</w:t>
            </w:r>
          </w:p>
        </w:tc>
        <w:tc>
          <w:tcPr>
            <w:tcW w:w="739" w:type="pct"/>
            <w:vMerge w:val="restart"/>
            <w:noWrap w:val="0"/>
            <w:vAlign w:val="center"/>
          </w:tcPr>
          <w:p w14:paraId="6AA9CBA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rPr>
              <w:t>2020年12月</w:t>
            </w:r>
          </w:p>
        </w:tc>
        <w:tc>
          <w:tcPr>
            <w:tcW w:w="2132" w:type="pct"/>
            <w:noWrap w:val="0"/>
            <w:vAlign w:val="center"/>
          </w:tcPr>
          <w:p w14:paraId="33B801D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施工便道南侧边坡下方</w:t>
            </w:r>
          </w:p>
        </w:tc>
        <w:tc>
          <w:tcPr>
            <w:tcW w:w="578" w:type="pct"/>
            <w:vMerge w:val="continue"/>
            <w:noWrap w:val="0"/>
            <w:vAlign w:val="center"/>
          </w:tcPr>
          <w:p w14:paraId="308B581E">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011A6DA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0ADC1C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6117B5F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5DE39DCC">
            <w:pPr>
              <w:pStyle w:val="27"/>
              <w:jc w:val="center"/>
              <w:rPr>
                <w:rFonts w:hint="default" w:ascii="Times New Roman" w:hAnsi="Times New Roman" w:eastAsia="宋体" w:cs="Times New Roman"/>
                <w:color w:val="auto"/>
                <w:sz w:val="21"/>
                <w:szCs w:val="21"/>
              </w:rPr>
            </w:pPr>
          </w:p>
        </w:tc>
        <w:tc>
          <w:tcPr>
            <w:tcW w:w="280" w:type="pct"/>
            <w:noWrap w:val="0"/>
            <w:vAlign w:val="center"/>
          </w:tcPr>
          <w:p w14:paraId="7185BA9D">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菱形网格护坡</w:t>
            </w:r>
          </w:p>
        </w:tc>
        <w:tc>
          <w:tcPr>
            <w:tcW w:w="312" w:type="pct"/>
            <w:noWrap w:val="0"/>
            <w:vAlign w:val="center"/>
          </w:tcPr>
          <w:p w14:paraId="01F3E84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1EA5808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42EE3F43">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2C5F3DE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施工便道占地区边坡</w:t>
            </w:r>
          </w:p>
        </w:tc>
        <w:tc>
          <w:tcPr>
            <w:tcW w:w="578" w:type="pct"/>
            <w:vMerge w:val="continue"/>
            <w:noWrap w:val="0"/>
            <w:vAlign w:val="center"/>
          </w:tcPr>
          <w:p w14:paraId="48713EF5">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3C08A138">
            <w:pPr>
              <w:pStyle w:val="27"/>
              <w:jc w:val="center"/>
              <w:rPr>
                <w:rFonts w:hint="default" w:ascii="Times New Roman" w:hAnsi="Times New Roman" w:eastAsia="宋体" w:cs="Times New Roman"/>
                <w:color w:val="auto"/>
                <w:sz w:val="21"/>
                <w:szCs w:val="21"/>
              </w:rPr>
            </w:pPr>
          </w:p>
        </w:tc>
      </w:tr>
      <w:tr w14:paraId="608E48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1A784246">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3ED738A5">
            <w:pPr>
              <w:pStyle w:val="27"/>
              <w:jc w:val="center"/>
              <w:rPr>
                <w:rFonts w:hint="default" w:ascii="Times New Roman" w:hAnsi="Times New Roman" w:eastAsia="宋体" w:cs="Times New Roman"/>
                <w:color w:val="auto"/>
                <w:sz w:val="21"/>
                <w:szCs w:val="21"/>
              </w:rPr>
            </w:pPr>
          </w:p>
        </w:tc>
        <w:tc>
          <w:tcPr>
            <w:tcW w:w="280" w:type="pct"/>
            <w:noWrap w:val="0"/>
            <w:vAlign w:val="center"/>
          </w:tcPr>
          <w:p w14:paraId="5C8A185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表土回覆</w:t>
            </w:r>
          </w:p>
        </w:tc>
        <w:tc>
          <w:tcPr>
            <w:tcW w:w="312" w:type="pct"/>
            <w:noWrap w:val="0"/>
            <w:vAlign w:val="center"/>
          </w:tcPr>
          <w:p w14:paraId="5B2C626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336" w:type="pct"/>
            <w:noWrap w:val="0"/>
            <w:vAlign w:val="center"/>
          </w:tcPr>
          <w:p w14:paraId="2243DB25">
            <w:pPr>
              <w:pStyle w:val="27"/>
              <w:jc w:val="center"/>
              <w:rPr>
                <w:rFonts w:hint="default" w:ascii="Times New Roman" w:hAnsi="Times New Roman" w:eastAsia="宋体" w:cs="Times New Roman"/>
                <w:color w:val="auto"/>
                <w:sz w:val="21"/>
                <w:szCs w:val="21"/>
              </w:rPr>
            </w:pPr>
          </w:p>
        </w:tc>
        <w:tc>
          <w:tcPr>
            <w:tcW w:w="739" w:type="pct"/>
            <w:vMerge w:val="continue"/>
            <w:noWrap w:val="0"/>
            <w:vAlign w:val="center"/>
          </w:tcPr>
          <w:p w14:paraId="1C822591">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4CBCD61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可复耕的区域</w:t>
            </w:r>
          </w:p>
        </w:tc>
        <w:tc>
          <w:tcPr>
            <w:tcW w:w="578" w:type="pct"/>
            <w:vMerge w:val="continue"/>
            <w:noWrap w:val="0"/>
            <w:vAlign w:val="center"/>
          </w:tcPr>
          <w:p w14:paraId="197B4836">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491AFBC2">
            <w:pPr>
              <w:pStyle w:val="27"/>
              <w:jc w:val="center"/>
              <w:rPr>
                <w:rFonts w:hint="default" w:ascii="Times New Roman" w:hAnsi="Times New Roman" w:eastAsia="宋体" w:cs="Times New Roman"/>
                <w:color w:val="auto"/>
                <w:sz w:val="21"/>
                <w:szCs w:val="21"/>
              </w:rPr>
            </w:pPr>
          </w:p>
        </w:tc>
      </w:tr>
      <w:tr w14:paraId="379E98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069C05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67872AB9">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060AE5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复耕</w:t>
            </w:r>
          </w:p>
        </w:tc>
        <w:tc>
          <w:tcPr>
            <w:tcW w:w="312" w:type="pct"/>
            <w:noWrap w:val="0"/>
            <w:vAlign w:val="center"/>
          </w:tcPr>
          <w:p w14:paraId="3E2B7D1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251C3D28">
            <w:pPr>
              <w:pStyle w:val="27"/>
              <w:jc w:val="center"/>
              <w:rPr>
                <w:rFonts w:hint="default" w:ascii="Times New Roman" w:hAnsi="Times New Roman" w:eastAsia="宋体" w:cs="Times New Roman"/>
                <w:color w:val="auto"/>
                <w:sz w:val="21"/>
                <w:szCs w:val="21"/>
              </w:rPr>
            </w:pPr>
          </w:p>
        </w:tc>
        <w:tc>
          <w:tcPr>
            <w:tcW w:w="739" w:type="pct"/>
            <w:vMerge w:val="continue"/>
            <w:noWrap w:val="0"/>
            <w:vAlign w:val="center"/>
          </w:tcPr>
          <w:p w14:paraId="75A08158">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3AAA80B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可复耕的区域</w:t>
            </w:r>
          </w:p>
        </w:tc>
        <w:tc>
          <w:tcPr>
            <w:tcW w:w="578" w:type="pct"/>
            <w:vMerge w:val="continue"/>
            <w:noWrap w:val="0"/>
            <w:vAlign w:val="center"/>
          </w:tcPr>
          <w:p w14:paraId="0DE72AFE">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047F6F78">
            <w:pPr>
              <w:pStyle w:val="27"/>
              <w:jc w:val="center"/>
              <w:rPr>
                <w:rFonts w:hint="default" w:ascii="Times New Roman" w:hAnsi="Times New Roman" w:eastAsia="宋体" w:cs="Times New Roman"/>
                <w:color w:val="auto"/>
                <w:sz w:val="21"/>
                <w:szCs w:val="21"/>
              </w:rPr>
            </w:pPr>
          </w:p>
        </w:tc>
      </w:tr>
      <w:tr w14:paraId="4A4829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rPr>
        <w:tc>
          <w:tcPr>
            <w:tcW w:w="270" w:type="pct"/>
            <w:vMerge w:val="continue"/>
            <w:tcBorders>
              <w:left w:val="single" w:color="000000" w:sz="10" w:space="0"/>
            </w:tcBorders>
            <w:noWrap w:val="0"/>
            <w:vAlign w:val="center"/>
          </w:tcPr>
          <w:p w14:paraId="16C0C0E0">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57F8C733">
            <w:pPr>
              <w:pStyle w:val="27"/>
              <w:jc w:val="center"/>
              <w:rPr>
                <w:rFonts w:hint="default" w:ascii="Times New Roman" w:hAnsi="Times New Roman" w:eastAsia="宋体" w:cs="Times New Roman"/>
                <w:color w:val="auto"/>
                <w:sz w:val="21"/>
                <w:szCs w:val="21"/>
              </w:rPr>
            </w:pPr>
          </w:p>
        </w:tc>
        <w:tc>
          <w:tcPr>
            <w:tcW w:w="280" w:type="pct"/>
            <w:noWrap w:val="0"/>
            <w:vAlign w:val="center"/>
          </w:tcPr>
          <w:p w14:paraId="287DA5A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排水沟</w:t>
            </w:r>
          </w:p>
        </w:tc>
        <w:tc>
          <w:tcPr>
            <w:tcW w:w="312" w:type="pct"/>
            <w:noWrap w:val="0"/>
            <w:vAlign w:val="center"/>
          </w:tcPr>
          <w:p w14:paraId="56B871C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36" w:type="pct"/>
            <w:noWrap w:val="0"/>
            <w:vAlign w:val="center"/>
          </w:tcPr>
          <w:p w14:paraId="07C2ECCA">
            <w:pPr>
              <w:pStyle w:val="27"/>
              <w:jc w:val="center"/>
              <w:rPr>
                <w:rFonts w:hint="default" w:ascii="Times New Roman" w:hAnsi="Times New Roman" w:eastAsia="宋体" w:cs="Times New Roman"/>
                <w:color w:val="auto"/>
                <w:sz w:val="21"/>
                <w:szCs w:val="21"/>
              </w:rPr>
            </w:pPr>
          </w:p>
        </w:tc>
        <w:tc>
          <w:tcPr>
            <w:tcW w:w="739" w:type="pct"/>
            <w:vMerge w:val="continue"/>
            <w:noWrap w:val="0"/>
            <w:vAlign w:val="center"/>
          </w:tcPr>
          <w:p w14:paraId="4A19DB88">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3332ED7D">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便民道路内侧</w:t>
            </w:r>
          </w:p>
        </w:tc>
        <w:tc>
          <w:tcPr>
            <w:tcW w:w="578" w:type="pct"/>
            <w:vMerge w:val="continue"/>
            <w:noWrap w:val="0"/>
            <w:vAlign w:val="center"/>
          </w:tcPr>
          <w:p w14:paraId="7E7C9EA1">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768258C7">
            <w:pPr>
              <w:pStyle w:val="27"/>
              <w:jc w:val="center"/>
              <w:rPr>
                <w:rFonts w:hint="default" w:ascii="Times New Roman" w:hAnsi="Times New Roman" w:eastAsia="宋体" w:cs="Times New Roman"/>
                <w:color w:val="auto"/>
                <w:sz w:val="21"/>
                <w:szCs w:val="21"/>
              </w:rPr>
            </w:pPr>
          </w:p>
        </w:tc>
      </w:tr>
      <w:tr w14:paraId="462434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restart"/>
            <w:tcBorders>
              <w:left w:val="single" w:color="000000" w:sz="10" w:space="0"/>
            </w:tcBorders>
            <w:noWrap w:val="0"/>
            <w:vAlign w:val="center"/>
          </w:tcPr>
          <w:p w14:paraId="462FF38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弃渣场区</w:t>
            </w:r>
          </w:p>
        </w:tc>
        <w:tc>
          <w:tcPr>
            <w:tcW w:w="149" w:type="pct"/>
            <w:vMerge w:val="restart"/>
            <w:noWrap w:val="0"/>
            <w:vAlign w:val="center"/>
          </w:tcPr>
          <w:p w14:paraId="74D958C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工程措施</w:t>
            </w:r>
          </w:p>
        </w:tc>
        <w:tc>
          <w:tcPr>
            <w:tcW w:w="280" w:type="pct"/>
            <w:noWrap w:val="0"/>
            <w:vAlign w:val="center"/>
          </w:tcPr>
          <w:p w14:paraId="00556FA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挡渣墙</w:t>
            </w:r>
          </w:p>
        </w:tc>
        <w:tc>
          <w:tcPr>
            <w:tcW w:w="312" w:type="pct"/>
            <w:noWrap w:val="0"/>
            <w:vAlign w:val="center"/>
          </w:tcPr>
          <w:p w14:paraId="098F333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m3</w:t>
            </w:r>
          </w:p>
        </w:tc>
        <w:tc>
          <w:tcPr>
            <w:tcW w:w="336" w:type="pct"/>
            <w:noWrap w:val="0"/>
            <w:vAlign w:val="center"/>
          </w:tcPr>
          <w:p w14:paraId="0149CA8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2243.52</w:t>
            </w:r>
          </w:p>
        </w:tc>
        <w:tc>
          <w:tcPr>
            <w:tcW w:w="739" w:type="pct"/>
            <w:noWrap w:val="0"/>
            <w:vAlign w:val="center"/>
          </w:tcPr>
          <w:p w14:paraId="71E771C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2019年4月~5月、2020年2月~3月、2020年10月~12月</w:t>
            </w:r>
          </w:p>
        </w:tc>
        <w:tc>
          <w:tcPr>
            <w:tcW w:w="2132" w:type="pct"/>
            <w:noWrap w:val="0"/>
            <w:vAlign w:val="center"/>
          </w:tcPr>
          <w:p w14:paraId="3FC08ED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弃渣场坡脚</w:t>
            </w:r>
          </w:p>
        </w:tc>
        <w:tc>
          <w:tcPr>
            <w:tcW w:w="578" w:type="pct"/>
            <w:vMerge w:val="continue"/>
            <w:noWrap w:val="0"/>
            <w:vAlign w:val="center"/>
          </w:tcPr>
          <w:p w14:paraId="52D141D8">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4F2D8AB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1D986B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3DEDF009">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54FC6813">
            <w:pPr>
              <w:pStyle w:val="27"/>
              <w:jc w:val="center"/>
              <w:rPr>
                <w:rFonts w:hint="default" w:ascii="Times New Roman" w:hAnsi="Times New Roman" w:eastAsia="宋体" w:cs="Times New Roman"/>
                <w:color w:val="auto"/>
                <w:sz w:val="21"/>
                <w:szCs w:val="21"/>
              </w:rPr>
            </w:pPr>
          </w:p>
        </w:tc>
        <w:tc>
          <w:tcPr>
            <w:tcW w:w="280" w:type="pct"/>
            <w:noWrap w:val="0"/>
            <w:vAlign w:val="center"/>
          </w:tcPr>
          <w:p w14:paraId="54BFA24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排水沟</w:t>
            </w:r>
          </w:p>
        </w:tc>
        <w:tc>
          <w:tcPr>
            <w:tcW w:w="312" w:type="pct"/>
            <w:noWrap w:val="0"/>
            <w:vAlign w:val="center"/>
          </w:tcPr>
          <w:p w14:paraId="441AF2E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36" w:type="pct"/>
            <w:noWrap w:val="0"/>
            <w:vAlign w:val="center"/>
          </w:tcPr>
          <w:p w14:paraId="6DC895C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772</w:t>
            </w:r>
          </w:p>
        </w:tc>
        <w:tc>
          <w:tcPr>
            <w:tcW w:w="739" w:type="pct"/>
            <w:vMerge w:val="restart"/>
            <w:noWrap w:val="0"/>
            <w:vAlign w:val="center"/>
          </w:tcPr>
          <w:p w14:paraId="3DB96BF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2020年12月</w:t>
            </w:r>
          </w:p>
        </w:tc>
        <w:tc>
          <w:tcPr>
            <w:tcW w:w="2132" w:type="pct"/>
            <w:noWrap w:val="0"/>
            <w:vAlign w:val="center"/>
          </w:tcPr>
          <w:p w14:paraId="7B2B9AE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弃渣场外侧</w:t>
            </w:r>
          </w:p>
        </w:tc>
        <w:tc>
          <w:tcPr>
            <w:tcW w:w="578" w:type="pct"/>
            <w:vMerge w:val="continue"/>
            <w:noWrap w:val="0"/>
            <w:vAlign w:val="center"/>
          </w:tcPr>
          <w:p w14:paraId="3EE9A88B">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6D7584E">
            <w:pPr>
              <w:pStyle w:val="27"/>
              <w:jc w:val="center"/>
              <w:rPr>
                <w:rFonts w:hint="default" w:ascii="Times New Roman" w:hAnsi="Times New Roman" w:eastAsia="宋体" w:cs="Times New Roman"/>
                <w:color w:val="auto"/>
                <w:sz w:val="21"/>
                <w:szCs w:val="21"/>
              </w:rPr>
            </w:pPr>
          </w:p>
        </w:tc>
      </w:tr>
      <w:tr w14:paraId="711E7D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366A57EA">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1B84E4FB">
            <w:pPr>
              <w:pStyle w:val="27"/>
              <w:jc w:val="center"/>
              <w:rPr>
                <w:rFonts w:hint="default" w:ascii="Times New Roman" w:hAnsi="Times New Roman" w:eastAsia="宋体" w:cs="Times New Roman"/>
                <w:color w:val="auto"/>
                <w:sz w:val="21"/>
                <w:szCs w:val="21"/>
              </w:rPr>
            </w:pPr>
          </w:p>
        </w:tc>
        <w:tc>
          <w:tcPr>
            <w:tcW w:w="280" w:type="pct"/>
            <w:noWrap w:val="0"/>
            <w:vAlign w:val="center"/>
          </w:tcPr>
          <w:p w14:paraId="294BE52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平台水沟</w:t>
            </w:r>
          </w:p>
        </w:tc>
        <w:tc>
          <w:tcPr>
            <w:tcW w:w="312" w:type="pct"/>
            <w:noWrap w:val="0"/>
            <w:vAlign w:val="center"/>
          </w:tcPr>
          <w:p w14:paraId="3D5DC37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336" w:type="pct"/>
            <w:noWrap w:val="0"/>
            <w:vAlign w:val="center"/>
          </w:tcPr>
          <w:p w14:paraId="67C9B37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4229F9A9">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3CA4F94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弃渣场堆渣平台</w:t>
            </w:r>
          </w:p>
        </w:tc>
        <w:tc>
          <w:tcPr>
            <w:tcW w:w="578" w:type="pct"/>
            <w:vMerge w:val="continue"/>
            <w:noWrap w:val="0"/>
            <w:vAlign w:val="center"/>
          </w:tcPr>
          <w:p w14:paraId="1DC74477">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4EE6EC0E">
            <w:pPr>
              <w:pStyle w:val="27"/>
              <w:jc w:val="center"/>
              <w:rPr>
                <w:rFonts w:hint="default" w:ascii="Times New Roman" w:hAnsi="Times New Roman" w:eastAsia="宋体" w:cs="Times New Roman"/>
                <w:color w:val="auto"/>
                <w:sz w:val="21"/>
                <w:szCs w:val="21"/>
              </w:rPr>
            </w:pPr>
          </w:p>
        </w:tc>
      </w:tr>
      <w:tr w14:paraId="1834B6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1A5FDA56">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3F90F887">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492E87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菱形网格护坡</w:t>
            </w:r>
          </w:p>
        </w:tc>
        <w:tc>
          <w:tcPr>
            <w:tcW w:w="312" w:type="pct"/>
            <w:noWrap w:val="0"/>
            <w:vAlign w:val="center"/>
          </w:tcPr>
          <w:p w14:paraId="73C61D8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2E5D859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27DB285B">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21453C3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2#弃渣场坡面</w:t>
            </w:r>
          </w:p>
        </w:tc>
        <w:tc>
          <w:tcPr>
            <w:tcW w:w="578" w:type="pct"/>
            <w:vMerge w:val="continue"/>
            <w:noWrap w:val="0"/>
            <w:vAlign w:val="center"/>
          </w:tcPr>
          <w:p w14:paraId="5D7A8B63">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5A0E1743">
            <w:pPr>
              <w:pStyle w:val="27"/>
              <w:jc w:val="center"/>
              <w:rPr>
                <w:rFonts w:hint="default" w:ascii="Times New Roman" w:hAnsi="Times New Roman" w:eastAsia="宋体" w:cs="Times New Roman"/>
                <w:color w:val="auto"/>
                <w:sz w:val="21"/>
                <w:szCs w:val="21"/>
              </w:rPr>
            </w:pPr>
          </w:p>
        </w:tc>
      </w:tr>
      <w:tr w14:paraId="00CE74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C4C87E1">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2AA3733F">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0019E3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表土回覆</w:t>
            </w:r>
          </w:p>
        </w:tc>
        <w:tc>
          <w:tcPr>
            <w:tcW w:w="312" w:type="pct"/>
            <w:noWrap w:val="0"/>
            <w:vAlign w:val="center"/>
          </w:tcPr>
          <w:p w14:paraId="6979A5F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万m</w:t>
            </w:r>
            <w:r>
              <w:rPr>
                <w:rFonts w:hint="default" w:ascii="Times New Roman" w:hAnsi="Times New Roman" w:eastAsia="宋体" w:cs="Times New Roman"/>
                <w:color w:val="auto"/>
                <w:sz w:val="21"/>
                <w:szCs w:val="21"/>
                <w:vertAlign w:val="superscript"/>
              </w:rPr>
              <w:t>3</w:t>
            </w:r>
          </w:p>
        </w:tc>
        <w:tc>
          <w:tcPr>
            <w:tcW w:w="336" w:type="pct"/>
            <w:noWrap w:val="0"/>
            <w:vAlign w:val="center"/>
          </w:tcPr>
          <w:p w14:paraId="7BB3047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461F5000">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5144B67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弃渣场顶面及坡面</w:t>
            </w:r>
          </w:p>
        </w:tc>
        <w:tc>
          <w:tcPr>
            <w:tcW w:w="578" w:type="pct"/>
            <w:vMerge w:val="continue"/>
            <w:noWrap w:val="0"/>
            <w:vAlign w:val="center"/>
          </w:tcPr>
          <w:p w14:paraId="2A1006BF">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0BF2BF9A">
            <w:pPr>
              <w:pStyle w:val="27"/>
              <w:jc w:val="center"/>
              <w:rPr>
                <w:rFonts w:hint="default" w:ascii="Times New Roman" w:hAnsi="Times New Roman" w:eastAsia="宋体" w:cs="Times New Roman"/>
                <w:color w:val="auto"/>
                <w:sz w:val="21"/>
                <w:szCs w:val="21"/>
              </w:rPr>
            </w:pPr>
          </w:p>
        </w:tc>
      </w:tr>
      <w:tr w14:paraId="05A8DC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4B1C5CC5">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4347FEB0">
            <w:pPr>
              <w:pStyle w:val="27"/>
              <w:jc w:val="center"/>
              <w:rPr>
                <w:rFonts w:hint="default" w:ascii="Times New Roman" w:hAnsi="Times New Roman" w:eastAsia="宋体" w:cs="Times New Roman"/>
                <w:color w:val="auto"/>
                <w:sz w:val="21"/>
                <w:szCs w:val="21"/>
              </w:rPr>
            </w:pPr>
          </w:p>
        </w:tc>
        <w:tc>
          <w:tcPr>
            <w:tcW w:w="280" w:type="pct"/>
            <w:noWrap w:val="0"/>
            <w:vAlign w:val="center"/>
          </w:tcPr>
          <w:p w14:paraId="1AA9FED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复耕</w:t>
            </w:r>
          </w:p>
        </w:tc>
        <w:tc>
          <w:tcPr>
            <w:tcW w:w="312" w:type="pct"/>
            <w:noWrap w:val="0"/>
            <w:vAlign w:val="center"/>
          </w:tcPr>
          <w:p w14:paraId="0FDDFA4C">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5352C53E">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2D2A0091">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0D83820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弃渣场顶面</w:t>
            </w:r>
          </w:p>
        </w:tc>
        <w:tc>
          <w:tcPr>
            <w:tcW w:w="578" w:type="pct"/>
            <w:vMerge w:val="continue"/>
            <w:noWrap w:val="0"/>
            <w:vAlign w:val="center"/>
          </w:tcPr>
          <w:p w14:paraId="12678F32">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15A4E5DC">
            <w:pPr>
              <w:pStyle w:val="27"/>
              <w:jc w:val="center"/>
              <w:rPr>
                <w:rFonts w:hint="default" w:ascii="Times New Roman" w:hAnsi="Times New Roman" w:eastAsia="宋体" w:cs="Times New Roman"/>
                <w:color w:val="auto"/>
                <w:sz w:val="21"/>
                <w:szCs w:val="21"/>
              </w:rPr>
            </w:pPr>
          </w:p>
        </w:tc>
      </w:tr>
      <w:tr w14:paraId="4CAE9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051BEE9E">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082BB8C8">
            <w:pPr>
              <w:pStyle w:val="27"/>
              <w:jc w:val="center"/>
              <w:rPr>
                <w:rFonts w:hint="default" w:ascii="Times New Roman" w:hAnsi="Times New Roman" w:eastAsia="宋体" w:cs="Times New Roman"/>
                <w:color w:val="auto"/>
                <w:sz w:val="21"/>
                <w:szCs w:val="21"/>
              </w:rPr>
            </w:pPr>
          </w:p>
        </w:tc>
        <w:tc>
          <w:tcPr>
            <w:tcW w:w="280" w:type="pct"/>
            <w:noWrap w:val="0"/>
            <w:vAlign w:val="center"/>
          </w:tcPr>
          <w:p w14:paraId="50B3495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削坡平整</w:t>
            </w:r>
          </w:p>
        </w:tc>
        <w:tc>
          <w:tcPr>
            <w:tcW w:w="312" w:type="pct"/>
            <w:noWrap w:val="0"/>
            <w:vAlign w:val="center"/>
          </w:tcPr>
          <w:p w14:paraId="38F88A7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p>
        </w:tc>
        <w:tc>
          <w:tcPr>
            <w:tcW w:w="336" w:type="pct"/>
            <w:noWrap w:val="0"/>
            <w:vAlign w:val="center"/>
          </w:tcPr>
          <w:p w14:paraId="005195B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6397A015">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6148D3B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3#、4#、5#弃渣场</w:t>
            </w:r>
          </w:p>
        </w:tc>
        <w:tc>
          <w:tcPr>
            <w:tcW w:w="578" w:type="pct"/>
            <w:vMerge w:val="continue"/>
            <w:noWrap w:val="0"/>
            <w:vAlign w:val="center"/>
          </w:tcPr>
          <w:p w14:paraId="2645774B">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273693C3">
            <w:pPr>
              <w:pStyle w:val="27"/>
              <w:jc w:val="center"/>
              <w:rPr>
                <w:rFonts w:hint="default" w:ascii="Times New Roman" w:hAnsi="Times New Roman" w:eastAsia="宋体" w:cs="Times New Roman"/>
                <w:color w:val="auto"/>
                <w:sz w:val="21"/>
                <w:szCs w:val="21"/>
              </w:rPr>
            </w:pPr>
          </w:p>
        </w:tc>
      </w:tr>
      <w:tr w14:paraId="0209AC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7CA77D69">
            <w:pPr>
              <w:pStyle w:val="27"/>
              <w:jc w:val="center"/>
              <w:rPr>
                <w:rFonts w:hint="default" w:ascii="Times New Roman" w:hAnsi="Times New Roman" w:eastAsia="宋体" w:cs="Times New Roman"/>
                <w:color w:val="auto"/>
                <w:sz w:val="21"/>
                <w:szCs w:val="21"/>
              </w:rPr>
            </w:pPr>
          </w:p>
        </w:tc>
        <w:tc>
          <w:tcPr>
            <w:tcW w:w="149" w:type="pct"/>
            <w:noWrap w:val="0"/>
            <w:vAlign w:val="center"/>
          </w:tcPr>
          <w:p w14:paraId="25C092E7">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植物措施</w:t>
            </w:r>
          </w:p>
        </w:tc>
        <w:tc>
          <w:tcPr>
            <w:tcW w:w="280" w:type="pct"/>
            <w:noWrap w:val="0"/>
            <w:vAlign w:val="center"/>
          </w:tcPr>
          <w:p w14:paraId="1C569C5F">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植被恢复</w:t>
            </w:r>
          </w:p>
        </w:tc>
        <w:tc>
          <w:tcPr>
            <w:tcW w:w="312" w:type="pct"/>
            <w:noWrap w:val="0"/>
            <w:vAlign w:val="center"/>
          </w:tcPr>
          <w:p w14:paraId="366E61C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hm²</w:t>
            </w:r>
          </w:p>
        </w:tc>
        <w:tc>
          <w:tcPr>
            <w:tcW w:w="336" w:type="pct"/>
            <w:noWrap w:val="0"/>
            <w:vAlign w:val="center"/>
          </w:tcPr>
          <w:p w14:paraId="5833965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vMerge w:val="continue"/>
            <w:noWrap w:val="0"/>
            <w:vAlign w:val="center"/>
          </w:tcPr>
          <w:p w14:paraId="5A40CF9F">
            <w:pPr>
              <w:pStyle w:val="27"/>
              <w:jc w:val="center"/>
              <w:rPr>
                <w:rFonts w:hint="default" w:ascii="Times New Roman" w:hAnsi="Times New Roman" w:eastAsia="宋体" w:cs="Times New Roman"/>
                <w:color w:val="auto"/>
                <w:sz w:val="21"/>
                <w:szCs w:val="21"/>
              </w:rPr>
            </w:pPr>
          </w:p>
        </w:tc>
        <w:tc>
          <w:tcPr>
            <w:tcW w:w="2132" w:type="pct"/>
            <w:noWrap w:val="0"/>
            <w:vAlign w:val="center"/>
          </w:tcPr>
          <w:p w14:paraId="37C9EF3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弃渣场坡面</w:t>
            </w:r>
          </w:p>
        </w:tc>
        <w:tc>
          <w:tcPr>
            <w:tcW w:w="578" w:type="pct"/>
            <w:vMerge w:val="continue"/>
            <w:noWrap w:val="0"/>
            <w:vAlign w:val="center"/>
          </w:tcPr>
          <w:p w14:paraId="59302581">
            <w:pPr>
              <w:pStyle w:val="27"/>
              <w:jc w:val="center"/>
              <w:rPr>
                <w:rFonts w:hint="default" w:ascii="Times New Roman" w:hAnsi="Times New Roman" w:eastAsia="宋体" w:cs="Times New Roman"/>
                <w:color w:val="auto"/>
                <w:sz w:val="21"/>
                <w:szCs w:val="21"/>
              </w:rPr>
            </w:pPr>
          </w:p>
        </w:tc>
        <w:tc>
          <w:tcPr>
            <w:tcW w:w="199" w:type="pct"/>
            <w:tcBorders>
              <w:right w:val="single" w:color="000000" w:sz="10" w:space="0"/>
            </w:tcBorders>
            <w:noWrap w:val="0"/>
            <w:vAlign w:val="center"/>
          </w:tcPr>
          <w:p w14:paraId="70CD17E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03A4D6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270" w:type="pct"/>
            <w:vMerge w:val="continue"/>
            <w:tcBorders>
              <w:left w:val="single" w:color="000000" w:sz="10" w:space="0"/>
            </w:tcBorders>
            <w:noWrap w:val="0"/>
            <w:vAlign w:val="center"/>
          </w:tcPr>
          <w:p w14:paraId="7D648235">
            <w:pPr>
              <w:pStyle w:val="27"/>
              <w:jc w:val="center"/>
              <w:rPr>
                <w:rFonts w:hint="default" w:ascii="Times New Roman" w:hAnsi="Times New Roman" w:eastAsia="宋体" w:cs="Times New Roman"/>
                <w:color w:val="auto"/>
                <w:sz w:val="21"/>
                <w:szCs w:val="21"/>
              </w:rPr>
            </w:pPr>
          </w:p>
        </w:tc>
        <w:tc>
          <w:tcPr>
            <w:tcW w:w="149" w:type="pct"/>
            <w:vMerge w:val="restart"/>
            <w:noWrap w:val="0"/>
            <w:vAlign w:val="center"/>
          </w:tcPr>
          <w:p w14:paraId="4B6A452B">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临时措施</w:t>
            </w:r>
          </w:p>
        </w:tc>
        <w:tc>
          <w:tcPr>
            <w:tcW w:w="280" w:type="pct"/>
            <w:noWrap w:val="0"/>
            <w:vAlign w:val="center"/>
          </w:tcPr>
          <w:p w14:paraId="6132A1C5">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临时种草</w:t>
            </w:r>
          </w:p>
        </w:tc>
        <w:tc>
          <w:tcPr>
            <w:tcW w:w="312" w:type="pct"/>
            <w:noWrap w:val="0"/>
            <w:vAlign w:val="center"/>
          </w:tcPr>
          <w:p w14:paraId="052A9946">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7691BC10">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1.88</w:t>
            </w:r>
          </w:p>
        </w:tc>
        <w:tc>
          <w:tcPr>
            <w:tcW w:w="739" w:type="pct"/>
            <w:noWrap w:val="0"/>
            <w:vAlign w:val="center"/>
          </w:tcPr>
          <w:p w14:paraId="3D8E09F1">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2019年2月</w:t>
            </w:r>
          </w:p>
          <w:p w14:paraId="7135F7D2">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~2019年6月</w:t>
            </w:r>
          </w:p>
        </w:tc>
        <w:tc>
          <w:tcPr>
            <w:tcW w:w="2132" w:type="pct"/>
            <w:noWrap w:val="0"/>
            <w:vAlign w:val="center"/>
          </w:tcPr>
          <w:p w14:paraId="644A2E73">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表土堆放表面</w:t>
            </w:r>
          </w:p>
        </w:tc>
        <w:tc>
          <w:tcPr>
            <w:tcW w:w="578" w:type="pct"/>
            <w:vMerge w:val="continue"/>
            <w:noWrap w:val="0"/>
            <w:vAlign w:val="center"/>
          </w:tcPr>
          <w:p w14:paraId="75189797">
            <w:pPr>
              <w:pStyle w:val="27"/>
              <w:jc w:val="center"/>
              <w:rPr>
                <w:rFonts w:hint="default" w:ascii="Times New Roman" w:hAnsi="Times New Roman" w:eastAsia="宋体" w:cs="Times New Roman"/>
                <w:color w:val="auto"/>
                <w:sz w:val="21"/>
                <w:szCs w:val="21"/>
              </w:rPr>
            </w:pPr>
          </w:p>
        </w:tc>
        <w:tc>
          <w:tcPr>
            <w:tcW w:w="199" w:type="pct"/>
            <w:vMerge w:val="restart"/>
            <w:tcBorders>
              <w:right w:val="single" w:color="000000" w:sz="10" w:space="0"/>
            </w:tcBorders>
            <w:noWrap w:val="0"/>
            <w:vAlign w:val="center"/>
          </w:tcPr>
          <w:p w14:paraId="2D930B2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良好</w:t>
            </w:r>
          </w:p>
        </w:tc>
      </w:tr>
      <w:tr w14:paraId="08F55A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rPr>
        <w:tc>
          <w:tcPr>
            <w:tcW w:w="270" w:type="pct"/>
            <w:vMerge w:val="continue"/>
            <w:tcBorders>
              <w:left w:val="single" w:color="000000" w:sz="10" w:space="0"/>
            </w:tcBorders>
            <w:noWrap w:val="0"/>
            <w:vAlign w:val="center"/>
          </w:tcPr>
          <w:p w14:paraId="5F6ACF6D">
            <w:pPr>
              <w:pStyle w:val="27"/>
              <w:jc w:val="center"/>
              <w:rPr>
                <w:rFonts w:hint="default" w:ascii="Times New Roman" w:hAnsi="Times New Roman" w:eastAsia="宋体" w:cs="Times New Roman"/>
                <w:color w:val="auto"/>
                <w:sz w:val="21"/>
                <w:szCs w:val="21"/>
              </w:rPr>
            </w:pPr>
          </w:p>
        </w:tc>
        <w:tc>
          <w:tcPr>
            <w:tcW w:w="149" w:type="pct"/>
            <w:vMerge w:val="continue"/>
            <w:noWrap w:val="0"/>
            <w:vAlign w:val="center"/>
          </w:tcPr>
          <w:p w14:paraId="172C2C72">
            <w:pPr>
              <w:pStyle w:val="27"/>
              <w:jc w:val="center"/>
              <w:rPr>
                <w:rFonts w:hint="default" w:ascii="Times New Roman" w:hAnsi="Times New Roman" w:eastAsia="宋体" w:cs="Times New Roman"/>
                <w:color w:val="auto"/>
                <w:sz w:val="21"/>
                <w:szCs w:val="21"/>
              </w:rPr>
            </w:pPr>
          </w:p>
        </w:tc>
        <w:tc>
          <w:tcPr>
            <w:tcW w:w="280" w:type="pct"/>
            <w:noWrap w:val="0"/>
            <w:vAlign w:val="center"/>
          </w:tcPr>
          <w:p w14:paraId="408F4B6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防雨布遮盖</w:t>
            </w:r>
          </w:p>
        </w:tc>
        <w:tc>
          <w:tcPr>
            <w:tcW w:w="312" w:type="pct"/>
            <w:noWrap w:val="0"/>
            <w:vAlign w:val="center"/>
          </w:tcPr>
          <w:p w14:paraId="5FB1E5AA">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c>
          <w:tcPr>
            <w:tcW w:w="336" w:type="pct"/>
            <w:noWrap w:val="0"/>
            <w:vAlign w:val="center"/>
          </w:tcPr>
          <w:p w14:paraId="198E4949">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39" w:type="pct"/>
            <w:noWrap w:val="0"/>
            <w:vAlign w:val="center"/>
          </w:tcPr>
          <w:p w14:paraId="1110CCE4">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2020年12月</w:t>
            </w:r>
          </w:p>
        </w:tc>
        <w:tc>
          <w:tcPr>
            <w:tcW w:w="2132" w:type="pct"/>
            <w:noWrap w:val="0"/>
            <w:vAlign w:val="center"/>
          </w:tcPr>
          <w:p w14:paraId="763C9EA8">
            <w:pPr>
              <w:pStyle w:val="27"/>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不能及时完成防护的裸露地表</w:t>
            </w:r>
          </w:p>
        </w:tc>
        <w:tc>
          <w:tcPr>
            <w:tcW w:w="578" w:type="pct"/>
            <w:vMerge w:val="continue"/>
            <w:noWrap w:val="0"/>
            <w:vAlign w:val="center"/>
          </w:tcPr>
          <w:p w14:paraId="444D8F2C">
            <w:pPr>
              <w:pStyle w:val="27"/>
              <w:jc w:val="center"/>
              <w:rPr>
                <w:rFonts w:hint="default" w:ascii="Times New Roman" w:hAnsi="Times New Roman" w:eastAsia="宋体" w:cs="Times New Roman"/>
                <w:color w:val="auto"/>
                <w:sz w:val="21"/>
                <w:szCs w:val="21"/>
              </w:rPr>
            </w:pPr>
          </w:p>
        </w:tc>
        <w:tc>
          <w:tcPr>
            <w:tcW w:w="199" w:type="pct"/>
            <w:vMerge w:val="continue"/>
            <w:tcBorders>
              <w:right w:val="single" w:color="000000" w:sz="10" w:space="0"/>
            </w:tcBorders>
            <w:noWrap w:val="0"/>
            <w:vAlign w:val="center"/>
          </w:tcPr>
          <w:p w14:paraId="635944B9">
            <w:pPr>
              <w:pStyle w:val="27"/>
              <w:jc w:val="center"/>
              <w:rPr>
                <w:rFonts w:hint="default" w:ascii="Times New Roman" w:hAnsi="Times New Roman" w:eastAsia="宋体" w:cs="Times New Roman"/>
                <w:color w:val="auto"/>
                <w:sz w:val="21"/>
                <w:szCs w:val="21"/>
              </w:rPr>
            </w:pPr>
          </w:p>
        </w:tc>
      </w:tr>
    </w:tbl>
    <w:p w14:paraId="4B4BC960">
      <w:pPr>
        <w:pStyle w:val="27"/>
        <w:jc w:val="center"/>
        <w:rPr>
          <w:rFonts w:hint="eastAsia" w:ascii="Times New Roman" w:hAnsi="Times New Roman" w:eastAsia="宋体" w:cs="Times New Roman"/>
          <w:color w:val="auto"/>
          <w:sz w:val="21"/>
          <w:szCs w:val="21"/>
          <w:lang w:eastAsia="zh-CN"/>
        </w:rPr>
        <w:sectPr>
          <w:pgSz w:w="16838" w:h="11906" w:orient="landscape"/>
          <w:pgMar w:top="1800" w:right="1440" w:bottom="1800" w:left="144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p>
    <w:p w14:paraId="134D7737">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5.9.3</w:t>
      </w:r>
      <w:r>
        <w:rPr>
          <w:rFonts w:hint="default" w:ascii="Times New Roman" w:hAnsi="Times New Roman" w:cs="Times New Roman"/>
          <w:color w:val="auto"/>
        </w:rPr>
        <w:t>水土保持效果评价</w:t>
      </w:r>
    </w:p>
    <w:p w14:paraId="5FDDA4AD">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从对已实施的水土保持各项措施的数量和原设计的对比来看，大部分的工程内容能够在施工中得以体现，但各分部工程量存在略微变化，现就已实施的</w:t>
      </w:r>
      <w:r>
        <w:rPr>
          <w:rFonts w:hint="eastAsia" w:cs="Times New Roman"/>
          <w:color w:val="auto"/>
          <w:szCs w:val="24"/>
          <w:lang w:eastAsia="zh-CN"/>
        </w:rPr>
        <w:t>各项</w:t>
      </w:r>
      <w:r>
        <w:rPr>
          <w:rFonts w:hint="default" w:ascii="Times New Roman" w:hAnsi="Times New Roman" w:eastAsia="宋体" w:cs="Times New Roman"/>
          <w:color w:val="auto"/>
          <w:szCs w:val="24"/>
        </w:rPr>
        <w:t>措施合理性变化的原因及合理性进行分析和评价：</w:t>
      </w:r>
    </w:p>
    <w:p w14:paraId="6251C9F1">
      <w:pPr>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1、</w:t>
      </w:r>
      <w:r>
        <w:rPr>
          <w:rFonts w:hint="default" w:ascii="Times New Roman" w:hAnsi="Times New Roman" w:eastAsia="宋体" w:cs="Times New Roman"/>
          <w:color w:val="auto"/>
          <w:szCs w:val="24"/>
        </w:rPr>
        <w:t>工程措施</w:t>
      </w:r>
    </w:p>
    <w:p w14:paraId="245905C2">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工程措施包括拦渣工程、斜坡防护工程、防洪排导工程、土地整治工程，它们既为保证主体工程安全而存在，同时也较好</w:t>
      </w:r>
      <w:r>
        <w:rPr>
          <w:rFonts w:hint="eastAsia" w:cs="Times New Roman"/>
          <w:color w:val="auto"/>
          <w:szCs w:val="24"/>
          <w:lang w:eastAsia="zh-CN"/>
        </w:rPr>
        <w:t>地</w:t>
      </w:r>
      <w:r>
        <w:rPr>
          <w:rFonts w:hint="default" w:ascii="Times New Roman" w:hAnsi="Times New Roman" w:eastAsia="宋体" w:cs="Times New Roman"/>
          <w:color w:val="auto"/>
          <w:szCs w:val="24"/>
        </w:rPr>
        <w:t>防治水土流失，避免降雨对挖填边坡的冲刷，达到较好的水土保持效果。</w:t>
      </w:r>
    </w:p>
    <w:p w14:paraId="447AE8A4">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随着后续阶段的主体工程和水土保持工程细化和优化，工程量也随之调整。主要变化较大的工程措施在取土场防治区和弃渣场防治区。</w:t>
      </w:r>
    </w:p>
    <w:p w14:paraId="741E0A8C">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取土场防治区：随着施工结束，建设单位针对取土场实施后的不规则边坡区域进行了削坡整治；整治放缓边坡的同时将整治区域进行土地整治，采取栽植藤本植物进行绿化并采用无纺布进行临时遮盖。</w:t>
      </w:r>
    </w:p>
    <w:p w14:paraId="5BF9E26F">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弃渣场防治区：本工程施工结束后，建设单位对弃渣场建设后存在的不足进行了集中整治。通过补充整治渣体边坡、增设排水沟、植被恢复等措施建设，使弃渣场满足防治要求。根据工程建设实际，</w:t>
      </w:r>
      <w:r>
        <w:rPr>
          <w:rFonts w:hint="eastAsia" w:cs="Times New Roman"/>
          <w:color w:val="auto"/>
          <w:szCs w:val="24"/>
          <w:lang w:val="en-US" w:eastAsia="zh-CN"/>
        </w:rPr>
        <w:t>对部分</w:t>
      </w:r>
      <w:r>
        <w:rPr>
          <w:rFonts w:hint="default" w:ascii="Times New Roman" w:hAnsi="Times New Roman" w:eastAsia="宋体" w:cs="Times New Roman"/>
          <w:color w:val="auto"/>
          <w:szCs w:val="24"/>
        </w:rPr>
        <w:t>弃渣场进行了削坡处理，</w:t>
      </w:r>
      <w:r>
        <w:rPr>
          <w:rFonts w:hint="eastAsia" w:cs="Times New Roman"/>
          <w:color w:val="auto"/>
          <w:szCs w:val="24"/>
          <w:lang w:val="en-US" w:eastAsia="zh-CN"/>
        </w:rPr>
        <w:t>并</w:t>
      </w:r>
      <w:r>
        <w:rPr>
          <w:rFonts w:hint="default" w:ascii="Times New Roman" w:hAnsi="Times New Roman" w:eastAsia="宋体" w:cs="Times New Roman"/>
          <w:color w:val="auto"/>
          <w:szCs w:val="24"/>
        </w:rPr>
        <w:t>配套建设的排水等工程措施。</w:t>
      </w:r>
    </w:p>
    <w:p w14:paraId="5F737DA6">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关于排水沟设</w:t>
      </w:r>
      <w:r>
        <w:rPr>
          <w:rFonts w:hint="eastAsia" w:ascii="Times New Roman" w:hAnsi="Times New Roman" w:eastAsia="宋体" w:cs="Times New Roman"/>
          <w:color w:val="auto"/>
          <w:szCs w:val="24"/>
          <w:lang w:eastAsia="zh-CN"/>
        </w:rPr>
        <w:t>置</w:t>
      </w:r>
      <w:r>
        <w:rPr>
          <w:rFonts w:hint="default" w:ascii="Times New Roman" w:hAnsi="Times New Roman" w:eastAsia="宋体" w:cs="Times New Roman"/>
          <w:color w:val="auto"/>
          <w:szCs w:val="24"/>
        </w:rPr>
        <w:t>的分析：结合本项目实际，根据弃渣场等级，堆渣高度、堆渣面积、平台马道及渣场汇水的实际综合设</w:t>
      </w:r>
      <w:r>
        <w:rPr>
          <w:rFonts w:hint="eastAsia" w:ascii="Times New Roman" w:hAnsi="Times New Roman" w:eastAsia="宋体" w:cs="Times New Roman"/>
          <w:color w:val="auto"/>
          <w:szCs w:val="24"/>
          <w:lang w:eastAsia="zh-CN"/>
        </w:rPr>
        <w:t>置</w:t>
      </w:r>
      <w:r>
        <w:rPr>
          <w:rFonts w:hint="default" w:ascii="Times New Roman" w:hAnsi="Times New Roman" w:eastAsia="宋体" w:cs="Times New Roman"/>
          <w:color w:val="auto"/>
          <w:szCs w:val="24"/>
        </w:rPr>
        <w:t>。弃渣场均已进行了植被恢复或复耕，渣顶及边坡不再裸露，利用植物根系的护坡作用，基本不会因造成冲刷而造成水土流失，可满足防治要求。</w:t>
      </w:r>
    </w:p>
    <w:p w14:paraId="38967393">
      <w:pPr>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2、</w:t>
      </w:r>
      <w:r>
        <w:rPr>
          <w:rFonts w:hint="default" w:ascii="Times New Roman" w:hAnsi="Times New Roman" w:eastAsia="宋体" w:cs="Times New Roman"/>
          <w:color w:val="auto"/>
          <w:szCs w:val="24"/>
        </w:rPr>
        <w:t>植物措施</w:t>
      </w:r>
    </w:p>
    <w:p w14:paraId="5F9EC86F">
      <w:pPr>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根据弃渣场、取土场实际整治的需要，对后续整治后扰动区域进行了植被恢复，根据现场调查的情况，工程区的水热条件较好，边坡扰动区域上侧设</w:t>
      </w:r>
      <w:r>
        <w:rPr>
          <w:rFonts w:hint="eastAsia" w:ascii="Times New Roman" w:hAnsi="Times New Roman" w:eastAsia="宋体" w:cs="Times New Roman"/>
          <w:color w:val="auto"/>
          <w:szCs w:val="24"/>
          <w:lang w:eastAsia="zh-CN"/>
        </w:rPr>
        <w:t>置</w:t>
      </w:r>
      <w:r>
        <w:rPr>
          <w:rFonts w:hint="default" w:ascii="Times New Roman" w:hAnsi="Times New Roman" w:eastAsia="宋体" w:cs="Times New Roman"/>
          <w:color w:val="auto"/>
          <w:szCs w:val="24"/>
        </w:rPr>
        <w:t>截水沟，坡面植被生长较好，具有良好的水土保持效益。</w:t>
      </w:r>
    </w:p>
    <w:p w14:paraId="123E98DF">
      <w:pPr>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3、</w:t>
      </w:r>
      <w:r>
        <w:rPr>
          <w:rFonts w:hint="default" w:ascii="Times New Roman" w:hAnsi="Times New Roman" w:eastAsia="宋体" w:cs="Times New Roman"/>
          <w:color w:val="auto"/>
          <w:szCs w:val="24"/>
        </w:rPr>
        <w:t>临时措施</w:t>
      </w:r>
    </w:p>
    <w:p w14:paraId="7EF33DCF">
      <w:pPr>
        <w:ind w:firstLine="480"/>
        <w:rPr>
          <w:rFonts w:hint="default" w:ascii="Times New Roman" w:hAnsi="Times New Roman" w:cs="Times New Roman"/>
          <w:color w:val="auto"/>
          <w:szCs w:val="24"/>
        </w:rPr>
      </w:pPr>
      <w:r>
        <w:rPr>
          <w:rFonts w:hint="default" w:ascii="Times New Roman" w:hAnsi="Times New Roman" w:eastAsia="宋体" w:cs="Times New Roman"/>
          <w:color w:val="auto"/>
          <w:szCs w:val="24"/>
        </w:rPr>
        <w:t>本工程水土保持临时措施包括临时排水、临时遮盖、临时种草等，其中临时种草、临时沉浆主要用于工程建设过程中，由于长时间地表裸露或堆渣料长时间堆放的临时遮盖措施；而临时沉浆主要源于桥涵及互通工程，钻孔灌注桩成孔时所需的泥浆系统，泥浆携带钻渣经泥浆池沉淀后固化处理，转运至弃渣场进行集中堆放处理。本工程在实际施工过程中较为注重临时保护，基本能够做到划定施工区域、预先遮盖、临时撒草及合理的临时沉浆措施。</w:t>
      </w:r>
    </w:p>
    <w:p w14:paraId="01CA5237">
      <w:pPr>
        <w:keepNext w:val="0"/>
        <w:keepLines w:val="0"/>
        <w:pageBreakBefore w:val="0"/>
        <w:widowControl w:val="0"/>
        <w:kinsoku/>
        <w:wordWrap/>
        <w:overflowPunct/>
        <w:topLinePunct w:val="0"/>
        <w:autoSpaceDE/>
        <w:autoSpaceDN/>
        <w:bidi w:val="0"/>
        <w:adjustRightInd w:val="0"/>
        <w:snapToGrid w:val="0"/>
        <w:ind w:left="0"/>
        <w:textAlignment w:val="auto"/>
        <w:rPr>
          <w:rFonts w:hint="eastAsia"/>
          <w:color w:val="auto"/>
          <w:lang w:val="en-US" w:eastAsia="zh-CN"/>
        </w:rPr>
      </w:pPr>
    </w:p>
    <w:p w14:paraId="47FB382A">
      <w:pPr>
        <w:pStyle w:val="3"/>
        <w:numPr>
          <w:ilvl w:val="0"/>
          <w:numId w:val="0"/>
        </w:numPr>
        <w:ind w:left="578" w:leftChars="0" w:hanging="578" w:firstLineChars="0"/>
        <w:rPr>
          <w:rFonts w:hint="default" w:ascii="Times New Roman" w:hAnsi="Times New Roman" w:cs="Times New Roman"/>
          <w:color w:val="auto"/>
        </w:rPr>
      </w:pPr>
      <w:bookmarkStart w:id="118" w:name="_Toc11687"/>
      <w:bookmarkStart w:id="119" w:name="_Toc31020"/>
      <w:r>
        <w:rPr>
          <w:rFonts w:hint="eastAsia" w:ascii="Times New Roman" w:hAnsi="Times New Roman" w:cs="Times New Roman"/>
          <w:b/>
          <w:bCs/>
          <w:color w:val="auto"/>
          <w:kern w:val="2"/>
          <w:sz w:val="32"/>
          <w:szCs w:val="32"/>
          <w:lang w:val="en-US" w:eastAsia="zh-CN" w:bidi="ar-SA"/>
        </w:rPr>
        <w:t>5.9</w:t>
      </w:r>
      <w:r>
        <w:rPr>
          <w:rFonts w:hint="default" w:ascii="Times New Roman" w:hAnsi="Times New Roman" w:cs="Times New Roman"/>
          <w:color w:val="auto"/>
        </w:rPr>
        <w:t>景观影响调查</w:t>
      </w:r>
      <w:bookmarkEnd w:id="118"/>
      <w:bookmarkEnd w:id="119"/>
    </w:p>
    <w:p w14:paraId="26B3FF0E">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建设单位结合本公路的实际情况，将环境保护与景观协调作为本公路设计的重点，最大限度</w:t>
      </w:r>
      <w:r>
        <w:rPr>
          <w:rFonts w:hint="eastAsia" w:cs="Times New Roman"/>
          <w:color w:val="auto"/>
          <w:szCs w:val="24"/>
          <w:lang w:eastAsia="zh-CN"/>
        </w:rPr>
        <w:t>地</w:t>
      </w:r>
      <w:r>
        <w:rPr>
          <w:rFonts w:hint="default" w:ascii="Times New Roman" w:hAnsi="Times New Roman" w:cs="Times New Roman"/>
          <w:color w:val="auto"/>
          <w:szCs w:val="24"/>
        </w:rPr>
        <w:t>保护环境，尽可能</w:t>
      </w:r>
      <w:r>
        <w:rPr>
          <w:rFonts w:hint="eastAsia" w:cs="Times New Roman"/>
          <w:color w:val="auto"/>
          <w:szCs w:val="24"/>
          <w:lang w:eastAsia="zh-CN"/>
        </w:rPr>
        <w:t>地</w:t>
      </w:r>
      <w:r>
        <w:rPr>
          <w:rFonts w:hint="default" w:ascii="Times New Roman" w:hAnsi="Times New Roman" w:cs="Times New Roman"/>
          <w:color w:val="auto"/>
          <w:szCs w:val="24"/>
        </w:rPr>
        <w:t>恢复自然，达到景观协调、环境优美。</w:t>
      </w:r>
    </w:p>
    <w:p w14:paraId="521EDEFA">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设计过程中，以生态绿化为背景、以视觉景观为主导，形成“点、线、面”结合的链状景观体系，注重</w:t>
      </w:r>
      <w:r>
        <w:rPr>
          <w:rFonts w:hint="eastAsia" w:cs="Times New Roman"/>
          <w:color w:val="auto"/>
          <w:szCs w:val="24"/>
          <w:lang w:eastAsia="zh-CN"/>
        </w:rPr>
        <w:t>生态环境保护</w:t>
      </w:r>
      <w:r>
        <w:rPr>
          <w:rFonts w:hint="default" w:ascii="Times New Roman" w:hAnsi="Times New Roman" w:cs="Times New Roman"/>
          <w:color w:val="auto"/>
          <w:szCs w:val="24"/>
        </w:rPr>
        <w:t>、恢复和利用提高绿化覆盖率。建设过程中，在公路用地范围内进行植树绿化，有条件的边坡种草，形成绿化长廊，在互通式立交、服务区内进行景观绿化，取、弃土场进行植被恢复和复耕及移交手续。</w:t>
      </w:r>
    </w:p>
    <w:p w14:paraId="4256342B">
      <w:pPr>
        <w:pStyle w:val="3"/>
        <w:numPr>
          <w:ilvl w:val="0"/>
          <w:numId w:val="0"/>
        </w:numPr>
        <w:ind w:left="578" w:leftChars="0" w:hanging="578" w:firstLineChars="0"/>
        <w:rPr>
          <w:rFonts w:hint="default" w:ascii="Times New Roman" w:hAnsi="Times New Roman" w:cs="Times New Roman"/>
          <w:color w:val="auto"/>
        </w:rPr>
      </w:pPr>
      <w:bookmarkStart w:id="120" w:name="_Toc21280"/>
      <w:bookmarkStart w:id="121" w:name="_Toc24418"/>
      <w:r>
        <w:rPr>
          <w:rFonts w:hint="eastAsia" w:ascii="Times New Roman" w:hAnsi="Times New Roman" w:cs="Times New Roman"/>
          <w:b/>
          <w:bCs/>
          <w:color w:val="auto"/>
          <w:kern w:val="2"/>
          <w:sz w:val="32"/>
          <w:szCs w:val="32"/>
          <w:lang w:val="en-US" w:eastAsia="zh-CN" w:bidi="ar-SA"/>
        </w:rPr>
        <w:t>5.10</w:t>
      </w:r>
      <w:r>
        <w:rPr>
          <w:rFonts w:hint="default" w:ascii="Times New Roman" w:hAnsi="Times New Roman" w:cs="Times New Roman"/>
          <w:color w:val="auto"/>
        </w:rPr>
        <w:t>小结</w:t>
      </w:r>
      <w:bookmarkEnd w:id="120"/>
      <w:bookmarkEnd w:id="121"/>
    </w:p>
    <w:p w14:paraId="0F84D46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本公路对沿线生态环境影响仅局限于公路永久占地如路基、服务设施等区域，使土地失去植被生长功能，对周围生态环境造成间接影响，但本公路并没有扩大其影响范围，且充分利用地形特征，提高纵坡比例，减少高路堤路段，减少路基占地。通过公路绿化和工程防护措施降低了工程建设对其生态环境的影响。</w:t>
      </w:r>
    </w:p>
    <w:p w14:paraId="75280A75">
      <w:pPr>
        <w:pStyle w:val="24"/>
        <w:ind w:firstLine="48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）本公路沿线设置的</w:t>
      </w:r>
      <w:r>
        <w:rPr>
          <w:rFonts w:hint="eastAsia" w:cs="Times New Roman"/>
          <w:color w:val="auto"/>
          <w:szCs w:val="24"/>
          <w:lang w:val="en-US" w:eastAsia="zh-CN"/>
        </w:rPr>
        <w:t>弃土场、拌和站</w:t>
      </w:r>
      <w:r>
        <w:rPr>
          <w:rFonts w:hint="default" w:ascii="Times New Roman" w:hAnsi="Times New Roman" w:cs="Times New Roman"/>
          <w:color w:val="auto"/>
          <w:szCs w:val="24"/>
        </w:rPr>
        <w:t>、施工便道等临时用地基本得到了生态恢复，临时占地的复耕、植被恢复工作与工程建设同期进行。目前临时占地经过土地整治后，已基本恢复为绿地、耕地。</w:t>
      </w:r>
    </w:p>
    <w:p w14:paraId="46AB6697">
      <w:pPr>
        <w:pStyle w:val="24"/>
        <w:ind w:firstLine="48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）公路绿化模式采用乔、灌、草相结合的群落结构，遵循了自然生态植被规律，而且本公路绿化植物物种丰富，公路绿化降低了水土流失及生态环境的影响。没有发生因工程建设引发生物入侵风险事故。</w:t>
      </w:r>
    </w:p>
    <w:p w14:paraId="6F5F936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）项目主线全长10.979km，桥隧比4.38%，全线桥梁481m/3座，互通式立交1处，匝道收费站1处及配套的管理用房，不设置服务区、养护工区和停车区，全线无隧道，公路沿线桥</w:t>
      </w:r>
      <w:r>
        <w:rPr>
          <w:rFonts w:hint="eastAsia" w:cs="Times New Roman"/>
          <w:color w:val="auto"/>
          <w:szCs w:val="24"/>
          <w:lang w:val="en-US" w:eastAsia="zh-CN"/>
        </w:rPr>
        <w:t>梁</w:t>
      </w:r>
      <w:r>
        <w:rPr>
          <w:rFonts w:hint="default" w:ascii="Times New Roman" w:hAnsi="Times New Roman" w:cs="Times New Roman"/>
          <w:color w:val="auto"/>
          <w:szCs w:val="24"/>
        </w:rPr>
        <w:t>的设置降低了公路屏障对野生动物活动的阻隔影响。</w:t>
      </w:r>
    </w:p>
    <w:p w14:paraId="0FA8504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5</w:t>
      </w:r>
      <w:r>
        <w:rPr>
          <w:rFonts w:hint="default" w:ascii="Times New Roman" w:hAnsi="Times New Roman" w:cs="Times New Roman"/>
          <w:color w:val="auto"/>
          <w:szCs w:val="24"/>
        </w:rPr>
        <w:t>）本工程落实了环评及其批复文件相关生态环保措施，如通过优化弃渣场选址，降低了其对土地资源的影响；公路建设尽量减少占用耕地、林地政策及公路绿化等措施，最大限度地降低了因公路建设对沿线农业生态系统和森林生态系统的影响。</w:t>
      </w:r>
      <w:r>
        <w:rPr>
          <w:rFonts w:hint="default" w:ascii="Times New Roman" w:hAnsi="Times New Roman" w:cs="Times New Roman"/>
          <w:bCs/>
          <w:color w:val="auto"/>
          <w:szCs w:val="24"/>
        </w:rPr>
        <w:t>公路</w:t>
      </w:r>
      <w:r>
        <w:rPr>
          <w:rFonts w:hint="default" w:ascii="Times New Roman" w:hAnsi="Times New Roman" w:cs="Times New Roman"/>
          <w:bCs/>
          <w:color w:val="auto"/>
          <w:szCs w:val="24"/>
          <w:lang w:eastAsia="zh-CN"/>
        </w:rPr>
        <w:t>建设扰动植被为区域常见物种</w:t>
      </w:r>
      <w:r>
        <w:rPr>
          <w:rFonts w:hint="default" w:ascii="Times New Roman" w:hAnsi="Times New Roman" w:cs="Times New Roman"/>
          <w:bCs/>
          <w:color w:val="auto"/>
          <w:szCs w:val="24"/>
        </w:rPr>
        <w:t>，对沿线动植物生物多样性、种群及生态系统未产生明显影响</w:t>
      </w:r>
      <w:r>
        <w:rPr>
          <w:rFonts w:hint="default" w:ascii="Times New Roman" w:hAnsi="Times New Roman" w:cs="Times New Roman"/>
          <w:bCs/>
          <w:color w:val="auto"/>
          <w:szCs w:val="24"/>
          <w:lang w:eastAsia="zh-CN"/>
        </w:rPr>
        <w:t>。</w:t>
      </w:r>
      <w:r>
        <w:rPr>
          <w:rFonts w:hint="default" w:ascii="Times New Roman" w:hAnsi="Times New Roman" w:cs="Times New Roman"/>
          <w:color w:val="auto"/>
          <w:szCs w:val="24"/>
        </w:rPr>
        <w:t>本工程对沿线生态环境的影响是可以接受的。</w:t>
      </w:r>
    </w:p>
    <w:p w14:paraId="4BD18567">
      <w:pPr>
        <w:rPr>
          <w:rFonts w:hint="default"/>
          <w:color w:val="auto"/>
          <w:lang w:val="en-US" w:eastAsia="zh-CN"/>
        </w:rPr>
      </w:pPr>
      <w:r>
        <w:rPr>
          <w:rFonts w:hint="default"/>
          <w:color w:val="auto"/>
          <w:lang w:val="en-US" w:eastAsia="zh-CN"/>
        </w:rPr>
        <w:br w:type="page"/>
      </w:r>
    </w:p>
    <w:p w14:paraId="642554E9">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default" w:ascii="Times New Roman" w:hAnsi="Times New Roman" w:eastAsia="宋体" w:cs="Times New Roman"/>
          <w:color w:val="auto"/>
          <w:sz w:val="36"/>
          <w:szCs w:val="36"/>
          <w:lang w:val="en-US" w:eastAsia="zh-CN"/>
        </w:rPr>
      </w:pPr>
      <w:bookmarkStart w:id="122" w:name="_Toc4289"/>
      <w:bookmarkStart w:id="123" w:name="_Toc8750"/>
      <w:r>
        <w:rPr>
          <w:rFonts w:hint="eastAsia" w:ascii="Times New Roman" w:hAnsi="Times New Roman" w:eastAsia="宋体" w:cs="Times New Roman"/>
          <w:color w:val="auto"/>
          <w:sz w:val="36"/>
          <w:szCs w:val="36"/>
          <w:lang w:val="en-US" w:eastAsia="zh-CN"/>
        </w:rPr>
        <w:t>6</w:t>
      </w:r>
      <w:r>
        <w:rPr>
          <w:rFonts w:hint="default" w:ascii="Times New Roman" w:hAnsi="Times New Roman" w:eastAsia="宋体" w:cs="Times New Roman"/>
          <w:color w:val="auto"/>
          <w:sz w:val="36"/>
          <w:szCs w:val="36"/>
          <w:lang w:val="en-US" w:eastAsia="zh-CN"/>
        </w:rPr>
        <w:t>声环境影响调查</w:t>
      </w:r>
      <w:bookmarkEnd w:id="122"/>
      <w:bookmarkEnd w:id="123"/>
    </w:p>
    <w:p w14:paraId="4EA12F40">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24" w:name="_Toc4807"/>
      <w:bookmarkStart w:id="125" w:name="_Toc17301"/>
      <w:r>
        <w:rPr>
          <w:rFonts w:hint="eastAsia" w:ascii="Times New Roman" w:hAnsi="Times New Roman" w:eastAsia="宋体" w:cs="Times New Roman"/>
          <w:b/>
          <w:bCs/>
          <w:color w:val="auto"/>
          <w:kern w:val="2"/>
          <w:sz w:val="32"/>
          <w:szCs w:val="32"/>
          <w:lang w:val="en-US" w:eastAsia="zh-CN" w:bidi="ar-SA"/>
        </w:rPr>
        <w:t>6.1</w:t>
      </w:r>
      <w:r>
        <w:rPr>
          <w:rFonts w:hint="default" w:ascii="Times New Roman" w:hAnsi="Times New Roman" w:eastAsia="宋体" w:cs="Times New Roman"/>
          <w:b/>
          <w:bCs/>
          <w:color w:val="auto"/>
          <w:kern w:val="2"/>
          <w:sz w:val="32"/>
          <w:szCs w:val="32"/>
          <w:lang w:val="en-US" w:eastAsia="zh-CN" w:bidi="ar-SA"/>
        </w:rPr>
        <w:t>施工期声环境影响调查</w:t>
      </w:r>
      <w:bookmarkEnd w:id="124"/>
      <w:bookmarkEnd w:id="125"/>
    </w:p>
    <w:p w14:paraId="0E5C288B">
      <w:pPr>
        <w:pStyle w:val="4"/>
        <w:numPr>
          <w:ilvl w:val="2"/>
          <w:numId w:val="0"/>
        </w:numPr>
        <w:ind w:left="720" w:leftChars="0" w:hanging="720" w:firstLineChars="0"/>
        <w:rPr>
          <w:rFonts w:hint="default" w:ascii="Times New Roman" w:hAnsi="Times New Roman" w:eastAsia="宋体" w:cs="Times New Roman"/>
          <w:b/>
          <w:bCs/>
          <w:color w:val="auto"/>
          <w:kern w:val="2"/>
          <w:sz w:val="30"/>
          <w:szCs w:val="30"/>
          <w:lang w:val="en-US" w:eastAsia="zh-CN" w:bidi="ar-SA"/>
        </w:rPr>
      </w:pPr>
      <w:r>
        <w:rPr>
          <w:rFonts w:hint="eastAsia" w:ascii="Times New Roman" w:hAnsi="Times New Roman" w:eastAsia="宋体" w:cs="Times New Roman"/>
          <w:b/>
          <w:bCs/>
          <w:color w:val="auto"/>
          <w:kern w:val="2"/>
          <w:sz w:val="30"/>
          <w:szCs w:val="30"/>
          <w:lang w:val="en-US" w:eastAsia="zh-CN" w:bidi="ar-SA"/>
        </w:rPr>
        <w:t>6.1.1</w:t>
      </w:r>
      <w:r>
        <w:rPr>
          <w:rFonts w:hint="default" w:ascii="Times New Roman" w:hAnsi="Times New Roman" w:eastAsia="宋体" w:cs="Times New Roman"/>
          <w:b/>
          <w:bCs/>
          <w:color w:val="auto"/>
          <w:kern w:val="2"/>
          <w:sz w:val="30"/>
          <w:szCs w:val="30"/>
          <w:lang w:val="en-US" w:eastAsia="zh-CN" w:bidi="ar-SA"/>
        </w:rPr>
        <w:t>施工噪声影响回顾性分析</w:t>
      </w:r>
    </w:p>
    <w:p w14:paraId="222F2217">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施工噪声防治措施落实情况​</w:t>
      </w:r>
    </w:p>
    <w:p w14:paraId="79119F75">
      <w:pPr>
        <w:keepNext w:val="0"/>
        <w:keepLines w:val="0"/>
        <w:pageBreakBefore w:val="0"/>
        <w:widowControl w:val="0"/>
        <w:kinsoku/>
        <w:wordWrap/>
        <w:overflowPunct/>
        <w:topLinePunct w:val="0"/>
        <w:autoSpaceDE/>
        <w:autoSpaceDN/>
        <w:bidi w:val="0"/>
        <w:adjustRightInd w:val="0"/>
        <w:snapToGrid w:val="0"/>
        <w:ind w:left="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据调查，工程各标段在施工期间均采取了措施避免施工作业对施工区域及道路沿线居民声环境带来影响，经调查走访，本项目建设过程中未见有关噪声影响方面的投诉。建设单位施工噪声对环境的影响较小。其环保措施主要包括以下方面：</w:t>
      </w:r>
    </w:p>
    <w:p w14:paraId="5C3A35C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采用低噪声机械，工程施工所用的施工机械设备事先对其进行常规工作状态下的噪声测量，超过国家标准的机械应禁止其入场施工。施工过程中还经常对设备进行维修保养，避免了由于设备性能差而使噪声增强现象的发生。</w:t>
      </w:r>
    </w:p>
    <w:p w14:paraId="657C9BE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（2）工程施工前公开张贴告示，告知工程名称、工程内容、施工作业方式、施工时间、拟采取的降噪措施以及声环境影响的</w:t>
      </w:r>
      <w:r>
        <w:rPr>
          <w:rFonts w:hint="eastAsia" w:cs="Times New Roman"/>
          <w:color w:val="auto"/>
          <w:szCs w:val="24"/>
          <w:lang w:eastAsia="zh-CN"/>
        </w:rPr>
        <w:t>程度</w:t>
      </w:r>
      <w:r>
        <w:rPr>
          <w:rFonts w:hint="default" w:ascii="Times New Roman" w:hAnsi="Times New Roman" w:cs="Times New Roman"/>
          <w:color w:val="auto"/>
          <w:szCs w:val="24"/>
        </w:rPr>
        <w:t>和范围，请受影响民众的监督及谅解。</w:t>
      </w:r>
    </w:p>
    <w:p w14:paraId="5D51BAF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（3）合理安排运输车辆的运输时间、路径，在</w:t>
      </w:r>
      <w:r>
        <w:rPr>
          <w:rFonts w:hint="eastAsia" w:cs="Times New Roman"/>
          <w:color w:val="auto"/>
          <w:szCs w:val="24"/>
          <w:lang w:eastAsia="zh-CN"/>
        </w:rPr>
        <w:t>途经</w:t>
      </w:r>
      <w:r>
        <w:rPr>
          <w:rFonts w:hint="default" w:ascii="Times New Roman" w:hAnsi="Times New Roman" w:cs="Times New Roman"/>
          <w:color w:val="auto"/>
          <w:szCs w:val="24"/>
        </w:rPr>
        <w:t>沿线的居民敏感点路段时，减速慢行、禁止鸣笛。</w:t>
      </w:r>
    </w:p>
    <w:p w14:paraId="29A8C8A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（4）施工现场采取打围施工；施工布置时，尽可能将高噪声源安排在远离项目周围的环境敏感点，防止噪声扰民现象的发生；在靠近本项目声环境保护目标时采取临时性的降噪措施，如设置简易隔声障。</w:t>
      </w:r>
    </w:p>
    <w:p w14:paraId="4497A83A">
      <w:pPr>
        <w:pStyle w:val="24"/>
        <w:ind w:firstLine="48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w:t>
      </w:r>
      <w:r>
        <w:rPr>
          <w:rFonts w:hint="eastAsia" w:ascii="Times New Roman" w:hAnsi="Times New Roman" w:cs="Times New Roman"/>
          <w:color w:val="auto"/>
          <w:szCs w:val="24"/>
          <w:lang w:val="en-US" w:eastAsia="zh-CN"/>
        </w:rPr>
        <w:t>5</w:t>
      </w:r>
      <w:r>
        <w:rPr>
          <w:rFonts w:hint="default" w:ascii="Times New Roman" w:hAnsi="Times New Roman" w:cs="Times New Roman"/>
          <w:color w:val="auto"/>
          <w:szCs w:val="24"/>
        </w:rPr>
        <w:t>）按劳动卫生标准，控制高噪声机械施工人员的工作时间，对机械操作者及有关人员采取个人防护措施，如戴耳塞、头盔等。</w:t>
      </w:r>
    </w:p>
    <w:p w14:paraId="3C046BD3">
      <w:pPr>
        <w:pStyle w:val="24"/>
        <w:ind w:firstLine="480"/>
        <w:rPr>
          <w:color w:val="auto"/>
        </w:rPr>
      </w:pPr>
      <w:r>
        <w:rPr>
          <w:rFonts w:hint="default" w:ascii="Times New Roman" w:hAnsi="Times New Roman" w:cs="Times New Roman"/>
          <w:color w:val="auto"/>
          <w:szCs w:val="24"/>
        </w:rPr>
        <w:t>（</w:t>
      </w:r>
      <w:r>
        <w:rPr>
          <w:rFonts w:hint="eastAsia" w:ascii="Times New Roman" w:hAnsi="Times New Roman" w:cs="Times New Roman"/>
          <w:color w:val="auto"/>
          <w:szCs w:val="24"/>
          <w:lang w:val="en-US" w:eastAsia="zh-CN"/>
        </w:rPr>
        <w:t>6</w:t>
      </w:r>
      <w:r>
        <w:rPr>
          <w:rFonts w:hint="default" w:ascii="Times New Roman" w:hAnsi="Times New Roman" w:cs="Times New Roman"/>
          <w:color w:val="auto"/>
          <w:szCs w:val="24"/>
        </w:rPr>
        <w:t>）加强对居民点路段的施工管理，合理制定施工计划。做好施工期噪声监理工作，配备一定数量的简易噪声测量仪器，对施工场所附近的居民点进行监测，以保证其不受噪声超标影响。</w:t>
      </w:r>
    </w:p>
    <w:p w14:paraId="2FF9FD46">
      <w:pPr>
        <w:pStyle w:val="24"/>
        <w:ind w:firstLine="480"/>
        <w:rPr>
          <w:rFonts w:hint="default"/>
          <w:color w:val="auto"/>
          <w:lang w:eastAsia="zh-CN"/>
        </w:rPr>
      </w:pPr>
    </w:p>
    <w:p w14:paraId="2DAA6235">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26" w:name="_Toc15717"/>
      <w:r>
        <w:rPr>
          <w:rFonts w:hint="default" w:ascii="Times New Roman" w:hAnsi="Times New Roman" w:eastAsia="宋体" w:cs="Times New Roman"/>
          <w:b/>
          <w:bCs/>
          <w:color w:val="auto"/>
          <w:kern w:val="2"/>
          <w:sz w:val="32"/>
          <w:szCs w:val="32"/>
          <w:lang w:val="en-US" w:eastAsia="zh-CN" w:bidi="ar-SA"/>
        </w:rPr>
        <w:t>6.2 运营期声环境保护措施落实情况​</w:t>
      </w:r>
      <w:bookmarkEnd w:id="126"/>
    </w:p>
    <w:p w14:paraId="6A9A11BA">
      <w:pPr>
        <w:pStyle w:val="4"/>
        <w:numPr>
          <w:ilvl w:val="2"/>
          <w:numId w:val="0"/>
        </w:numPr>
        <w:ind w:left="720" w:leftChars="0" w:hanging="720" w:firstLineChars="0"/>
        <w:rPr>
          <w:rFonts w:hint="default" w:ascii="Times New Roman" w:hAnsi="Times New Roman" w:eastAsia="宋体" w:cs="Times New Roman"/>
          <w:b/>
          <w:bCs/>
          <w:color w:val="auto"/>
          <w:kern w:val="2"/>
          <w:sz w:val="30"/>
          <w:szCs w:val="30"/>
          <w:lang w:val="en-US" w:eastAsia="zh-CN" w:bidi="ar-SA"/>
        </w:rPr>
      </w:pPr>
      <w:r>
        <w:rPr>
          <w:rFonts w:hint="default" w:ascii="Times New Roman" w:hAnsi="Times New Roman" w:eastAsia="宋体" w:cs="Times New Roman"/>
          <w:b/>
          <w:bCs/>
          <w:color w:val="auto"/>
          <w:kern w:val="2"/>
          <w:sz w:val="30"/>
          <w:szCs w:val="30"/>
          <w:lang w:val="en-US" w:eastAsia="zh-CN" w:bidi="ar-SA"/>
        </w:rPr>
        <w:t>6.2.1 声敏感目标</w:t>
      </w:r>
    </w:p>
    <w:p w14:paraId="64AD1074">
      <w:pPr>
        <w:ind w:firstLine="480"/>
        <w:rPr>
          <w:rFonts w:hint="eastAsia" w:cs="Times New Roman"/>
          <w:color w:val="auto"/>
          <w:szCs w:val="24"/>
          <w:lang w:val="en-US" w:eastAsia="zh-CN"/>
        </w:rPr>
        <w:sectPr>
          <w:pgSz w:w="11906" w:h="16838"/>
          <w:pgMar w:top="1440" w:right="1800" w:bottom="1440" w:left="180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r>
        <w:rPr>
          <w:rFonts w:hint="default" w:ascii="Times New Roman" w:hAnsi="Times New Roman" w:cs="Times New Roman"/>
          <w:color w:val="auto"/>
          <w:szCs w:val="24"/>
        </w:rPr>
        <w:t>根据现场踏勘，实际建设路线评价范围内共分布有</w:t>
      </w:r>
      <w:r>
        <w:rPr>
          <w:rFonts w:hint="eastAsia" w:cs="Times New Roman"/>
          <w:color w:val="auto"/>
          <w:szCs w:val="24"/>
          <w:lang w:val="en-US" w:eastAsia="zh-CN"/>
        </w:rPr>
        <w:t>27</w:t>
      </w:r>
      <w:r>
        <w:rPr>
          <w:rFonts w:hint="default" w:ascii="Times New Roman" w:hAnsi="Times New Roman" w:cs="Times New Roman"/>
          <w:color w:val="auto"/>
          <w:szCs w:val="24"/>
        </w:rPr>
        <w:t>个保护目标</w:t>
      </w:r>
      <w:r>
        <w:rPr>
          <w:rFonts w:hint="eastAsia"/>
          <w:color w:val="auto"/>
          <w:lang w:val="en-US" w:eastAsia="zh-CN"/>
        </w:rPr>
        <w:t>，</w:t>
      </w:r>
    </w:p>
    <w:p w14:paraId="33646578">
      <w:pPr>
        <w:pStyle w:val="9"/>
        <w:rPr>
          <w:rFonts w:hint="default" w:ascii="Times New Roman" w:hAnsi="Times New Roman" w:cs="Times New Roman"/>
          <w:color w:val="auto"/>
          <w:lang w:val="en-US"/>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6.2</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eastAsia" w:cs="Times New Roman"/>
          <w:color w:val="auto"/>
          <w:lang w:val="en-US" w:eastAsia="zh-CN"/>
        </w:rPr>
        <w:t>环评阶段与实际声环境敏感目标变化情况一览表</w:t>
      </w:r>
    </w:p>
    <w:tbl>
      <w:tblPr>
        <w:tblStyle w:val="20"/>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04"/>
        <w:gridCol w:w="1750"/>
        <w:gridCol w:w="2737"/>
        <w:gridCol w:w="609"/>
        <w:gridCol w:w="573"/>
        <w:gridCol w:w="1143"/>
        <w:gridCol w:w="604"/>
        <w:gridCol w:w="1694"/>
        <w:gridCol w:w="1750"/>
        <w:gridCol w:w="1189"/>
        <w:gridCol w:w="528"/>
        <w:gridCol w:w="993"/>
      </w:tblGrid>
      <w:tr w14:paraId="7B8847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437" w:type="pct"/>
            <w:gridSpan w:val="6"/>
            <w:noWrap/>
            <w:vAlign w:val="center"/>
          </w:tcPr>
          <w:p w14:paraId="46A484D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环评阶段</w:t>
            </w:r>
          </w:p>
        </w:tc>
        <w:tc>
          <w:tcPr>
            <w:tcW w:w="2155" w:type="pct"/>
            <w:gridSpan w:val="5"/>
            <w:noWrap/>
            <w:vAlign w:val="center"/>
          </w:tcPr>
          <w:p w14:paraId="5AC790DE">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实际情况</w:t>
            </w:r>
          </w:p>
        </w:tc>
        <w:tc>
          <w:tcPr>
            <w:tcW w:w="406" w:type="pct"/>
            <w:vMerge w:val="restart"/>
            <w:noWrap/>
            <w:vAlign w:val="center"/>
          </w:tcPr>
          <w:p w14:paraId="6ED80FCC">
            <w:pPr>
              <w:pStyle w:val="29"/>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变化情况</w:t>
            </w:r>
          </w:p>
        </w:tc>
      </w:tr>
      <w:tr w14:paraId="74263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06" w:type="pct"/>
            <w:noWrap/>
            <w:vAlign w:val="center"/>
          </w:tcPr>
          <w:p w14:paraId="71D28D7C">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序号</w:t>
            </w:r>
          </w:p>
        </w:tc>
        <w:tc>
          <w:tcPr>
            <w:tcW w:w="570" w:type="pct"/>
            <w:noWrap/>
            <w:vAlign w:val="center"/>
          </w:tcPr>
          <w:p w14:paraId="676B2586">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里程范围</w:t>
            </w:r>
          </w:p>
        </w:tc>
        <w:tc>
          <w:tcPr>
            <w:tcW w:w="985" w:type="pct"/>
            <w:gridSpan w:val="2"/>
            <w:noWrap w:val="0"/>
            <w:vAlign w:val="center"/>
          </w:tcPr>
          <w:p w14:paraId="0557F29E">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敏感点名称敏感点地面与路线地面高差（m）</w:t>
            </w:r>
          </w:p>
        </w:tc>
        <w:tc>
          <w:tcPr>
            <w:tcW w:w="575" w:type="pct"/>
            <w:gridSpan w:val="2"/>
            <w:noWrap w:val="0"/>
            <w:vAlign w:val="center"/>
          </w:tcPr>
          <w:p w14:paraId="7156939E">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距路中心（m）</w:t>
            </w:r>
          </w:p>
        </w:tc>
        <w:tc>
          <w:tcPr>
            <w:tcW w:w="255" w:type="pct"/>
            <w:noWrap/>
            <w:vAlign w:val="center"/>
          </w:tcPr>
          <w:p w14:paraId="38DE853F">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序号</w:t>
            </w:r>
          </w:p>
        </w:tc>
        <w:tc>
          <w:tcPr>
            <w:tcW w:w="641" w:type="pct"/>
            <w:noWrap w:val="0"/>
            <w:vAlign w:val="center"/>
          </w:tcPr>
          <w:p w14:paraId="0446DC5B">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敏感点名称</w:t>
            </w:r>
          </w:p>
        </w:tc>
        <w:tc>
          <w:tcPr>
            <w:tcW w:w="398" w:type="pct"/>
            <w:noWrap/>
            <w:vAlign w:val="center"/>
          </w:tcPr>
          <w:p w14:paraId="1CFCF02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桩号</w:t>
            </w:r>
          </w:p>
        </w:tc>
        <w:tc>
          <w:tcPr>
            <w:tcW w:w="476" w:type="pct"/>
            <w:noWrap w:val="0"/>
            <w:vAlign w:val="center"/>
          </w:tcPr>
          <w:p w14:paraId="31428E1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首排房屋距中线距离</w:t>
            </w:r>
          </w:p>
        </w:tc>
        <w:tc>
          <w:tcPr>
            <w:tcW w:w="385" w:type="pct"/>
            <w:noWrap w:val="0"/>
            <w:vAlign w:val="center"/>
          </w:tcPr>
          <w:p w14:paraId="4ED34FEA">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敏感点地面与路线</w:t>
            </w:r>
          </w:p>
        </w:tc>
        <w:tc>
          <w:tcPr>
            <w:tcW w:w="406" w:type="pct"/>
            <w:vMerge w:val="continue"/>
            <w:noWrap/>
            <w:vAlign w:val="center"/>
          </w:tcPr>
          <w:p w14:paraId="04A0C8EB">
            <w:pPr>
              <w:pStyle w:val="29"/>
              <w:jc w:val="center"/>
              <w:rPr>
                <w:rFonts w:hint="eastAsia" w:ascii="Times New Roman" w:hAnsi="Times New Roman" w:eastAsia="宋体" w:cs="Times New Roman"/>
                <w:color w:val="auto"/>
                <w:sz w:val="21"/>
                <w:szCs w:val="21"/>
              </w:rPr>
            </w:pPr>
          </w:p>
        </w:tc>
      </w:tr>
      <w:tr w14:paraId="6B741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7F0E3B1">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p>
        </w:tc>
        <w:tc>
          <w:tcPr>
            <w:tcW w:w="1526" w:type="dxa"/>
            <w:noWrap/>
            <w:vAlign w:val="center"/>
          </w:tcPr>
          <w:p w14:paraId="0E411B7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K68+922-K69+060</w:t>
            </w:r>
          </w:p>
        </w:tc>
        <w:tc>
          <w:tcPr>
            <w:tcW w:w="727" w:type="pct"/>
            <w:noWrap/>
            <w:vAlign w:val="center"/>
          </w:tcPr>
          <w:p w14:paraId="341B22A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三汇镇桂花村卿家院子居民点</w:t>
            </w:r>
          </w:p>
        </w:tc>
        <w:tc>
          <w:tcPr>
            <w:tcW w:w="642" w:type="dxa"/>
            <w:noWrap/>
            <w:vAlign w:val="center"/>
          </w:tcPr>
          <w:p w14:paraId="51C1DC8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27</w:t>
            </w:r>
          </w:p>
        </w:tc>
        <w:tc>
          <w:tcPr>
            <w:tcW w:w="603" w:type="dxa"/>
            <w:noWrap/>
            <w:vAlign w:val="center"/>
          </w:tcPr>
          <w:p w14:paraId="6EF1BB7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4240444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132.75</w:t>
            </w:r>
          </w:p>
        </w:tc>
        <w:tc>
          <w:tcPr>
            <w:tcW w:w="255" w:type="pct"/>
            <w:noWrap/>
            <w:vAlign w:val="center"/>
          </w:tcPr>
          <w:p w14:paraId="26B1A47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p>
        </w:tc>
        <w:tc>
          <w:tcPr>
            <w:tcW w:w="1816" w:type="dxa"/>
            <w:noWrap/>
            <w:vAlign w:val="center"/>
          </w:tcPr>
          <w:p w14:paraId="1C9C015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三汇镇桂花村卿家院子居民点</w:t>
            </w:r>
          </w:p>
        </w:tc>
        <w:tc>
          <w:tcPr>
            <w:tcW w:w="1012" w:type="dxa"/>
            <w:noWrap/>
            <w:vAlign w:val="center"/>
          </w:tcPr>
          <w:p w14:paraId="2379CCD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K68+922-K69+060</w:t>
            </w:r>
          </w:p>
        </w:tc>
        <w:tc>
          <w:tcPr>
            <w:tcW w:w="1269" w:type="dxa"/>
            <w:noWrap/>
            <w:vAlign w:val="center"/>
          </w:tcPr>
          <w:p w14:paraId="5C1FA74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132.75</w:t>
            </w:r>
          </w:p>
        </w:tc>
        <w:tc>
          <w:tcPr>
            <w:tcW w:w="554" w:type="dxa"/>
            <w:noWrap/>
            <w:vAlign w:val="center"/>
          </w:tcPr>
          <w:p w14:paraId="2FFD53E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27</w:t>
            </w:r>
          </w:p>
        </w:tc>
        <w:tc>
          <w:tcPr>
            <w:tcW w:w="406" w:type="pct"/>
            <w:noWrap/>
            <w:vAlign w:val="center"/>
          </w:tcPr>
          <w:p w14:paraId="7BC13BA1">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674D1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1BAFC1F">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w:t>
            </w:r>
          </w:p>
        </w:tc>
        <w:tc>
          <w:tcPr>
            <w:tcW w:w="1526" w:type="dxa"/>
            <w:noWrap/>
            <w:vAlign w:val="center"/>
          </w:tcPr>
          <w:p w14:paraId="5FD1B17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K68+945-K69+200</w:t>
            </w:r>
          </w:p>
        </w:tc>
        <w:tc>
          <w:tcPr>
            <w:tcW w:w="727" w:type="pct"/>
            <w:noWrap/>
            <w:vAlign w:val="center"/>
          </w:tcPr>
          <w:p w14:paraId="37DD8AA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三汇镇桂花村莲花坝居民点</w:t>
            </w:r>
          </w:p>
        </w:tc>
        <w:tc>
          <w:tcPr>
            <w:tcW w:w="642" w:type="dxa"/>
            <w:noWrap/>
            <w:vAlign w:val="center"/>
          </w:tcPr>
          <w:p w14:paraId="404B394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654CE72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3E0BE8E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55" w:type="pct"/>
            <w:noWrap/>
            <w:vAlign w:val="center"/>
          </w:tcPr>
          <w:p w14:paraId="6980B7DB">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816" w:type="dxa"/>
            <w:noWrap/>
            <w:vAlign w:val="center"/>
          </w:tcPr>
          <w:p w14:paraId="45CCF53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三汇镇桂花村莲花坝居民点</w:t>
            </w:r>
          </w:p>
        </w:tc>
        <w:tc>
          <w:tcPr>
            <w:tcW w:w="1012" w:type="dxa"/>
            <w:noWrap/>
            <w:vAlign w:val="center"/>
          </w:tcPr>
          <w:p w14:paraId="77B4560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K68+945-K69+200</w:t>
            </w:r>
          </w:p>
        </w:tc>
        <w:tc>
          <w:tcPr>
            <w:tcW w:w="1269" w:type="dxa"/>
            <w:noWrap/>
            <w:vAlign w:val="center"/>
          </w:tcPr>
          <w:p w14:paraId="5A6BD9D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554" w:type="dxa"/>
            <w:noWrap/>
            <w:vAlign w:val="center"/>
          </w:tcPr>
          <w:p w14:paraId="3423C38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46F20941">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6F44F7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3D7677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w:t>
            </w:r>
          </w:p>
        </w:tc>
        <w:tc>
          <w:tcPr>
            <w:tcW w:w="1526" w:type="dxa"/>
            <w:noWrap/>
            <w:vAlign w:val="center"/>
          </w:tcPr>
          <w:p w14:paraId="2DE7A5C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K69+660-K69+878</w:t>
            </w:r>
          </w:p>
        </w:tc>
        <w:tc>
          <w:tcPr>
            <w:tcW w:w="727" w:type="pct"/>
            <w:noWrap/>
            <w:vAlign w:val="center"/>
          </w:tcPr>
          <w:p w14:paraId="391EF61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三汇镇桂花村官山梁子居民点</w:t>
            </w:r>
          </w:p>
        </w:tc>
        <w:tc>
          <w:tcPr>
            <w:tcW w:w="642" w:type="dxa"/>
            <w:noWrap/>
            <w:vAlign w:val="center"/>
          </w:tcPr>
          <w:p w14:paraId="3148DD0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603" w:type="dxa"/>
            <w:noWrap/>
            <w:vAlign w:val="center"/>
          </w:tcPr>
          <w:p w14:paraId="1C9B92F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2F12624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62.75</w:t>
            </w:r>
          </w:p>
        </w:tc>
        <w:tc>
          <w:tcPr>
            <w:tcW w:w="255" w:type="pct"/>
            <w:noWrap/>
            <w:vAlign w:val="center"/>
          </w:tcPr>
          <w:p w14:paraId="123F0301">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816" w:type="dxa"/>
            <w:noWrap/>
            <w:vAlign w:val="center"/>
          </w:tcPr>
          <w:p w14:paraId="091CE38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三汇镇桂花村官山梁子居民点</w:t>
            </w:r>
          </w:p>
        </w:tc>
        <w:tc>
          <w:tcPr>
            <w:tcW w:w="1012" w:type="dxa"/>
            <w:noWrap/>
            <w:vAlign w:val="center"/>
          </w:tcPr>
          <w:p w14:paraId="55380E4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K69+660-K69+878</w:t>
            </w:r>
          </w:p>
        </w:tc>
        <w:tc>
          <w:tcPr>
            <w:tcW w:w="1269" w:type="dxa"/>
            <w:noWrap/>
            <w:vAlign w:val="center"/>
          </w:tcPr>
          <w:p w14:paraId="3C4DC36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62.75</w:t>
            </w:r>
          </w:p>
        </w:tc>
        <w:tc>
          <w:tcPr>
            <w:tcW w:w="554" w:type="dxa"/>
            <w:noWrap/>
            <w:vAlign w:val="center"/>
          </w:tcPr>
          <w:p w14:paraId="71B90E9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406" w:type="pct"/>
            <w:noWrap/>
            <w:vAlign w:val="center"/>
          </w:tcPr>
          <w:p w14:paraId="6D32D847">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7B3D0C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240D4E75">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w:t>
            </w:r>
          </w:p>
        </w:tc>
        <w:tc>
          <w:tcPr>
            <w:tcW w:w="1526" w:type="dxa"/>
            <w:noWrap/>
            <w:vAlign w:val="center"/>
          </w:tcPr>
          <w:p w14:paraId="39600E3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K70+100-K70+260</w:t>
            </w:r>
          </w:p>
        </w:tc>
        <w:tc>
          <w:tcPr>
            <w:tcW w:w="727" w:type="pct"/>
            <w:noWrap/>
            <w:vAlign w:val="center"/>
          </w:tcPr>
          <w:p w14:paraId="519DD53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三汇镇桂花村蒋家石桥居民点</w:t>
            </w:r>
          </w:p>
        </w:tc>
        <w:tc>
          <w:tcPr>
            <w:tcW w:w="642" w:type="dxa"/>
            <w:noWrap/>
            <w:vAlign w:val="center"/>
          </w:tcPr>
          <w:p w14:paraId="5BA3547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603" w:type="dxa"/>
            <w:noWrap/>
            <w:vAlign w:val="center"/>
          </w:tcPr>
          <w:p w14:paraId="7AD5BA9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3ECF636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22.75</w:t>
            </w:r>
          </w:p>
        </w:tc>
        <w:tc>
          <w:tcPr>
            <w:tcW w:w="255" w:type="pct"/>
            <w:noWrap/>
            <w:vAlign w:val="center"/>
          </w:tcPr>
          <w:p w14:paraId="01369A4D">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816" w:type="dxa"/>
            <w:noWrap/>
            <w:vAlign w:val="center"/>
          </w:tcPr>
          <w:p w14:paraId="457A11D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三汇镇桂花村蒋家石桥居民点</w:t>
            </w:r>
          </w:p>
        </w:tc>
        <w:tc>
          <w:tcPr>
            <w:tcW w:w="1012" w:type="dxa"/>
            <w:noWrap/>
            <w:vAlign w:val="center"/>
          </w:tcPr>
          <w:p w14:paraId="12831CD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K70+100-K70+260</w:t>
            </w:r>
          </w:p>
        </w:tc>
        <w:tc>
          <w:tcPr>
            <w:tcW w:w="1269" w:type="dxa"/>
            <w:noWrap/>
            <w:vAlign w:val="center"/>
          </w:tcPr>
          <w:p w14:paraId="5B7EDD4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22.75</w:t>
            </w:r>
          </w:p>
        </w:tc>
        <w:tc>
          <w:tcPr>
            <w:tcW w:w="554" w:type="dxa"/>
            <w:noWrap/>
            <w:vAlign w:val="center"/>
          </w:tcPr>
          <w:p w14:paraId="7551042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406" w:type="pct"/>
            <w:noWrap/>
            <w:vAlign w:val="center"/>
          </w:tcPr>
          <w:p w14:paraId="09C1902B">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0AF104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28F62D8C">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p>
        </w:tc>
        <w:tc>
          <w:tcPr>
            <w:tcW w:w="1526" w:type="dxa"/>
            <w:noWrap/>
            <w:vAlign w:val="center"/>
          </w:tcPr>
          <w:p w14:paraId="75C2A8A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K70+100-K70+165</w:t>
            </w:r>
          </w:p>
        </w:tc>
        <w:tc>
          <w:tcPr>
            <w:tcW w:w="727" w:type="pct"/>
            <w:noWrap/>
            <w:vAlign w:val="center"/>
          </w:tcPr>
          <w:p w14:paraId="55DF4D6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三汇镇桂花村吊脚楼居民点</w:t>
            </w:r>
          </w:p>
        </w:tc>
        <w:tc>
          <w:tcPr>
            <w:tcW w:w="642" w:type="dxa"/>
            <w:noWrap/>
            <w:vAlign w:val="center"/>
          </w:tcPr>
          <w:p w14:paraId="6D09F09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7B08281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435136F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55" w:type="pct"/>
            <w:noWrap/>
            <w:vAlign w:val="center"/>
          </w:tcPr>
          <w:p w14:paraId="3B8789C5">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p>
        </w:tc>
        <w:tc>
          <w:tcPr>
            <w:tcW w:w="1816" w:type="dxa"/>
            <w:noWrap/>
            <w:vAlign w:val="center"/>
          </w:tcPr>
          <w:p w14:paraId="12A2B40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三汇镇桂花村吊脚楼居民点</w:t>
            </w:r>
          </w:p>
        </w:tc>
        <w:tc>
          <w:tcPr>
            <w:tcW w:w="1012" w:type="dxa"/>
            <w:noWrap/>
            <w:vAlign w:val="center"/>
          </w:tcPr>
          <w:p w14:paraId="1276FAB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K70+100-K70+165</w:t>
            </w:r>
          </w:p>
        </w:tc>
        <w:tc>
          <w:tcPr>
            <w:tcW w:w="1269" w:type="dxa"/>
            <w:noWrap/>
            <w:vAlign w:val="center"/>
          </w:tcPr>
          <w:p w14:paraId="6C00EE0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554" w:type="dxa"/>
            <w:noWrap/>
            <w:vAlign w:val="center"/>
          </w:tcPr>
          <w:p w14:paraId="01A0A79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79F4F00A">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119896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70903F5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6</w:t>
            </w:r>
          </w:p>
        </w:tc>
        <w:tc>
          <w:tcPr>
            <w:tcW w:w="1526" w:type="dxa"/>
            <w:noWrap/>
            <w:vAlign w:val="center"/>
          </w:tcPr>
          <w:p w14:paraId="36ECE7B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K70+330-K71+200</w:t>
            </w:r>
          </w:p>
        </w:tc>
        <w:tc>
          <w:tcPr>
            <w:tcW w:w="727" w:type="pct"/>
            <w:noWrap/>
            <w:vAlign w:val="center"/>
          </w:tcPr>
          <w:p w14:paraId="23CA07E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三汇镇桂花村庙子湾居民点</w:t>
            </w:r>
          </w:p>
        </w:tc>
        <w:tc>
          <w:tcPr>
            <w:tcW w:w="642" w:type="dxa"/>
            <w:noWrap/>
            <w:vAlign w:val="center"/>
          </w:tcPr>
          <w:p w14:paraId="35D07B6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-8</w:t>
            </w:r>
          </w:p>
        </w:tc>
        <w:tc>
          <w:tcPr>
            <w:tcW w:w="603" w:type="dxa"/>
            <w:noWrap/>
            <w:vAlign w:val="center"/>
          </w:tcPr>
          <w:p w14:paraId="6087D6E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73D4068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55" w:type="pct"/>
            <w:noWrap/>
            <w:vAlign w:val="center"/>
          </w:tcPr>
          <w:p w14:paraId="2DF0716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6</w:t>
            </w:r>
          </w:p>
        </w:tc>
        <w:tc>
          <w:tcPr>
            <w:tcW w:w="1816" w:type="dxa"/>
            <w:noWrap/>
            <w:vAlign w:val="center"/>
          </w:tcPr>
          <w:p w14:paraId="2E2FB3C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三汇镇桂花村庙子湾居民点</w:t>
            </w:r>
          </w:p>
        </w:tc>
        <w:tc>
          <w:tcPr>
            <w:tcW w:w="1012" w:type="dxa"/>
            <w:noWrap/>
            <w:vAlign w:val="center"/>
          </w:tcPr>
          <w:p w14:paraId="2FF4D2F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K70+330-K71+200</w:t>
            </w:r>
          </w:p>
        </w:tc>
        <w:tc>
          <w:tcPr>
            <w:tcW w:w="1269" w:type="dxa"/>
            <w:noWrap/>
            <w:vAlign w:val="center"/>
          </w:tcPr>
          <w:p w14:paraId="6F61060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554" w:type="dxa"/>
            <w:noWrap/>
            <w:vAlign w:val="center"/>
          </w:tcPr>
          <w:p w14:paraId="65F03BB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-8</w:t>
            </w:r>
          </w:p>
        </w:tc>
        <w:tc>
          <w:tcPr>
            <w:tcW w:w="406" w:type="pct"/>
            <w:noWrap/>
            <w:vAlign w:val="center"/>
          </w:tcPr>
          <w:p w14:paraId="73E054E6">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14B2DD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2AD17670">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7</w:t>
            </w:r>
          </w:p>
        </w:tc>
        <w:tc>
          <w:tcPr>
            <w:tcW w:w="1526" w:type="dxa"/>
            <w:noWrap/>
            <w:vAlign w:val="center"/>
          </w:tcPr>
          <w:p w14:paraId="658F354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K71+100-K71+300</w:t>
            </w:r>
          </w:p>
        </w:tc>
        <w:tc>
          <w:tcPr>
            <w:tcW w:w="727" w:type="pct"/>
            <w:noWrap/>
            <w:vAlign w:val="center"/>
          </w:tcPr>
          <w:p w14:paraId="38C48D5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三汇镇桂花村桂花桥居民点</w:t>
            </w:r>
          </w:p>
        </w:tc>
        <w:tc>
          <w:tcPr>
            <w:tcW w:w="642" w:type="dxa"/>
            <w:noWrap/>
            <w:vAlign w:val="center"/>
          </w:tcPr>
          <w:p w14:paraId="724EC18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603" w:type="dxa"/>
            <w:noWrap/>
            <w:vAlign w:val="center"/>
          </w:tcPr>
          <w:p w14:paraId="56B5540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080575F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147.75</w:t>
            </w:r>
          </w:p>
        </w:tc>
        <w:tc>
          <w:tcPr>
            <w:tcW w:w="255" w:type="pct"/>
            <w:noWrap/>
            <w:vAlign w:val="center"/>
          </w:tcPr>
          <w:p w14:paraId="105744B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7</w:t>
            </w:r>
          </w:p>
        </w:tc>
        <w:tc>
          <w:tcPr>
            <w:tcW w:w="1816" w:type="dxa"/>
            <w:noWrap/>
            <w:vAlign w:val="center"/>
          </w:tcPr>
          <w:p w14:paraId="72B4FE0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三汇镇桂花村桂花桥居民点</w:t>
            </w:r>
          </w:p>
        </w:tc>
        <w:tc>
          <w:tcPr>
            <w:tcW w:w="1012" w:type="dxa"/>
            <w:noWrap/>
            <w:vAlign w:val="center"/>
          </w:tcPr>
          <w:p w14:paraId="3EBB607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K71+100-K71+300</w:t>
            </w:r>
          </w:p>
        </w:tc>
        <w:tc>
          <w:tcPr>
            <w:tcW w:w="1269" w:type="dxa"/>
            <w:noWrap/>
            <w:vAlign w:val="center"/>
          </w:tcPr>
          <w:p w14:paraId="1FB2E44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147.75</w:t>
            </w:r>
          </w:p>
        </w:tc>
        <w:tc>
          <w:tcPr>
            <w:tcW w:w="554" w:type="dxa"/>
            <w:noWrap/>
            <w:vAlign w:val="center"/>
          </w:tcPr>
          <w:p w14:paraId="40B38A4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406" w:type="pct"/>
            <w:noWrap/>
            <w:vAlign w:val="center"/>
          </w:tcPr>
          <w:p w14:paraId="1F33B533">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796BC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5F553FC9">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w:t>
            </w:r>
          </w:p>
        </w:tc>
        <w:tc>
          <w:tcPr>
            <w:tcW w:w="1526" w:type="dxa"/>
            <w:noWrap/>
            <w:vAlign w:val="center"/>
          </w:tcPr>
          <w:p w14:paraId="0473789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K71+500-K72+350</w:t>
            </w:r>
          </w:p>
        </w:tc>
        <w:tc>
          <w:tcPr>
            <w:tcW w:w="727" w:type="pct"/>
            <w:noWrap/>
            <w:vAlign w:val="center"/>
          </w:tcPr>
          <w:p w14:paraId="0DE80DE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三汇镇1#桂花村油竹湾居民点</w:t>
            </w:r>
          </w:p>
        </w:tc>
        <w:tc>
          <w:tcPr>
            <w:tcW w:w="642" w:type="dxa"/>
            <w:noWrap/>
            <w:vAlign w:val="center"/>
          </w:tcPr>
          <w:p w14:paraId="5126FC0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603" w:type="dxa"/>
            <w:noWrap/>
            <w:vAlign w:val="center"/>
          </w:tcPr>
          <w:p w14:paraId="24F203E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0D15117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22.75/42.75</w:t>
            </w:r>
          </w:p>
        </w:tc>
        <w:tc>
          <w:tcPr>
            <w:tcW w:w="255" w:type="pct"/>
            <w:noWrap/>
            <w:vAlign w:val="center"/>
          </w:tcPr>
          <w:p w14:paraId="447796C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w:t>
            </w:r>
          </w:p>
        </w:tc>
        <w:tc>
          <w:tcPr>
            <w:tcW w:w="1816" w:type="dxa"/>
            <w:noWrap/>
            <w:vAlign w:val="center"/>
          </w:tcPr>
          <w:p w14:paraId="60EB4D6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三汇镇1#桂花村油竹湾居民点</w:t>
            </w:r>
          </w:p>
        </w:tc>
        <w:tc>
          <w:tcPr>
            <w:tcW w:w="1012" w:type="dxa"/>
            <w:noWrap/>
            <w:vAlign w:val="center"/>
          </w:tcPr>
          <w:p w14:paraId="0F348B6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K71+500-K72+350</w:t>
            </w:r>
          </w:p>
        </w:tc>
        <w:tc>
          <w:tcPr>
            <w:tcW w:w="1269" w:type="dxa"/>
            <w:noWrap/>
            <w:vAlign w:val="center"/>
          </w:tcPr>
          <w:p w14:paraId="6A90B3C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22.75/42.75</w:t>
            </w:r>
          </w:p>
        </w:tc>
        <w:tc>
          <w:tcPr>
            <w:tcW w:w="554" w:type="dxa"/>
            <w:noWrap/>
            <w:vAlign w:val="center"/>
          </w:tcPr>
          <w:p w14:paraId="5F8BE15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406" w:type="pct"/>
            <w:noWrap/>
            <w:vAlign w:val="center"/>
          </w:tcPr>
          <w:p w14:paraId="5C15974C">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0C669D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F68C1DC">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p>
        </w:tc>
        <w:tc>
          <w:tcPr>
            <w:tcW w:w="1526" w:type="dxa"/>
            <w:noWrap/>
            <w:vAlign w:val="center"/>
          </w:tcPr>
          <w:p w14:paraId="4F67B16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K71+300-K71+500</w:t>
            </w:r>
          </w:p>
        </w:tc>
        <w:tc>
          <w:tcPr>
            <w:tcW w:w="727" w:type="pct"/>
            <w:noWrap/>
            <w:vAlign w:val="center"/>
          </w:tcPr>
          <w:p w14:paraId="391135A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三汇镇2#桂花村油竹湾居民点</w:t>
            </w:r>
          </w:p>
        </w:tc>
        <w:tc>
          <w:tcPr>
            <w:tcW w:w="642" w:type="dxa"/>
            <w:noWrap/>
            <w:vAlign w:val="center"/>
          </w:tcPr>
          <w:p w14:paraId="4B80F6D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603" w:type="dxa"/>
            <w:noWrap/>
            <w:vAlign w:val="center"/>
          </w:tcPr>
          <w:p w14:paraId="4701044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1BCC7A9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55" w:type="pct"/>
            <w:noWrap/>
            <w:vAlign w:val="center"/>
          </w:tcPr>
          <w:p w14:paraId="19B0F3E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p>
        </w:tc>
        <w:tc>
          <w:tcPr>
            <w:tcW w:w="1816" w:type="dxa"/>
            <w:noWrap/>
            <w:vAlign w:val="center"/>
          </w:tcPr>
          <w:p w14:paraId="24BB531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三汇镇2#桂花村油竹湾居民点</w:t>
            </w:r>
          </w:p>
        </w:tc>
        <w:tc>
          <w:tcPr>
            <w:tcW w:w="1012" w:type="dxa"/>
            <w:noWrap/>
            <w:vAlign w:val="center"/>
          </w:tcPr>
          <w:p w14:paraId="35F4A03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K71+300-K71+500</w:t>
            </w:r>
          </w:p>
        </w:tc>
        <w:tc>
          <w:tcPr>
            <w:tcW w:w="1269" w:type="dxa"/>
            <w:noWrap/>
            <w:vAlign w:val="center"/>
          </w:tcPr>
          <w:p w14:paraId="181CE5E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554" w:type="dxa"/>
            <w:noWrap/>
            <w:vAlign w:val="center"/>
          </w:tcPr>
          <w:p w14:paraId="6F29D52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406" w:type="pct"/>
            <w:noWrap/>
            <w:vAlign w:val="center"/>
          </w:tcPr>
          <w:p w14:paraId="74735CC0">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5C13E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4173F9DA">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1526" w:type="dxa"/>
            <w:noWrap/>
            <w:vAlign w:val="center"/>
          </w:tcPr>
          <w:p w14:paraId="5CAFC8C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K72+450-K73+150</w:t>
            </w:r>
          </w:p>
        </w:tc>
        <w:tc>
          <w:tcPr>
            <w:tcW w:w="727" w:type="pct"/>
            <w:noWrap/>
            <w:vAlign w:val="center"/>
          </w:tcPr>
          <w:p w14:paraId="006D9E5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三汇镇1#响水村陈家坝居民点</w:t>
            </w:r>
          </w:p>
        </w:tc>
        <w:tc>
          <w:tcPr>
            <w:tcW w:w="642" w:type="dxa"/>
            <w:noWrap/>
            <w:vAlign w:val="center"/>
          </w:tcPr>
          <w:p w14:paraId="51760E5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-11</w:t>
            </w:r>
          </w:p>
        </w:tc>
        <w:tc>
          <w:tcPr>
            <w:tcW w:w="603" w:type="dxa"/>
            <w:noWrap/>
            <w:vAlign w:val="center"/>
          </w:tcPr>
          <w:p w14:paraId="66739E2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68B5C46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37.75</w:t>
            </w:r>
          </w:p>
        </w:tc>
        <w:tc>
          <w:tcPr>
            <w:tcW w:w="255" w:type="pct"/>
            <w:noWrap/>
            <w:vAlign w:val="center"/>
          </w:tcPr>
          <w:p w14:paraId="7828648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1816" w:type="dxa"/>
            <w:noWrap/>
            <w:vAlign w:val="center"/>
          </w:tcPr>
          <w:p w14:paraId="4FF03D6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三汇镇1#响水村陈家坝居民点</w:t>
            </w:r>
          </w:p>
        </w:tc>
        <w:tc>
          <w:tcPr>
            <w:tcW w:w="1012" w:type="dxa"/>
            <w:noWrap/>
            <w:vAlign w:val="center"/>
          </w:tcPr>
          <w:p w14:paraId="3451044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K72+450-K73+150</w:t>
            </w:r>
          </w:p>
        </w:tc>
        <w:tc>
          <w:tcPr>
            <w:tcW w:w="1269" w:type="dxa"/>
            <w:noWrap/>
            <w:vAlign w:val="center"/>
          </w:tcPr>
          <w:p w14:paraId="2251257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37.75</w:t>
            </w:r>
          </w:p>
        </w:tc>
        <w:tc>
          <w:tcPr>
            <w:tcW w:w="554" w:type="dxa"/>
            <w:noWrap/>
            <w:vAlign w:val="center"/>
          </w:tcPr>
          <w:p w14:paraId="6C22CF8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-11</w:t>
            </w:r>
          </w:p>
        </w:tc>
        <w:tc>
          <w:tcPr>
            <w:tcW w:w="406" w:type="pct"/>
            <w:noWrap/>
            <w:vAlign w:val="center"/>
          </w:tcPr>
          <w:p w14:paraId="4F01A2AB">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0B850B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2F47390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11</w:t>
            </w:r>
          </w:p>
        </w:tc>
        <w:tc>
          <w:tcPr>
            <w:tcW w:w="1526" w:type="dxa"/>
            <w:noWrap/>
            <w:vAlign w:val="center"/>
          </w:tcPr>
          <w:p w14:paraId="47D96E1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K73+400-K73+550</w:t>
            </w:r>
          </w:p>
        </w:tc>
        <w:tc>
          <w:tcPr>
            <w:tcW w:w="727" w:type="pct"/>
            <w:noWrap/>
            <w:vAlign w:val="center"/>
          </w:tcPr>
          <w:p w14:paraId="6C4772B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三汇镇2#响水村陈家坝居民点</w:t>
            </w:r>
          </w:p>
        </w:tc>
        <w:tc>
          <w:tcPr>
            <w:tcW w:w="642" w:type="dxa"/>
            <w:noWrap/>
            <w:vAlign w:val="center"/>
          </w:tcPr>
          <w:p w14:paraId="23CEFD7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603" w:type="dxa"/>
            <w:noWrap/>
            <w:vAlign w:val="center"/>
          </w:tcPr>
          <w:p w14:paraId="71BD89F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292F37B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55" w:type="pct"/>
            <w:noWrap/>
            <w:vAlign w:val="center"/>
          </w:tcPr>
          <w:p w14:paraId="68A5575C">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11</w:t>
            </w:r>
          </w:p>
        </w:tc>
        <w:tc>
          <w:tcPr>
            <w:tcW w:w="1816" w:type="dxa"/>
            <w:noWrap/>
            <w:vAlign w:val="center"/>
          </w:tcPr>
          <w:p w14:paraId="57B1170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三汇镇2#响水村陈家坝居民点</w:t>
            </w:r>
          </w:p>
        </w:tc>
        <w:tc>
          <w:tcPr>
            <w:tcW w:w="1012" w:type="dxa"/>
            <w:noWrap/>
            <w:vAlign w:val="center"/>
          </w:tcPr>
          <w:p w14:paraId="7BF1A6E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K73+400-K73+550</w:t>
            </w:r>
          </w:p>
        </w:tc>
        <w:tc>
          <w:tcPr>
            <w:tcW w:w="1269" w:type="dxa"/>
            <w:noWrap/>
            <w:vAlign w:val="center"/>
          </w:tcPr>
          <w:p w14:paraId="21A9033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554" w:type="dxa"/>
            <w:noWrap/>
            <w:vAlign w:val="center"/>
          </w:tcPr>
          <w:p w14:paraId="189A64C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w:t>
            </w:r>
          </w:p>
        </w:tc>
        <w:tc>
          <w:tcPr>
            <w:tcW w:w="406" w:type="pct"/>
            <w:noWrap/>
            <w:vAlign w:val="center"/>
          </w:tcPr>
          <w:p w14:paraId="7D271058">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5AA8E2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176547CB">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w:t>
            </w:r>
          </w:p>
        </w:tc>
        <w:tc>
          <w:tcPr>
            <w:tcW w:w="1526" w:type="dxa"/>
            <w:noWrap/>
            <w:vAlign w:val="center"/>
          </w:tcPr>
          <w:p w14:paraId="78575D4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K73+530-K73+750</w:t>
            </w:r>
          </w:p>
        </w:tc>
        <w:tc>
          <w:tcPr>
            <w:tcW w:w="727" w:type="pct"/>
            <w:noWrap/>
            <w:vAlign w:val="center"/>
          </w:tcPr>
          <w:p w14:paraId="3045602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三汇镇响水村双龙屋基居民点</w:t>
            </w:r>
          </w:p>
        </w:tc>
        <w:tc>
          <w:tcPr>
            <w:tcW w:w="642" w:type="dxa"/>
            <w:noWrap/>
            <w:vAlign w:val="center"/>
          </w:tcPr>
          <w:p w14:paraId="6E9D137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eastAsia" w:ascii="Times New Roman" w:hAnsi="Times New Roman" w:eastAsia="宋体" w:cs="Times New Roman"/>
                <w:snapToGrid w:val="0"/>
                <w:color w:val="auto"/>
                <w:kern w:val="0"/>
                <w:sz w:val="21"/>
                <w:szCs w:val="21"/>
                <w:highlight w:val="none"/>
                <w:lang w:val="en-US" w:eastAsia="zh-CN" w:bidi="ar-SA"/>
              </w:rPr>
              <w:t>19</w:t>
            </w:r>
          </w:p>
        </w:tc>
        <w:tc>
          <w:tcPr>
            <w:tcW w:w="603" w:type="dxa"/>
            <w:noWrap/>
            <w:vAlign w:val="center"/>
          </w:tcPr>
          <w:p w14:paraId="374EFC0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64FC5D1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112.75</w:t>
            </w:r>
          </w:p>
        </w:tc>
        <w:tc>
          <w:tcPr>
            <w:tcW w:w="255" w:type="pct"/>
            <w:noWrap/>
            <w:vAlign w:val="center"/>
          </w:tcPr>
          <w:p w14:paraId="41A3A0AB">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w:t>
            </w:r>
          </w:p>
        </w:tc>
        <w:tc>
          <w:tcPr>
            <w:tcW w:w="1816" w:type="dxa"/>
            <w:noWrap/>
            <w:vAlign w:val="center"/>
          </w:tcPr>
          <w:p w14:paraId="54F4BA9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三汇镇响水村双龙屋基居民点</w:t>
            </w:r>
          </w:p>
        </w:tc>
        <w:tc>
          <w:tcPr>
            <w:tcW w:w="1012" w:type="dxa"/>
            <w:noWrap/>
            <w:vAlign w:val="center"/>
          </w:tcPr>
          <w:p w14:paraId="2691A36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K73+530-K73+750</w:t>
            </w:r>
          </w:p>
        </w:tc>
        <w:tc>
          <w:tcPr>
            <w:tcW w:w="1269" w:type="dxa"/>
            <w:noWrap/>
            <w:vAlign w:val="center"/>
          </w:tcPr>
          <w:p w14:paraId="1CADF9F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112.75</w:t>
            </w:r>
          </w:p>
        </w:tc>
        <w:tc>
          <w:tcPr>
            <w:tcW w:w="554" w:type="dxa"/>
            <w:noWrap/>
            <w:vAlign w:val="center"/>
          </w:tcPr>
          <w:p w14:paraId="4541791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snapToGrid w:val="0"/>
                <w:color w:val="auto"/>
                <w:kern w:val="0"/>
                <w:sz w:val="21"/>
                <w:szCs w:val="21"/>
                <w:highlight w:val="none"/>
                <w:lang w:val="en-US" w:eastAsia="zh-CN" w:bidi="ar-SA"/>
              </w:rPr>
              <w:t>19</w:t>
            </w:r>
          </w:p>
        </w:tc>
        <w:tc>
          <w:tcPr>
            <w:tcW w:w="406" w:type="pct"/>
            <w:noWrap/>
            <w:vAlign w:val="center"/>
          </w:tcPr>
          <w:p w14:paraId="74072B70">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6774CA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28044221">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13</w:t>
            </w:r>
          </w:p>
        </w:tc>
        <w:tc>
          <w:tcPr>
            <w:tcW w:w="1526" w:type="dxa"/>
            <w:noWrap/>
            <w:vAlign w:val="center"/>
          </w:tcPr>
          <w:p w14:paraId="1ECE041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K73+700-K74+500</w:t>
            </w:r>
          </w:p>
        </w:tc>
        <w:tc>
          <w:tcPr>
            <w:tcW w:w="727" w:type="pct"/>
            <w:noWrap/>
            <w:vAlign w:val="center"/>
          </w:tcPr>
          <w:p w14:paraId="6342900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三汇镇响水村蔡家垭口居民点</w:t>
            </w:r>
          </w:p>
        </w:tc>
        <w:tc>
          <w:tcPr>
            <w:tcW w:w="642" w:type="dxa"/>
            <w:noWrap/>
            <w:vAlign w:val="center"/>
          </w:tcPr>
          <w:p w14:paraId="1342684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1D2FF9A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7573246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55" w:type="pct"/>
            <w:noWrap/>
            <w:vAlign w:val="center"/>
          </w:tcPr>
          <w:p w14:paraId="1873B0B3">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13</w:t>
            </w:r>
          </w:p>
        </w:tc>
        <w:tc>
          <w:tcPr>
            <w:tcW w:w="1816" w:type="dxa"/>
            <w:noWrap/>
            <w:vAlign w:val="center"/>
          </w:tcPr>
          <w:p w14:paraId="27149CA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三汇镇响水村蔡家垭口居民点</w:t>
            </w:r>
          </w:p>
        </w:tc>
        <w:tc>
          <w:tcPr>
            <w:tcW w:w="1012" w:type="dxa"/>
            <w:noWrap/>
            <w:vAlign w:val="center"/>
          </w:tcPr>
          <w:p w14:paraId="79E1DA2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K73+700-K74+500</w:t>
            </w:r>
          </w:p>
        </w:tc>
        <w:tc>
          <w:tcPr>
            <w:tcW w:w="1269" w:type="dxa"/>
            <w:noWrap/>
            <w:vAlign w:val="center"/>
          </w:tcPr>
          <w:p w14:paraId="43F5A14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554" w:type="dxa"/>
            <w:noWrap/>
            <w:vAlign w:val="center"/>
          </w:tcPr>
          <w:p w14:paraId="3F4B68B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58248BCB">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1F0E2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6E4A18F8">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14</w:t>
            </w:r>
          </w:p>
        </w:tc>
        <w:tc>
          <w:tcPr>
            <w:tcW w:w="1526" w:type="dxa"/>
            <w:noWrap/>
            <w:vAlign w:val="center"/>
          </w:tcPr>
          <w:p w14:paraId="1E0D3B9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K74+650-K74+900</w:t>
            </w:r>
          </w:p>
        </w:tc>
        <w:tc>
          <w:tcPr>
            <w:tcW w:w="727" w:type="pct"/>
            <w:noWrap/>
            <w:vAlign w:val="center"/>
          </w:tcPr>
          <w:p w14:paraId="7FF6989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三汇镇大田村小屋基居民点</w:t>
            </w:r>
          </w:p>
        </w:tc>
        <w:tc>
          <w:tcPr>
            <w:tcW w:w="642" w:type="dxa"/>
            <w:noWrap/>
            <w:vAlign w:val="center"/>
          </w:tcPr>
          <w:p w14:paraId="208DAF3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15</w:t>
            </w:r>
          </w:p>
        </w:tc>
        <w:tc>
          <w:tcPr>
            <w:tcW w:w="603" w:type="dxa"/>
            <w:noWrap/>
            <w:vAlign w:val="center"/>
          </w:tcPr>
          <w:p w14:paraId="3B74BE5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2A689ED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55" w:type="pct"/>
            <w:noWrap/>
            <w:vAlign w:val="center"/>
          </w:tcPr>
          <w:p w14:paraId="374C5BFC">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14</w:t>
            </w:r>
          </w:p>
        </w:tc>
        <w:tc>
          <w:tcPr>
            <w:tcW w:w="1816" w:type="dxa"/>
            <w:noWrap/>
            <w:vAlign w:val="center"/>
          </w:tcPr>
          <w:p w14:paraId="7606942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三汇镇大田村小屋基居民点</w:t>
            </w:r>
          </w:p>
        </w:tc>
        <w:tc>
          <w:tcPr>
            <w:tcW w:w="1012" w:type="dxa"/>
            <w:noWrap/>
            <w:vAlign w:val="center"/>
          </w:tcPr>
          <w:p w14:paraId="7C19B20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K74+650-K74+900</w:t>
            </w:r>
          </w:p>
        </w:tc>
        <w:tc>
          <w:tcPr>
            <w:tcW w:w="1269" w:type="dxa"/>
            <w:noWrap/>
            <w:vAlign w:val="center"/>
          </w:tcPr>
          <w:p w14:paraId="3D4A078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554" w:type="dxa"/>
            <w:noWrap/>
            <w:vAlign w:val="center"/>
          </w:tcPr>
          <w:p w14:paraId="215BED9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15</w:t>
            </w:r>
          </w:p>
        </w:tc>
        <w:tc>
          <w:tcPr>
            <w:tcW w:w="406" w:type="pct"/>
            <w:noWrap/>
            <w:vAlign w:val="center"/>
          </w:tcPr>
          <w:p w14:paraId="734646EA">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6097D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4CA06BB">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15</w:t>
            </w:r>
          </w:p>
        </w:tc>
        <w:tc>
          <w:tcPr>
            <w:tcW w:w="1526" w:type="dxa"/>
            <w:noWrap/>
            <w:vAlign w:val="center"/>
          </w:tcPr>
          <w:p w14:paraId="1FB9425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K74+900-K75+300</w:t>
            </w:r>
          </w:p>
        </w:tc>
        <w:tc>
          <w:tcPr>
            <w:tcW w:w="727" w:type="pct"/>
            <w:noWrap/>
            <w:vAlign w:val="center"/>
          </w:tcPr>
          <w:p w14:paraId="71CFEB1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三汇镇大田村柏树园居民点</w:t>
            </w:r>
          </w:p>
        </w:tc>
        <w:tc>
          <w:tcPr>
            <w:tcW w:w="642" w:type="dxa"/>
            <w:noWrap/>
            <w:vAlign w:val="center"/>
          </w:tcPr>
          <w:p w14:paraId="7C8EB20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129345A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6CE0146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92.75</w:t>
            </w:r>
          </w:p>
        </w:tc>
        <w:tc>
          <w:tcPr>
            <w:tcW w:w="255" w:type="pct"/>
            <w:noWrap/>
            <w:vAlign w:val="center"/>
          </w:tcPr>
          <w:p w14:paraId="26C7CD78">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15</w:t>
            </w:r>
          </w:p>
        </w:tc>
        <w:tc>
          <w:tcPr>
            <w:tcW w:w="1816" w:type="dxa"/>
            <w:noWrap/>
            <w:vAlign w:val="center"/>
          </w:tcPr>
          <w:p w14:paraId="1A94022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三汇镇大田村柏树园居民点</w:t>
            </w:r>
          </w:p>
        </w:tc>
        <w:tc>
          <w:tcPr>
            <w:tcW w:w="1012" w:type="dxa"/>
            <w:noWrap/>
            <w:vAlign w:val="center"/>
          </w:tcPr>
          <w:p w14:paraId="3B70E57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K74+900-K75+300</w:t>
            </w:r>
          </w:p>
        </w:tc>
        <w:tc>
          <w:tcPr>
            <w:tcW w:w="1269" w:type="dxa"/>
            <w:noWrap/>
            <w:vAlign w:val="center"/>
          </w:tcPr>
          <w:p w14:paraId="12A6B3E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92.75</w:t>
            </w:r>
          </w:p>
        </w:tc>
        <w:tc>
          <w:tcPr>
            <w:tcW w:w="554" w:type="dxa"/>
            <w:noWrap/>
            <w:vAlign w:val="center"/>
          </w:tcPr>
          <w:p w14:paraId="5CD206F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48D776BD">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5CEA52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3BF4E552">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16</w:t>
            </w:r>
          </w:p>
        </w:tc>
        <w:tc>
          <w:tcPr>
            <w:tcW w:w="1526" w:type="dxa"/>
            <w:noWrap/>
            <w:vAlign w:val="center"/>
          </w:tcPr>
          <w:p w14:paraId="5A9F79D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K75+310-K75+350</w:t>
            </w:r>
          </w:p>
        </w:tc>
        <w:tc>
          <w:tcPr>
            <w:tcW w:w="727" w:type="pct"/>
            <w:noWrap/>
            <w:vAlign w:val="center"/>
          </w:tcPr>
          <w:p w14:paraId="1B0CF72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三汇镇大田村老院子居民点</w:t>
            </w:r>
          </w:p>
        </w:tc>
        <w:tc>
          <w:tcPr>
            <w:tcW w:w="642" w:type="dxa"/>
            <w:noWrap/>
            <w:vAlign w:val="center"/>
          </w:tcPr>
          <w:p w14:paraId="59C5088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14</w:t>
            </w:r>
          </w:p>
        </w:tc>
        <w:tc>
          <w:tcPr>
            <w:tcW w:w="603" w:type="dxa"/>
            <w:noWrap/>
            <w:vAlign w:val="center"/>
          </w:tcPr>
          <w:p w14:paraId="290C55B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7CF779C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127.75</w:t>
            </w:r>
          </w:p>
        </w:tc>
        <w:tc>
          <w:tcPr>
            <w:tcW w:w="255" w:type="pct"/>
            <w:noWrap/>
            <w:vAlign w:val="center"/>
          </w:tcPr>
          <w:p w14:paraId="6EA0D3F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16</w:t>
            </w:r>
          </w:p>
        </w:tc>
        <w:tc>
          <w:tcPr>
            <w:tcW w:w="1816" w:type="dxa"/>
            <w:noWrap/>
            <w:vAlign w:val="center"/>
          </w:tcPr>
          <w:p w14:paraId="2CEE2CB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三汇镇大田村老院子居民点</w:t>
            </w:r>
          </w:p>
        </w:tc>
        <w:tc>
          <w:tcPr>
            <w:tcW w:w="1012" w:type="dxa"/>
            <w:noWrap/>
            <w:vAlign w:val="center"/>
          </w:tcPr>
          <w:p w14:paraId="61ECA0E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K75+310-K75+350</w:t>
            </w:r>
          </w:p>
        </w:tc>
        <w:tc>
          <w:tcPr>
            <w:tcW w:w="1269" w:type="dxa"/>
            <w:noWrap/>
            <w:vAlign w:val="center"/>
          </w:tcPr>
          <w:p w14:paraId="26FA068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127.75</w:t>
            </w:r>
          </w:p>
        </w:tc>
        <w:tc>
          <w:tcPr>
            <w:tcW w:w="554" w:type="dxa"/>
            <w:noWrap/>
            <w:vAlign w:val="center"/>
          </w:tcPr>
          <w:p w14:paraId="38FC285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14</w:t>
            </w:r>
          </w:p>
        </w:tc>
        <w:tc>
          <w:tcPr>
            <w:tcW w:w="406" w:type="pct"/>
            <w:noWrap/>
            <w:vAlign w:val="center"/>
          </w:tcPr>
          <w:p w14:paraId="68AE5E37">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0C2422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6A0DFCA4">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17</w:t>
            </w:r>
          </w:p>
        </w:tc>
        <w:tc>
          <w:tcPr>
            <w:tcW w:w="1526" w:type="dxa"/>
            <w:noWrap/>
            <w:vAlign w:val="center"/>
          </w:tcPr>
          <w:p w14:paraId="5F8C50F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K75+600-K75+800</w:t>
            </w:r>
          </w:p>
        </w:tc>
        <w:tc>
          <w:tcPr>
            <w:tcW w:w="727" w:type="pct"/>
            <w:noWrap/>
            <w:vAlign w:val="center"/>
          </w:tcPr>
          <w:p w14:paraId="79B7174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三汇镇大田村华家屋基居民点</w:t>
            </w:r>
          </w:p>
        </w:tc>
        <w:tc>
          <w:tcPr>
            <w:tcW w:w="642" w:type="dxa"/>
            <w:noWrap/>
            <w:vAlign w:val="center"/>
          </w:tcPr>
          <w:p w14:paraId="7777502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14</w:t>
            </w:r>
          </w:p>
        </w:tc>
        <w:tc>
          <w:tcPr>
            <w:tcW w:w="603" w:type="dxa"/>
            <w:noWrap/>
            <w:vAlign w:val="center"/>
          </w:tcPr>
          <w:p w14:paraId="6171789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477D9D1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67.75</w:t>
            </w:r>
          </w:p>
        </w:tc>
        <w:tc>
          <w:tcPr>
            <w:tcW w:w="255" w:type="pct"/>
            <w:noWrap/>
            <w:vAlign w:val="center"/>
          </w:tcPr>
          <w:p w14:paraId="3F3968DD">
            <w:pPr>
              <w:pStyle w:val="29"/>
              <w:jc w:val="center"/>
              <w:rPr>
                <w:rFonts w:hint="eastAsia" w:ascii="Times New Roman" w:hAnsi="Times New Roman" w:eastAsia="宋体" w:cs="Times New Roman"/>
                <w:color w:val="auto"/>
                <w:sz w:val="21"/>
                <w:szCs w:val="21"/>
              </w:rPr>
            </w:pPr>
          </w:p>
        </w:tc>
        <w:tc>
          <w:tcPr>
            <w:tcW w:w="1816" w:type="dxa"/>
            <w:noWrap/>
            <w:vAlign w:val="center"/>
          </w:tcPr>
          <w:p w14:paraId="0D011DD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三汇镇大田村华家屋基居民点</w:t>
            </w:r>
          </w:p>
        </w:tc>
        <w:tc>
          <w:tcPr>
            <w:tcW w:w="1012" w:type="dxa"/>
            <w:noWrap/>
            <w:vAlign w:val="center"/>
          </w:tcPr>
          <w:p w14:paraId="3874E01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K75+600-K75+800</w:t>
            </w:r>
          </w:p>
        </w:tc>
        <w:tc>
          <w:tcPr>
            <w:tcW w:w="1269" w:type="dxa"/>
            <w:noWrap/>
            <w:vAlign w:val="center"/>
          </w:tcPr>
          <w:p w14:paraId="5C64DCD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67.75</w:t>
            </w:r>
          </w:p>
        </w:tc>
        <w:tc>
          <w:tcPr>
            <w:tcW w:w="554" w:type="dxa"/>
            <w:noWrap/>
            <w:vAlign w:val="center"/>
          </w:tcPr>
          <w:p w14:paraId="550290E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14</w:t>
            </w:r>
          </w:p>
        </w:tc>
        <w:tc>
          <w:tcPr>
            <w:tcW w:w="406" w:type="pct"/>
            <w:noWrap/>
            <w:vAlign w:val="center"/>
          </w:tcPr>
          <w:p w14:paraId="2FBA6D38">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568E5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6299EC2E">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18</w:t>
            </w:r>
          </w:p>
        </w:tc>
        <w:tc>
          <w:tcPr>
            <w:tcW w:w="1526" w:type="dxa"/>
            <w:noWrap/>
            <w:vAlign w:val="center"/>
          </w:tcPr>
          <w:p w14:paraId="3057FAE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K76+110-K76+160</w:t>
            </w:r>
          </w:p>
        </w:tc>
        <w:tc>
          <w:tcPr>
            <w:tcW w:w="727" w:type="pct"/>
            <w:noWrap/>
            <w:vAlign w:val="center"/>
          </w:tcPr>
          <w:p w14:paraId="1C98A5F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三汇镇大田村狮子寨居民点</w:t>
            </w:r>
          </w:p>
        </w:tc>
        <w:tc>
          <w:tcPr>
            <w:tcW w:w="642" w:type="dxa"/>
            <w:noWrap/>
            <w:vAlign w:val="center"/>
          </w:tcPr>
          <w:p w14:paraId="08F546C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603" w:type="dxa"/>
            <w:noWrap/>
            <w:vAlign w:val="center"/>
          </w:tcPr>
          <w:p w14:paraId="21F76C0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5AAA32D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72.75</w:t>
            </w:r>
          </w:p>
        </w:tc>
        <w:tc>
          <w:tcPr>
            <w:tcW w:w="255" w:type="pct"/>
            <w:noWrap/>
            <w:vAlign w:val="center"/>
          </w:tcPr>
          <w:p w14:paraId="0BB9644B">
            <w:pPr>
              <w:pStyle w:val="29"/>
              <w:jc w:val="center"/>
              <w:rPr>
                <w:rFonts w:hint="eastAsia" w:ascii="Times New Roman" w:hAnsi="Times New Roman" w:eastAsia="宋体" w:cs="Times New Roman"/>
                <w:color w:val="auto"/>
                <w:sz w:val="21"/>
                <w:szCs w:val="21"/>
              </w:rPr>
            </w:pPr>
          </w:p>
        </w:tc>
        <w:tc>
          <w:tcPr>
            <w:tcW w:w="1816" w:type="dxa"/>
            <w:noWrap/>
            <w:vAlign w:val="center"/>
          </w:tcPr>
          <w:p w14:paraId="27D272B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三汇镇大田村狮子寨居民点</w:t>
            </w:r>
          </w:p>
        </w:tc>
        <w:tc>
          <w:tcPr>
            <w:tcW w:w="1012" w:type="dxa"/>
            <w:noWrap/>
            <w:vAlign w:val="center"/>
          </w:tcPr>
          <w:p w14:paraId="79A7F42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K76+110-K76+160</w:t>
            </w:r>
          </w:p>
        </w:tc>
        <w:tc>
          <w:tcPr>
            <w:tcW w:w="1269" w:type="dxa"/>
            <w:noWrap/>
            <w:vAlign w:val="center"/>
          </w:tcPr>
          <w:p w14:paraId="3C01D6E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72.75</w:t>
            </w:r>
          </w:p>
        </w:tc>
        <w:tc>
          <w:tcPr>
            <w:tcW w:w="554" w:type="dxa"/>
            <w:noWrap/>
            <w:vAlign w:val="center"/>
          </w:tcPr>
          <w:p w14:paraId="3FB9454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-10</w:t>
            </w:r>
          </w:p>
        </w:tc>
        <w:tc>
          <w:tcPr>
            <w:tcW w:w="406" w:type="pct"/>
            <w:noWrap/>
            <w:vAlign w:val="center"/>
          </w:tcPr>
          <w:p w14:paraId="3B506996">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45A49B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50B08763">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19</w:t>
            </w:r>
          </w:p>
        </w:tc>
        <w:tc>
          <w:tcPr>
            <w:tcW w:w="1526" w:type="dxa"/>
            <w:noWrap/>
            <w:vAlign w:val="center"/>
          </w:tcPr>
          <w:p w14:paraId="35D39A0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K76+540-K76+600</w:t>
            </w:r>
          </w:p>
        </w:tc>
        <w:tc>
          <w:tcPr>
            <w:tcW w:w="727" w:type="pct"/>
            <w:noWrap/>
            <w:vAlign w:val="center"/>
          </w:tcPr>
          <w:p w14:paraId="2516A16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三汇镇大田村瓦房沟居民点</w:t>
            </w:r>
          </w:p>
        </w:tc>
        <w:tc>
          <w:tcPr>
            <w:tcW w:w="642" w:type="dxa"/>
            <w:noWrap/>
            <w:vAlign w:val="center"/>
          </w:tcPr>
          <w:p w14:paraId="093CFC0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603" w:type="dxa"/>
            <w:noWrap/>
            <w:vAlign w:val="center"/>
          </w:tcPr>
          <w:p w14:paraId="1D36732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4F7F5E9B">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255" w:type="pct"/>
            <w:noWrap/>
            <w:vAlign w:val="center"/>
          </w:tcPr>
          <w:p w14:paraId="233574D7">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1816" w:type="dxa"/>
            <w:noWrap/>
            <w:vAlign w:val="center"/>
          </w:tcPr>
          <w:p w14:paraId="5D309AA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三汇镇大田村瓦房沟居民点</w:t>
            </w:r>
          </w:p>
        </w:tc>
        <w:tc>
          <w:tcPr>
            <w:tcW w:w="1012" w:type="dxa"/>
            <w:noWrap/>
            <w:vAlign w:val="center"/>
          </w:tcPr>
          <w:p w14:paraId="436BFF0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K76+540-K76+600</w:t>
            </w:r>
          </w:p>
        </w:tc>
        <w:tc>
          <w:tcPr>
            <w:tcW w:w="1269" w:type="dxa"/>
            <w:noWrap/>
            <w:vAlign w:val="center"/>
          </w:tcPr>
          <w:p w14:paraId="280A418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57.75</w:t>
            </w:r>
          </w:p>
        </w:tc>
        <w:tc>
          <w:tcPr>
            <w:tcW w:w="554" w:type="dxa"/>
            <w:noWrap/>
            <w:vAlign w:val="center"/>
          </w:tcPr>
          <w:p w14:paraId="36592E1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-7</w:t>
            </w:r>
          </w:p>
        </w:tc>
        <w:tc>
          <w:tcPr>
            <w:tcW w:w="406" w:type="pct"/>
            <w:noWrap/>
            <w:vAlign w:val="center"/>
          </w:tcPr>
          <w:p w14:paraId="764F5B16">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70A043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CFD32DE">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20</w:t>
            </w:r>
          </w:p>
        </w:tc>
        <w:tc>
          <w:tcPr>
            <w:tcW w:w="1526" w:type="dxa"/>
            <w:noWrap/>
            <w:vAlign w:val="center"/>
          </w:tcPr>
          <w:p w14:paraId="34C40F8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K77+000-K77+100</w:t>
            </w:r>
          </w:p>
        </w:tc>
        <w:tc>
          <w:tcPr>
            <w:tcW w:w="727" w:type="pct"/>
            <w:noWrap/>
            <w:vAlign w:val="center"/>
          </w:tcPr>
          <w:p w14:paraId="1302D42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小沔镇斑竹村卢家院子居民点</w:t>
            </w:r>
          </w:p>
        </w:tc>
        <w:tc>
          <w:tcPr>
            <w:tcW w:w="642" w:type="dxa"/>
            <w:noWrap/>
            <w:vAlign w:val="center"/>
          </w:tcPr>
          <w:p w14:paraId="5052B3D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603" w:type="dxa"/>
            <w:noWrap/>
            <w:vAlign w:val="center"/>
          </w:tcPr>
          <w:p w14:paraId="663ECD6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2F0F27F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55" w:type="pct"/>
            <w:noWrap/>
            <w:vAlign w:val="center"/>
          </w:tcPr>
          <w:p w14:paraId="659A6034">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1816" w:type="dxa"/>
            <w:noWrap/>
            <w:vAlign w:val="center"/>
          </w:tcPr>
          <w:p w14:paraId="2270D8B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小沔镇斑竹村卢家院子居民点</w:t>
            </w:r>
          </w:p>
        </w:tc>
        <w:tc>
          <w:tcPr>
            <w:tcW w:w="1012" w:type="dxa"/>
            <w:noWrap/>
            <w:vAlign w:val="center"/>
          </w:tcPr>
          <w:p w14:paraId="241C965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K77+000-K77+100</w:t>
            </w:r>
          </w:p>
        </w:tc>
        <w:tc>
          <w:tcPr>
            <w:tcW w:w="1269" w:type="dxa"/>
            <w:noWrap/>
            <w:vAlign w:val="center"/>
          </w:tcPr>
          <w:p w14:paraId="621A30F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554" w:type="dxa"/>
            <w:noWrap/>
            <w:vAlign w:val="center"/>
          </w:tcPr>
          <w:p w14:paraId="3446754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w:t>
            </w:r>
          </w:p>
        </w:tc>
        <w:tc>
          <w:tcPr>
            <w:tcW w:w="406" w:type="pct"/>
            <w:noWrap/>
            <w:vAlign w:val="center"/>
          </w:tcPr>
          <w:p w14:paraId="1B8BACFC">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3E4D7D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51134568">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21</w:t>
            </w:r>
          </w:p>
        </w:tc>
        <w:tc>
          <w:tcPr>
            <w:tcW w:w="1526" w:type="dxa"/>
            <w:noWrap/>
            <w:vAlign w:val="center"/>
          </w:tcPr>
          <w:p w14:paraId="32DCADD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K77+250-K77+600</w:t>
            </w:r>
          </w:p>
        </w:tc>
        <w:tc>
          <w:tcPr>
            <w:tcW w:w="727" w:type="pct"/>
            <w:noWrap/>
            <w:vAlign w:val="center"/>
          </w:tcPr>
          <w:p w14:paraId="24FCD79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小沔镇斑竹村马鞍桥居民点</w:t>
            </w:r>
          </w:p>
        </w:tc>
        <w:tc>
          <w:tcPr>
            <w:tcW w:w="642" w:type="dxa"/>
            <w:noWrap/>
            <w:vAlign w:val="center"/>
          </w:tcPr>
          <w:p w14:paraId="20663AD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65629E9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2174B5F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54.75</w:t>
            </w:r>
          </w:p>
        </w:tc>
        <w:tc>
          <w:tcPr>
            <w:tcW w:w="255" w:type="pct"/>
            <w:noWrap/>
            <w:vAlign w:val="center"/>
          </w:tcPr>
          <w:p w14:paraId="01F91C41">
            <w:pPr>
              <w:pStyle w:val="29"/>
              <w:jc w:val="center"/>
              <w:rPr>
                <w:rFonts w:hint="eastAsia" w:ascii="Times New Roman" w:hAnsi="Times New Roman" w:eastAsia="宋体" w:cs="Times New Roman"/>
                <w:color w:val="auto"/>
                <w:sz w:val="21"/>
                <w:szCs w:val="21"/>
              </w:rPr>
            </w:pPr>
          </w:p>
        </w:tc>
        <w:tc>
          <w:tcPr>
            <w:tcW w:w="1816" w:type="dxa"/>
            <w:noWrap/>
            <w:vAlign w:val="center"/>
          </w:tcPr>
          <w:p w14:paraId="0611CC5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小沔镇斑竹村马鞍桥居民点</w:t>
            </w:r>
          </w:p>
        </w:tc>
        <w:tc>
          <w:tcPr>
            <w:tcW w:w="1012" w:type="dxa"/>
            <w:noWrap/>
            <w:vAlign w:val="center"/>
          </w:tcPr>
          <w:p w14:paraId="092A20E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K77+250-K77+600</w:t>
            </w:r>
          </w:p>
        </w:tc>
        <w:tc>
          <w:tcPr>
            <w:tcW w:w="1269" w:type="dxa"/>
            <w:noWrap/>
            <w:vAlign w:val="center"/>
          </w:tcPr>
          <w:p w14:paraId="7D44FD8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54.75</w:t>
            </w:r>
          </w:p>
        </w:tc>
        <w:tc>
          <w:tcPr>
            <w:tcW w:w="554" w:type="dxa"/>
            <w:noWrap/>
            <w:vAlign w:val="center"/>
          </w:tcPr>
          <w:p w14:paraId="444EA4D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06078E26">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7CD5B8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5AC63538">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22</w:t>
            </w:r>
          </w:p>
        </w:tc>
        <w:tc>
          <w:tcPr>
            <w:tcW w:w="1526" w:type="dxa"/>
            <w:noWrap/>
            <w:vAlign w:val="center"/>
          </w:tcPr>
          <w:p w14:paraId="752D08B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K77+250-K77+600</w:t>
            </w:r>
          </w:p>
        </w:tc>
        <w:tc>
          <w:tcPr>
            <w:tcW w:w="727" w:type="pct"/>
            <w:noWrap/>
            <w:vAlign w:val="center"/>
          </w:tcPr>
          <w:p w14:paraId="7E7F578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小沔镇斑竹村石梁子居民点</w:t>
            </w:r>
          </w:p>
        </w:tc>
        <w:tc>
          <w:tcPr>
            <w:tcW w:w="642" w:type="dxa"/>
            <w:noWrap/>
            <w:vAlign w:val="center"/>
          </w:tcPr>
          <w:p w14:paraId="3EC9783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603" w:type="dxa"/>
            <w:noWrap/>
            <w:vAlign w:val="center"/>
          </w:tcPr>
          <w:p w14:paraId="322411C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主线路左/匝道D右</w:t>
            </w:r>
          </w:p>
        </w:tc>
        <w:tc>
          <w:tcPr>
            <w:tcW w:w="670" w:type="dxa"/>
            <w:noWrap/>
            <w:vAlign w:val="center"/>
          </w:tcPr>
          <w:p w14:paraId="3D6A249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50.75</w:t>
            </w:r>
          </w:p>
        </w:tc>
        <w:tc>
          <w:tcPr>
            <w:tcW w:w="255" w:type="pct"/>
            <w:noWrap/>
            <w:vAlign w:val="center"/>
          </w:tcPr>
          <w:p w14:paraId="1678760D">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816" w:type="dxa"/>
            <w:noWrap/>
            <w:vAlign w:val="center"/>
          </w:tcPr>
          <w:p w14:paraId="48140F6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小沔镇斑竹村石梁子居民点</w:t>
            </w:r>
          </w:p>
        </w:tc>
        <w:tc>
          <w:tcPr>
            <w:tcW w:w="1012" w:type="dxa"/>
            <w:noWrap/>
            <w:vAlign w:val="center"/>
          </w:tcPr>
          <w:p w14:paraId="2A6E596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K77+250-K77+600</w:t>
            </w:r>
          </w:p>
        </w:tc>
        <w:tc>
          <w:tcPr>
            <w:tcW w:w="1269" w:type="dxa"/>
            <w:noWrap/>
            <w:vAlign w:val="center"/>
          </w:tcPr>
          <w:p w14:paraId="1E34CB0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50.75</w:t>
            </w:r>
          </w:p>
        </w:tc>
        <w:tc>
          <w:tcPr>
            <w:tcW w:w="554" w:type="dxa"/>
            <w:noWrap/>
            <w:vAlign w:val="center"/>
          </w:tcPr>
          <w:p w14:paraId="27C7E2D4">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-5</w:t>
            </w:r>
          </w:p>
        </w:tc>
        <w:tc>
          <w:tcPr>
            <w:tcW w:w="406" w:type="pct"/>
            <w:noWrap/>
            <w:vAlign w:val="center"/>
          </w:tcPr>
          <w:p w14:paraId="1156E6D5">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430595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77593948">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23</w:t>
            </w:r>
          </w:p>
        </w:tc>
        <w:tc>
          <w:tcPr>
            <w:tcW w:w="1526" w:type="dxa"/>
            <w:noWrap/>
            <w:vAlign w:val="center"/>
          </w:tcPr>
          <w:p w14:paraId="1577DB1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K77+570-K77+880</w:t>
            </w:r>
          </w:p>
        </w:tc>
        <w:tc>
          <w:tcPr>
            <w:tcW w:w="727" w:type="pct"/>
            <w:noWrap/>
            <w:vAlign w:val="center"/>
          </w:tcPr>
          <w:p w14:paraId="0904B88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小沔镇斑竹村新竹湾居民点</w:t>
            </w:r>
          </w:p>
        </w:tc>
        <w:tc>
          <w:tcPr>
            <w:tcW w:w="642" w:type="dxa"/>
            <w:noWrap/>
            <w:vAlign w:val="center"/>
          </w:tcPr>
          <w:p w14:paraId="3A31B36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5023550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6D6B065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255" w:type="pct"/>
            <w:noWrap/>
            <w:vAlign w:val="center"/>
          </w:tcPr>
          <w:p w14:paraId="42D6C365">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816" w:type="dxa"/>
            <w:noWrap/>
            <w:vAlign w:val="center"/>
          </w:tcPr>
          <w:p w14:paraId="010EE02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小沔镇斑竹村新竹湾居民点</w:t>
            </w:r>
          </w:p>
        </w:tc>
        <w:tc>
          <w:tcPr>
            <w:tcW w:w="1012" w:type="dxa"/>
            <w:noWrap/>
            <w:vAlign w:val="center"/>
          </w:tcPr>
          <w:p w14:paraId="5483409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K77+570-K77+880</w:t>
            </w:r>
          </w:p>
        </w:tc>
        <w:tc>
          <w:tcPr>
            <w:tcW w:w="1269" w:type="dxa"/>
            <w:noWrap/>
            <w:vAlign w:val="center"/>
          </w:tcPr>
          <w:p w14:paraId="3571FFB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32.75</w:t>
            </w:r>
          </w:p>
        </w:tc>
        <w:tc>
          <w:tcPr>
            <w:tcW w:w="554" w:type="dxa"/>
            <w:noWrap/>
            <w:vAlign w:val="center"/>
          </w:tcPr>
          <w:p w14:paraId="4CA8C4F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72D7B4F4">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58ECB5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3A20CC37">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24</w:t>
            </w:r>
          </w:p>
        </w:tc>
        <w:tc>
          <w:tcPr>
            <w:tcW w:w="1526" w:type="dxa"/>
            <w:noWrap/>
            <w:vAlign w:val="center"/>
          </w:tcPr>
          <w:p w14:paraId="360B195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727" w:type="pct"/>
            <w:noWrap/>
            <w:vAlign w:val="center"/>
          </w:tcPr>
          <w:p w14:paraId="74E7E44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小沔镇1#斑竹村长五间居民点</w:t>
            </w:r>
          </w:p>
        </w:tc>
        <w:tc>
          <w:tcPr>
            <w:tcW w:w="642" w:type="dxa"/>
            <w:noWrap/>
            <w:vAlign w:val="center"/>
          </w:tcPr>
          <w:p w14:paraId="116AD13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44D1C2B7">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5F2B866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37.75</w:t>
            </w:r>
          </w:p>
        </w:tc>
        <w:tc>
          <w:tcPr>
            <w:tcW w:w="255" w:type="pct"/>
            <w:noWrap/>
            <w:vAlign w:val="center"/>
          </w:tcPr>
          <w:p w14:paraId="31F67696">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1816" w:type="dxa"/>
            <w:noWrap/>
            <w:vAlign w:val="center"/>
          </w:tcPr>
          <w:p w14:paraId="329AF55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小沔镇1#斑竹村长五间居民点</w:t>
            </w:r>
          </w:p>
        </w:tc>
        <w:tc>
          <w:tcPr>
            <w:tcW w:w="1012" w:type="dxa"/>
            <w:noWrap/>
            <w:vAlign w:val="center"/>
          </w:tcPr>
          <w:p w14:paraId="405DF62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269" w:type="dxa"/>
            <w:noWrap/>
            <w:vAlign w:val="center"/>
          </w:tcPr>
          <w:p w14:paraId="59D6FD8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37.75</w:t>
            </w:r>
          </w:p>
        </w:tc>
        <w:tc>
          <w:tcPr>
            <w:tcW w:w="554" w:type="dxa"/>
            <w:noWrap/>
            <w:vAlign w:val="center"/>
          </w:tcPr>
          <w:p w14:paraId="0DF1206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30BFBDBD">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1A4538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1426DF83">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25</w:t>
            </w:r>
          </w:p>
        </w:tc>
        <w:tc>
          <w:tcPr>
            <w:tcW w:w="1526" w:type="dxa"/>
            <w:noWrap/>
            <w:vAlign w:val="center"/>
          </w:tcPr>
          <w:p w14:paraId="437FF201">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727" w:type="pct"/>
            <w:noWrap/>
            <w:vAlign w:val="center"/>
          </w:tcPr>
          <w:p w14:paraId="0907B03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小沔镇2#斑竹村长五间居民点</w:t>
            </w:r>
          </w:p>
        </w:tc>
        <w:tc>
          <w:tcPr>
            <w:tcW w:w="642" w:type="dxa"/>
            <w:noWrap/>
            <w:vAlign w:val="center"/>
          </w:tcPr>
          <w:p w14:paraId="4E0E9DF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00D3BCC9">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3645B71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55" w:type="pct"/>
            <w:noWrap/>
            <w:vAlign w:val="center"/>
          </w:tcPr>
          <w:p w14:paraId="517EFA8A">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c>
          <w:tcPr>
            <w:tcW w:w="1816" w:type="dxa"/>
            <w:noWrap/>
            <w:vAlign w:val="center"/>
          </w:tcPr>
          <w:p w14:paraId="0ED5E8A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小沔镇2#斑竹村长五间居民点</w:t>
            </w:r>
          </w:p>
        </w:tc>
        <w:tc>
          <w:tcPr>
            <w:tcW w:w="1012" w:type="dxa"/>
            <w:noWrap/>
            <w:vAlign w:val="center"/>
          </w:tcPr>
          <w:p w14:paraId="4E74A952">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w:t>
            </w:r>
          </w:p>
        </w:tc>
        <w:tc>
          <w:tcPr>
            <w:tcW w:w="1269" w:type="dxa"/>
            <w:noWrap/>
            <w:vAlign w:val="center"/>
          </w:tcPr>
          <w:p w14:paraId="326A2CE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554" w:type="dxa"/>
            <w:noWrap/>
            <w:vAlign w:val="center"/>
          </w:tcPr>
          <w:p w14:paraId="5561855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39DF34B9">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2BAC1A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4A9A78E5">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26</w:t>
            </w:r>
          </w:p>
        </w:tc>
        <w:tc>
          <w:tcPr>
            <w:tcW w:w="1526" w:type="dxa"/>
            <w:noWrap/>
            <w:vAlign w:val="center"/>
          </w:tcPr>
          <w:p w14:paraId="0ED81998">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K79+110-K79+760</w:t>
            </w:r>
          </w:p>
        </w:tc>
        <w:tc>
          <w:tcPr>
            <w:tcW w:w="727" w:type="pct"/>
            <w:noWrap/>
            <w:vAlign w:val="center"/>
          </w:tcPr>
          <w:p w14:paraId="389D67DD">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小沔镇1#石窝村八角庙居民点</w:t>
            </w:r>
          </w:p>
        </w:tc>
        <w:tc>
          <w:tcPr>
            <w:tcW w:w="642" w:type="dxa"/>
            <w:noWrap/>
            <w:vAlign w:val="center"/>
          </w:tcPr>
          <w:p w14:paraId="2B36CD3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7A0D584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路右</w:t>
            </w:r>
          </w:p>
        </w:tc>
        <w:tc>
          <w:tcPr>
            <w:tcW w:w="670" w:type="dxa"/>
            <w:noWrap/>
            <w:vAlign w:val="center"/>
          </w:tcPr>
          <w:p w14:paraId="3392D86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255" w:type="pct"/>
            <w:noWrap/>
            <w:vAlign w:val="center"/>
          </w:tcPr>
          <w:p w14:paraId="418829B7">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c>
          <w:tcPr>
            <w:tcW w:w="1816" w:type="dxa"/>
            <w:noWrap/>
            <w:vAlign w:val="center"/>
          </w:tcPr>
          <w:p w14:paraId="571C0EA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小沔镇1#石窝村八角庙居民点</w:t>
            </w:r>
          </w:p>
        </w:tc>
        <w:tc>
          <w:tcPr>
            <w:tcW w:w="1012" w:type="dxa"/>
            <w:noWrap/>
            <w:vAlign w:val="center"/>
          </w:tcPr>
          <w:p w14:paraId="0FB30BC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K79+110-K79+760</w:t>
            </w:r>
          </w:p>
        </w:tc>
        <w:tc>
          <w:tcPr>
            <w:tcW w:w="1269" w:type="dxa"/>
            <w:noWrap/>
            <w:vAlign w:val="center"/>
          </w:tcPr>
          <w:p w14:paraId="6F67FDD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42.75</w:t>
            </w:r>
          </w:p>
        </w:tc>
        <w:tc>
          <w:tcPr>
            <w:tcW w:w="554" w:type="dxa"/>
            <w:noWrap/>
            <w:vAlign w:val="center"/>
          </w:tcPr>
          <w:p w14:paraId="3D3E1FE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46C2E32F">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r w14:paraId="69230E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306" w:type="pct"/>
            <w:noWrap/>
            <w:vAlign w:val="center"/>
          </w:tcPr>
          <w:p w14:paraId="01088408">
            <w:pPr>
              <w:pStyle w:val="29"/>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27</w:t>
            </w:r>
          </w:p>
        </w:tc>
        <w:tc>
          <w:tcPr>
            <w:tcW w:w="1526" w:type="dxa"/>
            <w:noWrap/>
            <w:vAlign w:val="center"/>
          </w:tcPr>
          <w:p w14:paraId="7B77CEA6">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K79+110-K79+760</w:t>
            </w:r>
          </w:p>
        </w:tc>
        <w:tc>
          <w:tcPr>
            <w:tcW w:w="727" w:type="pct"/>
            <w:noWrap/>
            <w:vAlign w:val="center"/>
          </w:tcPr>
          <w:p w14:paraId="4568E30C">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小沔镇2#石窝村八角庙居民点</w:t>
            </w:r>
          </w:p>
        </w:tc>
        <w:tc>
          <w:tcPr>
            <w:tcW w:w="642" w:type="dxa"/>
            <w:noWrap/>
            <w:vAlign w:val="center"/>
          </w:tcPr>
          <w:p w14:paraId="16A9E0A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603" w:type="dxa"/>
            <w:noWrap/>
            <w:vAlign w:val="center"/>
          </w:tcPr>
          <w:p w14:paraId="1CDB8883">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路左</w:t>
            </w:r>
          </w:p>
        </w:tc>
        <w:tc>
          <w:tcPr>
            <w:tcW w:w="670" w:type="dxa"/>
            <w:noWrap/>
            <w:vAlign w:val="center"/>
          </w:tcPr>
          <w:p w14:paraId="057502AF">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47.75</w:t>
            </w:r>
          </w:p>
        </w:tc>
        <w:tc>
          <w:tcPr>
            <w:tcW w:w="255" w:type="pct"/>
            <w:noWrap/>
            <w:vAlign w:val="center"/>
          </w:tcPr>
          <w:p w14:paraId="4078EBAA">
            <w:pPr>
              <w:pStyle w:val="29"/>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1816" w:type="dxa"/>
            <w:noWrap/>
            <w:vAlign w:val="center"/>
          </w:tcPr>
          <w:p w14:paraId="13A996C0">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小沔镇2#石窝村八角庙居民点</w:t>
            </w:r>
          </w:p>
        </w:tc>
        <w:tc>
          <w:tcPr>
            <w:tcW w:w="1012" w:type="dxa"/>
            <w:noWrap/>
            <w:vAlign w:val="center"/>
          </w:tcPr>
          <w:p w14:paraId="2C095CEE">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K79+110-K79+760</w:t>
            </w:r>
          </w:p>
        </w:tc>
        <w:tc>
          <w:tcPr>
            <w:tcW w:w="1269" w:type="dxa"/>
            <w:noWrap/>
            <w:vAlign w:val="center"/>
          </w:tcPr>
          <w:p w14:paraId="2F56CA35">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47.75</w:t>
            </w:r>
          </w:p>
        </w:tc>
        <w:tc>
          <w:tcPr>
            <w:tcW w:w="554" w:type="dxa"/>
            <w:noWrap/>
            <w:vAlign w:val="center"/>
          </w:tcPr>
          <w:p w14:paraId="6EED2E9A">
            <w:pPr>
              <w:keepLines w:val="0"/>
              <w:widowControl w:val="0"/>
              <w:kinsoku/>
              <w:overflowPunct w:val="0"/>
              <w:autoSpaceDE w:val="0"/>
              <w:autoSpaceDN w:val="0"/>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2</w:t>
            </w:r>
          </w:p>
        </w:tc>
        <w:tc>
          <w:tcPr>
            <w:tcW w:w="406" w:type="pct"/>
            <w:noWrap/>
            <w:vAlign w:val="center"/>
          </w:tcPr>
          <w:p w14:paraId="75EB67FA">
            <w:pPr>
              <w:pStyle w:val="29"/>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r>
    </w:tbl>
    <w:p w14:paraId="57574A92">
      <w:pPr>
        <w:ind w:firstLine="480"/>
        <w:rPr>
          <w:rFonts w:hint="default" w:cs="Times New Roman"/>
          <w:color w:val="auto"/>
          <w:szCs w:val="24"/>
          <w:lang w:val="en-US" w:eastAsia="zh-CN"/>
        </w:rPr>
        <w:sectPr>
          <w:pgSz w:w="16838" w:h="11906" w:orient="landscape"/>
          <w:pgMar w:top="1800" w:right="1440" w:bottom="1800" w:left="144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p>
    <w:p w14:paraId="2A9DD2B3">
      <w:pPr>
        <w:pStyle w:val="4"/>
        <w:numPr>
          <w:ilvl w:val="2"/>
          <w:numId w:val="0"/>
        </w:numPr>
        <w:ind w:left="720" w:leftChars="0" w:hanging="720" w:firstLineChars="0"/>
        <w:rPr>
          <w:rFonts w:hint="default" w:ascii="Times New Roman" w:hAnsi="Times New Roman" w:eastAsia="宋体" w:cs="Times New Roman"/>
          <w:b/>
          <w:bCs/>
          <w:color w:val="auto"/>
          <w:kern w:val="2"/>
          <w:sz w:val="30"/>
          <w:szCs w:val="30"/>
          <w:lang w:val="en-US" w:eastAsia="zh-CN" w:bidi="ar-SA"/>
        </w:rPr>
      </w:pPr>
      <w:r>
        <w:rPr>
          <w:rFonts w:hint="default" w:ascii="Times New Roman" w:hAnsi="Times New Roman" w:eastAsia="宋体" w:cs="Times New Roman"/>
          <w:b/>
          <w:bCs/>
          <w:color w:val="auto"/>
          <w:kern w:val="2"/>
          <w:sz w:val="30"/>
          <w:szCs w:val="30"/>
          <w:lang w:val="en-US" w:eastAsia="zh-CN" w:bidi="ar-SA"/>
        </w:rPr>
        <w:t>6.2.2 噪声防治措施​</w:t>
      </w:r>
    </w:p>
    <w:p w14:paraId="25A3F980">
      <w:pPr>
        <w:rPr>
          <w:rFonts w:hint="default"/>
          <w:color w:val="auto"/>
          <w:lang w:val="en-US" w:eastAsia="zh-CN"/>
        </w:rPr>
      </w:pPr>
      <w:r>
        <w:rPr>
          <w:rFonts w:hint="eastAsia"/>
          <w:color w:val="auto"/>
          <w:lang w:val="en-US" w:eastAsia="zh-CN"/>
        </w:rPr>
        <w:t>重新报批阶段要求，项目本次验收需要于桂花村吊脚楼居民点、大田村华家屋基居民点、1#斑竹村长五间居民点（K78+150-K78+250）、2#斑竹村长五间居民点及运营初期、中期预测超标点位处设置365m的声屏障。</w:t>
      </w:r>
      <w:r>
        <w:rPr>
          <w:rFonts w:hint="default" w:ascii="Times New Roman" w:hAnsi="Times New Roman" w:eastAsia="宋体" w:cs="Times New Roman"/>
          <w:color w:val="auto"/>
          <w:spacing w:val="0"/>
          <w:sz w:val="24"/>
          <w:szCs w:val="24"/>
          <w:lang w:val="en-US" w:eastAsia="zh-CN"/>
        </w:rPr>
        <w:t>环境影响报告书及批复意见中提出的噪声污染防治设施落实</w:t>
      </w:r>
      <w:r>
        <w:rPr>
          <w:rFonts w:hint="eastAsia" w:cs="Times New Roman"/>
          <w:color w:val="auto"/>
          <w:spacing w:val="0"/>
          <w:sz w:val="24"/>
          <w:szCs w:val="24"/>
          <w:lang w:val="en-US" w:eastAsia="zh-CN"/>
        </w:rPr>
        <w:t>情况</w:t>
      </w:r>
      <w:r>
        <w:rPr>
          <w:rFonts w:hint="eastAsia" w:ascii="Times New Roman" w:hAnsi="Times New Roman" w:eastAsia="宋体" w:cs="Times New Roman"/>
          <w:color w:val="auto"/>
          <w:spacing w:val="0"/>
          <w:sz w:val="24"/>
          <w:szCs w:val="24"/>
          <w:lang w:val="en-US" w:eastAsia="zh-CN"/>
        </w:rPr>
        <w:t>见下表</w:t>
      </w:r>
    </w:p>
    <w:p w14:paraId="732DF6DF">
      <w:pPr>
        <w:rPr>
          <w:rFonts w:hint="default" w:eastAsia="宋体"/>
          <w:b/>
          <w:bCs/>
          <w:color w:val="auto"/>
          <w:lang w:val="en-US" w:eastAsia="zh-CN"/>
        </w:rPr>
      </w:pPr>
    </w:p>
    <w:p w14:paraId="7AB95F57">
      <w:pPr>
        <w:pStyle w:val="9"/>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6.2</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lang w:val="en-US" w:eastAsia="zh-CN"/>
        </w:rPr>
        <w:t>噪声污染防治设施落实情况汇</w:t>
      </w:r>
      <w:r>
        <w:rPr>
          <w:rFonts w:hint="eastAsia" w:ascii="Times New Roman" w:hAnsi="Times New Roman" w:cs="Times New Roman"/>
          <w:color w:val="auto"/>
          <w:lang w:val="en-US" w:eastAsia="zh-CN"/>
        </w:rPr>
        <w:t>总</w:t>
      </w:r>
      <w:r>
        <w:rPr>
          <w:rFonts w:hint="default" w:ascii="Times New Roman" w:hAnsi="Times New Roman" w:cs="Times New Roman"/>
          <w:color w:val="auto"/>
        </w:rPr>
        <w:t>表</w:t>
      </w:r>
    </w:p>
    <w:tbl>
      <w:tblPr>
        <w:tblStyle w:val="36"/>
        <w:tblW w:w="8300" w:type="dxa"/>
        <w:tblInd w:w="1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7"/>
        <w:gridCol w:w="2893"/>
        <w:gridCol w:w="2130"/>
        <w:gridCol w:w="2570"/>
      </w:tblGrid>
      <w:tr w14:paraId="03A9C9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707" w:type="dxa"/>
            <w:noWrap w:val="0"/>
            <w:vAlign w:val="center"/>
          </w:tcPr>
          <w:p w14:paraId="78B7CBE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措施</w:t>
            </w:r>
          </w:p>
          <w:p w14:paraId="1EB0334F">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类别</w:t>
            </w:r>
          </w:p>
        </w:tc>
        <w:tc>
          <w:tcPr>
            <w:tcW w:w="2893" w:type="dxa"/>
            <w:noWrap w:val="0"/>
            <w:vAlign w:val="center"/>
          </w:tcPr>
          <w:p w14:paraId="2030823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环评</w:t>
            </w:r>
          </w:p>
          <w:p w14:paraId="3438FB01">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措施</w:t>
            </w:r>
          </w:p>
        </w:tc>
        <w:tc>
          <w:tcPr>
            <w:tcW w:w="2130" w:type="dxa"/>
            <w:noWrap w:val="0"/>
            <w:vAlign w:val="center"/>
          </w:tcPr>
          <w:p w14:paraId="47FE3A7C">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实际</w:t>
            </w:r>
          </w:p>
          <w:p w14:paraId="5658DFB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措施</w:t>
            </w:r>
          </w:p>
        </w:tc>
        <w:tc>
          <w:tcPr>
            <w:tcW w:w="2570" w:type="dxa"/>
            <w:noWrap w:val="0"/>
            <w:vAlign w:val="center"/>
          </w:tcPr>
          <w:p w14:paraId="3FBFDE5E">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变化</w:t>
            </w:r>
          </w:p>
          <w:p w14:paraId="3935E697">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情况</w:t>
            </w:r>
          </w:p>
        </w:tc>
      </w:tr>
      <w:tr w14:paraId="18E35B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8" w:hRule="atLeast"/>
        </w:trPr>
        <w:tc>
          <w:tcPr>
            <w:tcW w:w="707" w:type="dxa"/>
            <w:noWrap w:val="0"/>
            <w:vAlign w:val="center"/>
          </w:tcPr>
          <w:p w14:paraId="56E86622">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声屏障</w:t>
            </w:r>
          </w:p>
        </w:tc>
        <w:tc>
          <w:tcPr>
            <w:tcW w:w="2893" w:type="dxa"/>
            <w:noWrap w:val="0"/>
            <w:vAlign w:val="center"/>
          </w:tcPr>
          <w:p w14:paraId="0FFF7C8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已建设有声屏障1058m；运营近期、中期预测超标的声环境敏感目标中尚有桂花村吊脚楼居民点、大田村华家屋基居民点、1#斑竹村长五间居民点</w:t>
            </w:r>
            <w:r>
              <w:rPr>
                <w:rFonts w:hint="eastAsia" w:ascii="Times New Roman" w:hAnsi="Times New Roman" w:cs="Times New Roman"/>
                <w:b w:val="0"/>
                <w:bCs w:val="0"/>
                <w:color w:val="auto"/>
                <w:spacing w:val="0"/>
                <w:position w:val="0"/>
                <w:sz w:val="21"/>
                <w:szCs w:val="21"/>
                <w:lang w:val="en-US" w:eastAsia="zh-CN"/>
              </w:rPr>
              <w:t>（</w:t>
            </w:r>
            <w:r>
              <w:rPr>
                <w:rFonts w:hint="default" w:ascii="Times New Roman" w:hAnsi="Times New Roman" w:eastAsia="宋体" w:cs="Times New Roman"/>
                <w:b w:val="0"/>
                <w:bCs w:val="0"/>
                <w:color w:val="auto"/>
                <w:spacing w:val="0"/>
                <w:position w:val="0"/>
                <w:sz w:val="21"/>
                <w:szCs w:val="21"/>
                <w:lang w:val="en-US" w:eastAsia="zh-CN"/>
              </w:rPr>
              <w:t>K78+150-K78+250</w:t>
            </w:r>
            <w:r>
              <w:rPr>
                <w:rFonts w:hint="eastAsia" w:ascii="Times New Roman" w:hAnsi="Times New Roman" w:cs="Times New Roman"/>
                <w:b w:val="0"/>
                <w:bCs w:val="0"/>
                <w:color w:val="auto"/>
                <w:spacing w:val="0"/>
                <w:position w:val="0"/>
                <w:sz w:val="21"/>
                <w:szCs w:val="21"/>
                <w:lang w:val="en-US" w:eastAsia="zh-CN"/>
              </w:rPr>
              <w:t>）</w:t>
            </w:r>
            <w:r>
              <w:rPr>
                <w:rFonts w:hint="default" w:ascii="Times New Roman" w:hAnsi="Times New Roman" w:eastAsia="宋体" w:cs="Times New Roman"/>
                <w:b w:val="0"/>
                <w:bCs w:val="0"/>
                <w:color w:val="auto"/>
                <w:spacing w:val="0"/>
                <w:position w:val="0"/>
                <w:sz w:val="21"/>
                <w:szCs w:val="21"/>
                <w:lang w:val="en-US" w:eastAsia="zh-CN"/>
              </w:rPr>
              <w:t>、2#斑竹村长五间居民点未安装隔声屏，需补充安装365m的隔声屏。</w:t>
            </w:r>
          </w:p>
          <w:p w14:paraId="294182B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远期8处超标，采取预留资金+跟踪监测的方式。</w:t>
            </w:r>
          </w:p>
        </w:tc>
        <w:tc>
          <w:tcPr>
            <w:tcW w:w="2130" w:type="dxa"/>
            <w:noWrap w:val="0"/>
            <w:vAlign w:val="center"/>
          </w:tcPr>
          <w:p w14:paraId="0CE9256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未对</w:t>
            </w:r>
            <w:r>
              <w:rPr>
                <w:rFonts w:hint="default" w:ascii="Times New Roman" w:hAnsi="Times New Roman" w:eastAsia="宋体" w:cs="Times New Roman"/>
                <w:b w:val="0"/>
                <w:bCs w:val="0"/>
                <w:color w:val="auto"/>
                <w:spacing w:val="0"/>
                <w:position w:val="0"/>
                <w:sz w:val="21"/>
                <w:szCs w:val="21"/>
                <w:lang w:val="en-US" w:eastAsia="zh-CN"/>
              </w:rPr>
              <w:t>运营近期、中期预测超标的声环境敏感目标</w:t>
            </w:r>
            <w:r>
              <w:rPr>
                <w:rFonts w:hint="eastAsia" w:ascii="Times New Roman" w:hAnsi="Times New Roman" w:eastAsia="宋体" w:cs="Times New Roman"/>
                <w:b w:val="0"/>
                <w:bCs w:val="0"/>
                <w:color w:val="auto"/>
                <w:spacing w:val="0"/>
                <w:position w:val="0"/>
                <w:sz w:val="21"/>
                <w:szCs w:val="21"/>
                <w:lang w:val="en-US" w:eastAsia="zh-CN"/>
              </w:rPr>
              <w:t>尚未建设声屏障的位置进行</w:t>
            </w:r>
            <w:r>
              <w:rPr>
                <w:rFonts w:hint="default" w:ascii="Times New Roman" w:hAnsi="Times New Roman" w:eastAsia="宋体" w:cs="Times New Roman"/>
                <w:b w:val="0"/>
                <w:bCs w:val="0"/>
                <w:color w:val="auto"/>
                <w:spacing w:val="0"/>
                <w:position w:val="0"/>
                <w:sz w:val="21"/>
                <w:szCs w:val="21"/>
                <w:lang w:val="en-US" w:eastAsia="zh-CN"/>
              </w:rPr>
              <w:t>补充安装</w:t>
            </w:r>
            <w:r>
              <w:rPr>
                <w:rFonts w:hint="eastAsia" w:ascii="Times New Roman" w:hAnsi="Times New Roman" w:cs="Times New Roman"/>
                <w:b w:val="0"/>
                <w:bCs w:val="0"/>
                <w:color w:val="auto"/>
                <w:spacing w:val="0"/>
                <w:position w:val="0"/>
                <w:sz w:val="21"/>
                <w:szCs w:val="21"/>
                <w:lang w:val="en-US" w:eastAsia="zh-CN"/>
              </w:rPr>
              <w:t>，同远期超标点位一并采取预留资金+跟踪监测的方式</w:t>
            </w:r>
          </w:p>
        </w:tc>
        <w:tc>
          <w:tcPr>
            <w:tcW w:w="2570" w:type="dxa"/>
            <w:noWrap w:val="0"/>
            <w:vAlign w:val="center"/>
          </w:tcPr>
          <w:p w14:paraId="6B5E790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已建成声屏障1058m，</w:t>
            </w:r>
            <w:r>
              <w:rPr>
                <w:rFonts w:hint="eastAsia" w:ascii="Times New Roman" w:hAnsi="Times New Roman" w:eastAsia="宋体" w:cs="Times New Roman"/>
                <w:b w:val="0"/>
                <w:bCs w:val="0"/>
                <w:color w:val="auto"/>
                <w:spacing w:val="0"/>
                <w:position w:val="0"/>
                <w:sz w:val="21"/>
                <w:szCs w:val="21"/>
                <w:lang w:val="en-US" w:eastAsia="zh-CN"/>
              </w:rPr>
              <w:t>未</w:t>
            </w:r>
            <w:r>
              <w:rPr>
                <w:rFonts w:hint="default" w:ascii="Times New Roman" w:hAnsi="Times New Roman" w:eastAsia="宋体" w:cs="Times New Roman"/>
                <w:b w:val="0"/>
                <w:bCs w:val="0"/>
                <w:color w:val="auto"/>
                <w:spacing w:val="0"/>
                <w:position w:val="0"/>
                <w:sz w:val="21"/>
                <w:szCs w:val="21"/>
                <w:lang w:val="en-US" w:eastAsia="zh-CN"/>
              </w:rPr>
              <w:t>补充安装365m的隔声屏。</w:t>
            </w:r>
          </w:p>
        </w:tc>
      </w:tr>
    </w:tbl>
    <w:p w14:paraId="2AB7634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b/>
          <w:bCs/>
          <w:color w:val="auto"/>
          <w:sz w:val="21"/>
          <w:szCs w:val="21"/>
          <w:lang w:val="en-US" w:eastAsia="zh-CN"/>
        </w:rPr>
      </w:pPr>
    </w:p>
    <w:p w14:paraId="238CDC2B">
      <w:pPr>
        <w:ind w:firstLine="480"/>
        <w:rPr>
          <w:rFonts w:hint="eastAsia" w:cs="Times New Roman"/>
          <w:color w:val="auto"/>
          <w:szCs w:val="24"/>
          <w:lang w:val="en-US" w:eastAsia="zh-CN"/>
        </w:rPr>
      </w:pPr>
      <w:r>
        <w:rPr>
          <w:rFonts w:hint="eastAsia" w:cs="Times New Roman"/>
          <w:color w:val="auto"/>
          <w:szCs w:val="24"/>
          <w:lang w:val="en-US" w:eastAsia="zh-CN"/>
        </w:rPr>
        <w:t>同</w:t>
      </w:r>
      <w:r>
        <w:rPr>
          <w:rFonts w:hint="eastAsia" w:ascii="Times New Roman" w:hAnsi="Times New Roman" w:cs="Times New Roman"/>
          <w:color w:val="auto"/>
          <w:szCs w:val="24"/>
          <w:lang w:val="en-US" w:eastAsia="zh-CN"/>
        </w:rPr>
        <w:t>《建设项目竣工环境保护验收技术规范 公路》（HJ 552-2010）</w:t>
      </w:r>
      <w:r>
        <w:rPr>
          <w:rFonts w:hint="eastAsia" w:cs="Times New Roman"/>
          <w:color w:val="auto"/>
          <w:szCs w:val="24"/>
          <w:lang w:val="en-US" w:eastAsia="zh-CN"/>
        </w:rPr>
        <w:t>的符合性</w:t>
      </w:r>
      <w:r>
        <w:rPr>
          <w:rFonts w:hint="eastAsia" w:ascii="Times New Roman" w:hAnsi="Times New Roman" w:cs="Times New Roman"/>
          <w:color w:val="auto"/>
          <w:szCs w:val="24"/>
          <w:lang w:val="en-US" w:eastAsia="zh-CN"/>
        </w:rPr>
        <w:t>分析</w:t>
      </w:r>
      <w:r>
        <w:rPr>
          <w:rFonts w:hint="eastAsia" w:cs="Times New Roman"/>
          <w:color w:val="auto"/>
          <w:szCs w:val="24"/>
          <w:lang w:val="en-US" w:eastAsia="zh-CN"/>
        </w:rPr>
        <w:t>见下表：</w:t>
      </w:r>
    </w:p>
    <w:p w14:paraId="555A3416">
      <w:pPr>
        <w:pStyle w:val="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w:t>
      </w:r>
      <w:r>
        <w:rPr>
          <w:rFonts w:hint="eastAsia" w:cs="Times New Roman"/>
          <w:color w:val="auto"/>
          <w:lang w:val="en-US" w:eastAsia="zh-CN"/>
        </w:rPr>
        <w:t>6.2</w:t>
      </w:r>
      <w:r>
        <w:rPr>
          <w:rFonts w:hint="default" w:ascii="Times New Roman" w:hAnsi="Times New Roman" w:cs="Times New Roman"/>
          <w:color w:val="auto"/>
          <w:lang w:val="en-US" w:eastAsia="zh-CN"/>
        </w:rPr>
        <w:noBreakHyphen/>
      </w:r>
      <w:r>
        <w:rPr>
          <w:rFonts w:hint="eastAsia" w:cs="Times New Roman"/>
          <w:color w:val="auto"/>
          <w:lang w:val="en-US" w:eastAsia="zh-CN"/>
        </w:rPr>
        <w:t xml:space="preserve">3 </w:t>
      </w:r>
      <w:r>
        <w:rPr>
          <w:rFonts w:hint="default" w:ascii="Times New Roman" w:hAnsi="Times New Roman" w:cs="Times New Roman"/>
          <w:color w:val="auto"/>
          <w:lang w:val="en-US" w:eastAsia="zh-CN"/>
        </w:rPr>
        <w:t>同《建设项目竣工环境保护验收技术规范 公路》（HJ 552-2010）</w:t>
      </w:r>
      <w:r>
        <w:rPr>
          <w:rFonts w:hint="eastAsia" w:cs="Times New Roman"/>
          <w:color w:val="auto"/>
          <w:szCs w:val="24"/>
          <w:lang w:val="en-US" w:eastAsia="zh-CN"/>
        </w:rPr>
        <w:t>符合性</w:t>
      </w:r>
      <w:r>
        <w:rPr>
          <w:rFonts w:hint="eastAsia" w:cs="Times New Roman"/>
          <w:color w:val="auto"/>
          <w:lang w:val="en-US" w:eastAsia="zh-CN"/>
        </w:rPr>
        <w:t>分析</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0D8AD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343CE65C">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《建设项目竣工环境保护验收技术规范 公路》（HJ 552-2010）</w:t>
            </w:r>
            <w:r>
              <w:rPr>
                <w:rFonts w:hint="eastAsia" w:cs="Times New Roman"/>
                <w:color w:val="auto"/>
                <w:sz w:val="21"/>
                <w:szCs w:val="21"/>
                <w:vertAlign w:val="baseline"/>
                <w:lang w:val="en-US" w:eastAsia="zh-CN"/>
              </w:rPr>
              <w:t>相关内容</w:t>
            </w:r>
          </w:p>
        </w:tc>
        <w:tc>
          <w:tcPr>
            <w:tcW w:w="2841" w:type="dxa"/>
            <w:vAlign w:val="center"/>
          </w:tcPr>
          <w:p w14:paraId="521B43E6">
            <w:pPr>
              <w:spacing w:line="240" w:lineRule="auto"/>
              <w:ind w:left="0" w:leftChars="0" w:firstLine="0" w:firstLineChars="0"/>
              <w:jc w:val="center"/>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本项目</w:t>
            </w:r>
          </w:p>
          <w:p w14:paraId="3EB7E008">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实际情况</w:t>
            </w:r>
          </w:p>
        </w:tc>
        <w:tc>
          <w:tcPr>
            <w:tcW w:w="2841" w:type="dxa"/>
            <w:vAlign w:val="center"/>
          </w:tcPr>
          <w:p w14:paraId="752F0F48">
            <w:pPr>
              <w:spacing w:line="240" w:lineRule="auto"/>
              <w:ind w:left="0" w:leftChars="0" w:firstLine="0" w:firstLineChars="0"/>
              <w:jc w:val="center"/>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p w14:paraId="21274BBA">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情况</w:t>
            </w:r>
          </w:p>
        </w:tc>
      </w:tr>
      <w:tr w14:paraId="3E13F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206153FD">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第4.1.4 验收调查的公路建设项目按实际交通量进行调查，注明实际交通量。未达到预测交通量的75%时，应对中期预测交通量进行校核，并按校核的中期预测交通量对主要环境保护措施进行复核。在试运营期根据监测结果采取环境保护措施，并预留治理经费预算。</w:t>
            </w:r>
          </w:p>
        </w:tc>
        <w:tc>
          <w:tcPr>
            <w:tcW w:w="2841" w:type="dxa"/>
            <w:vAlign w:val="center"/>
          </w:tcPr>
          <w:p w14:paraId="58BFE40B">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color w:val="auto"/>
                <w:sz w:val="21"/>
                <w:szCs w:val="21"/>
                <w:lang w:val="en-US" w:eastAsia="zh-CN"/>
              </w:rPr>
              <w:t>项目处于试运营期阶段，敏感点噪声监测结果满足《声环境质量标准》相应限值要求，根据前文相关分析，项目保守情况下，交通流量无需复核</w:t>
            </w:r>
          </w:p>
        </w:tc>
        <w:tc>
          <w:tcPr>
            <w:tcW w:w="2841" w:type="dxa"/>
            <w:vAlign w:val="center"/>
          </w:tcPr>
          <w:p w14:paraId="66A68CC7">
            <w:pPr>
              <w:spacing w:line="240" w:lineRule="auto"/>
              <w:ind w:left="0" w:leftChars="0" w:firstLine="0" w:firstLineChars="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tc>
      </w:tr>
      <w:tr w14:paraId="0E422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45F2B0D5">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4.4.3 试运营期-a</w:t>
            </w:r>
            <w:r>
              <w:rPr>
                <w:rFonts w:hint="eastAsia" w:cs="Times New Roman"/>
                <w:color w:val="auto"/>
                <w:sz w:val="21"/>
                <w:szCs w:val="21"/>
                <w:vertAlign w:val="baseline"/>
                <w:lang w:val="en-US" w:eastAsia="zh-CN"/>
              </w:rPr>
              <w:t>）</w:t>
            </w:r>
            <w:r>
              <w:rPr>
                <w:rFonts w:hint="eastAsia" w:ascii="Times New Roman" w:hAnsi="Times New Roman" w:cs="Times New Roman"/>
                <w:color w:val="auto"/>
                <w:sz w:val="21"/>
                <w:szCs w:val="21"/>
                <w:vertAlign w:val="baseline"/>
                <w:lang w:val="en-US" w:eastAsia="zh-CN"/>
              </w:rPr>
              <w:t>调查建设单位依据实际环境影响而采取的环境保护措施和实施效果，调查试运营期环境风险源、环境风险防范与应急措施落实情况。b</w:t>
            </w:r>
            <w:r>
              <w:rPr>
                <w:rFonts w:hint="eastAsia" w:cs="Times New Roman"/>
                <w:color w:val="auto"/>
                <w:sz w:val="21"/>
                <w:szCs w:val="21"/>
                <w:vertAlign w:val="baseline"/>
                <w:lang w:val="en-US" w:eastAsia="zh-CN"/>
              </w:rPr>
              <w:t>）</w:t>
            </w:r>
            <w:r>
              <w:rPr>
                <w:rFonts w:hint="eastAsia" w:ascii="Times New Roman" w:hAnsi="Times New Roman" w:cs="Times New Roman"/>
                <w:color w:val="auto"/>
                <w:sz w:val="21"/>
                <w:szCs w:val="21"/>
                <w:vertAlign w:val="baseline"/>
                <w:lang w:val="en-US" w:eastAsia="zh-CN"/>
              </w:rPr>
              <w:t>调查试运营期实际存在的环境问题、公众反映强烈的环境问题和需要进一步改进、完善的环境保护工作。</w:t>
            </w:r>
          </w:p>
        </w:tc>
        <w:tc>
          <w:tcPr>
            <w:tcW w:w="2841" w:type="dxa"/>
            <w:vAlign w:val="center"/>
          </w:tcPr>
          <w:p w14:paraId="736AD7BB">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建设单位</w:t>
            </w:r>
            <w:r>
              <w:rPr>
                <w:rFonts w:hint="eastAsia" w:cs="Times New Roman"/>
                <w:color w:val="auto"/>
                <w:sz w:val="21"/>
                <w:szCs w:val="21"/>
                <w:vertAlign w:val="baseline"/>
                <w:lang w:val="en-US" w:eastAsia="zh-CN"/>
              </w:rPr>
              <w:t>因</w:t>
            </w:r>
            <w:r>
              <w:rPr>
                <w:rFonts w:hint="eastAsia" w:ascii="Times New Roman" w:hAnsi="Times New Roman" w:cs="Times New Roman"/>
                <w:color w:val="auto"/>
                <w:sz w:val="21"/>
                <w:szCs w:val="21"/>
                <w:vertAlign w:val="baseline"/>
                <w:lang w:val="en-US" w:eastAsia="zh-CN"/>
              </w:rPr>
              <w:t>实际环境影响而采取的环境保护措施，且根据验收监测实施效果良好，根据公众参与调查相关资料，沿线居民无反映强烈的环境问题</w:t>
            </w:r>
          </w:p>
        </w:tc>
        <w:tc>
          <w:tcPr>
            <w:tcW w:w="2841" w:type="dxa"/>
            <w:vAlign w:val="center"/>
          </w:tcPr>
          <w:p w14:paraId="49AA631F">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tc>
      </w:tr>
      <w:tr w14:paraId="6EDBD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14:paraId="443A5F1A">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第</w:t>
            </w:r>
            <w:r>
              <w:rPr>
                <w:rFonts w:hint="eastAsia" w:ascii="Times New Roman" w:hAnsi="Times New Roman" w:cs="Times New Roman"/>
                <w:color w:val="auto"/>
                <w:sz w:val="21"/>
                <w:szCs w:val="21"/>
                <w:vertAlign w:val="baseline"/>
                <w:lang w:val="en-US" w:eastAsia="zh-CN"/>
              </w:rPr>
              <w:t>6.3 环境保护措施落实情况调查-对环境影响评价及其审批文件所要求的各项环境保护措施的落实情况予以说明，调查项目在设计、施工、试运营阶段所采取的控制生态影响、污染影响和社会影响所采取的环境保护措施的有效性，必要时提出切实可行的整改措施。</w:t>
            </w:r>
          </w:p>
        </w:tc>
        <w:tc>
          <w:tcPr>
            <w:tcW w:w="2841" w:type="dxa"/>
            <w:vAlign w:val="center"/>
          </w:tcPr>
          <w:p w14:paraId="5B6E6784">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为确保长期噪声稳定达标，本项目已预留后续降噪专项资金，并建立跟踪监测机制。若后续运营过程中因车流量增加或其他因素导致噪声超标，将立即启动预留资金，对相应点位补充安装隔声屏，实现噪声防治的动态管理与精准落实</w:t>
            </w:r>
          </w:p>
        </w:tc>
        <w:tc>
          <w:tcPr>
            <w:tcW w:w="2841" w:type="dxa"/>
            <w:vAlign w:val="center"/>
          </w:tcPr>
          <w:p w14:paraId="5DB6B54D">
            <w:pPr>
              <w:spacing w:line="240" w:lineRule="auto"/>
              <w:ind w:left="0" w:leftChars="0" w:firstLine="0" w:firstLineChars="0"/>
              <w:jc w:val="center"/>
              <w:rPr>
                <w:rFonts w:hint="eastAsia"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tc>
      </w:tr>
    </w:tbl>
    <w:p w14:paraId="7B68DBD5">
      <w:pPr>
        <w:rPr>
          <w:rFonts w:hint="eastAsia" w:ascii="Times New Roman" w:hAnsi="Times New Roman" w:cs="Times New Roman"/>
          <w:color w:val="auto"/>
          <w:szCs w:val="24"/>
          <w:lang w:val="en-US" w:eastAsia="zh-CN"/>
        </w:rPr>
      </w:pPr>
    </w:p>
    <w:p w14:paraId="6EBB40EC">
      <w:pPr>
        <w:rPr>
          <w:rFonts w:hint="eastAsia"/>
          <w:color w:val="auto"/>
          <w:lang w:val="en-US" w:eastAsia="zh-CN"/>
        </w:rPr>
      </w:pPr>
      <w:r>
        <w:rPr>
          <w:rFonts w:hint="eastAsia"/>
          <w:color w:val="auto"/>
          <w:lang w:val="en-US" w:eastAsia="zh-CN"/>
        </w:rPr>
        <w:t>项目已建成声屏障1058m，有效降低了运营期交通噪声影响。针对运营近期、中期噪声预测超标的桂花村吊脚楼居民点、大田村华家屋基居民点、1#斑竹村长五间居民点（K78+150-K78+250）、2#斑竹村长五间居民点，本次验收期间进行了实地监测，实测结果均满足《声环境质量标准》相应限值要求。</w:t>
      </w:r>
    </w:p>
    <w:p w14:paraId="377C07C7">
      <w:pPr>
        <w:rPr>
          <w:rFonts w:hint="eastAsia"/>
          <w:color w:val="auto"/>
          <w:lang w:val="en-US" w:eastAsia="zh-CN"/>
        </w:rPr>
      </w:pPr>
      <w:r>
        <w:rPr>
          <w:rFonts w:hint="eastAsia"/>
          <w:color w:val="auto"/>
          <w:lang w:val="en-US" w:eastAsia="zh-CN"/>
        </w:rPr>
        <w:t>为确保长期噪声稳定达标，本项目已预留后续降噪专项资金，并建立跟踪监测机制。若后续运营过程中因车流量增加或其他因素导致噪声超标，将立即启动预留资金，对相应点位补充安装隔声屏，实现噪声防治的动态管理与精准落实。</w:t>
      </w:r>
    </w:p>
    <w:p w14:paraId="326E2154">
      <w:pPr>
        <w:ind w:firstLine="480"/>
        <w:rPr>
          <w:rFonts w:hint="eastAsia" w:cs="Times New Roman"/>
          <w:color w:val="auto"/>
          <w:szCs w:val="24"/>
          <w:lang w:eastAsia="zh-CN"/>
        </w:rPr>
      </w:pPr>
      <w:r>
        <w:rPr>
          <w:rFonts w:hint="default" w:ascii="Times New Roman" w:hAnsi="Times New Roman" w:cs="Times New Roman"/>
          <w:color w:val="auto"/>
          <w:szCs w:val="24"/>
        </w:rPr>
        <w:t>项目实际实施</w:t>
      </w:r>
      <w:r>
        <w:rPr>
          <w:rFonts w:hint="eastAsia" w:cs="Times New Roman"/>
          <w:color w:val="auto"/>
          <w:szCs w:val="24"/>
          <w:lang w:val="en-US" w:eastAsia="zh-CN"/>
        </w:rPr>
        <w:t>声环境环保设施</w:t>
      </w:r>
      <w:r>
        <w:rPr>
          <w:rFonts w:hint="default" w:ascii="Times New Roman" w:hAnsi="Times New Roman" w:cs="Times New Roman"/>
          <w:color w:val="auto"/>
          <w:szCs w:val="24"/>
        </w:rPr>
        <w:t>与</w:t>
      </w:r>
      <w:r>
        <w:rPr>
          <w:rFonts w:hint="eastAsia" w:cs="Times New Roman"/>
          <w:color w:val="auto"/>
          <w:szCs w:val="24"/>
          <w:lang w:eastAsia="zh-CN"/>
        </w:rPr>
        <w:t>环评阶段</w:t>
      </w:r>
      <w:r>
        <w:rPr>
          <w:rFonts w:hint="eastAsia" w:cs="Times New Roman"/>
          <w:color w:val="auto"/>
          <w:szCs w:val="24"/>
          <w:lang w:val="en-US" w:eastAsia="zh-CN"/>
        </w:rPr>
        <w:t>详细</w:t>
      </w:r>
      <w:r>
        <w:rPr>
          <w:rFonts w:hint="default" w:ascii="Times New Roman" w:hAnsi="Times New Roman" w:cs="Times New Roman"/>
          <w:color w:val="auto"/>
          <w:szCs w:val="24"/>
        </w:rPr>
        <w:t>对比情况如下表所示</w:t>
      </w:r>
      <w:r>
        <w:rPr>
          <w:rFonts w:hint="eastAsia" w:cs="Times New Roman"/>
          <w:color w:val="auto"/>
          <w:szCs w:val="24"/>
          <w:lang w:eastAsia="zh-CN"/>
        </w:rPr>
        <w:t>：</w:t>
      </w:r>
    </w:p>
    <w:p w14:paraId="69DEBDDE">
      <w:pPr>
        <w:ind w:firstLine="480"/>
        <w:rPr>
          <w:rFonts w:hint="eastAsia" w:cs="Times New Roman"/>
          <w:color w:val="auto"/>
          <w:szCs w:val="24"/>
          <w:lang w:eastAsia="zh-CN"/>
        </w:rPr>
        <w:sectPr>
          <w:pgSz w:w="11906" w:h="16838"/>
          <w:pgMar w:top="1440" w:right="1800" w:bottom="1440" w:left="180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p>
    <w:p w14:paraId="70999555">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6.2</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eastAsia" w:cs="Times New Roman"/>
          <w:color w:val="auto"/>
          <w:lang w:val="en-US" w:eastAsia="zh-CN"/>
        </w:rPr>
        <w:t>4项目各敏感点</w:t>
      </w:r>
      <w:r>
        <w:rPr>
          <w:rFonts w:hint="eastAsia" w:cs="Times New Roman"/>
          <w:color w:val="auto"/>
          <w:szCs w:val="24"/>
          <w:lang w:val="en-US" w:eastAsia="zh-CN"/>
        </w:rPr>
        <w:t>声环境</w:t>
      </w:r>
      <w:r>
        <w:rPr>
          <w:rFonts w:hint="eastAsia" w:cs="Times New Roman"/>
          <w:color w:val="auto"/>
          <w:lang w:val="en-US" w:eastAsia="zh-CN"/>
        </w:rPr>
        <w:t>环保设施</w:t>
      </w:r>
      <w:r>
        <w:rPr>
          <w:rFonts w:hint="default" w:ascii="Times New Roman" w:hAnsi="Times New Roman" w:cs="Times New Roman"/>
          <w:color w:val="auto"/>
        </w:rPr>
        <w:t>设置一览表</w:t>
      </w:r>
    </w:p>
    <w:tbl>
      <w:tblPr>
        <w:tblStyle w:val="20"/>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34"/>
        <w:gridCol w:w="1046"/>
        <w:gridCol w:w="1137"/>
        <w:gridCol w:w="2113"/>
        <w:gridCol w:w="1796"/>
        <w:gridCol w:w="709"/>
        <w:gridCol w:w="988"/>
        <w:gridCol w:w="544"/>
        <w:gridCol w:w="4144"/>
        <w:gridCol w:w="1055"/>
      </w:tblGrid>
      <w:tr w14:paraId="0FBACB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1740" w:type="pct"/>
            <w:gridSpan w:val="4"/>
            <w:noWrap/>
            <w:vAlign w:val="center"/>
          </w:tcPr>
          <w:p w14:paraId="286DDAD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环评阶段</w:t>
            </w:r>
          </w:p>
        </w:tc>
        <w:tc>
          <w:tcPr>
            <w:tcW w:w="1232" w:type="pct"/>
            <w:gridSpan w:val="3"/>
            <w:noWrap/>
            <w:vAlign w:val="center"/>
          </w:tcPr>
          <w:p w14:paraId="2F4F303A">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验收阶段</w:t>
            </w:r>
          </w:p>
        </w:tc>
        <w:tc>
          <w:tcPr>
            <w:tcW w:w="192" w:type="pct"/>
            <w:vMerge w:val="restart"/>
            <w:noWrap/>
            <w:vAlign w:val="center"/>
          </w:tcPr>
          <w:p w14:paraId="443EB04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变更是否</w:t>
            </w:r>
          </w:p>
        </w:tc>
        <w:tc>
          <w:tcPr>
            <w:tcW w:w="1462" w:type="pct"/>
            <w:vMerge w:val="restart"/>
            <w:noWrap/>
            <w:vAlign w:val="center"/>
          </w:tcPr>
          <w:p w14:paraId="634F394F">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变动原因</w:t>
            </w:r>
          </w:p>
        </w:tc>
        <w:tc>
          <w:tcPr>
            <w:tcW w:w="372" w:type="pct"/>
            <w:vMerge w:val="restart"/>
            <w:noWrap/>
            <w:vAlign w:val="center"/>
          </w:tcPr>
          <w:p w14:paraId="358FEBB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实施情况</w:t>
            </w:r>
          </w:p>
        </w:tc>
      </w:tr>
      <w:tr w14:paraId="2A5414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vMerge w:val="restart"/>
            <w:noWrap/>
            <w:vAlign w:val="center"/>
          </w:tcPr>
          <w:p w14:paraId="03E90926">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序号</w:t>
            </w:r>
          </w:p>
        </w:tc>
        <w:tc>
          <w:tcPr>
            <w:tcW w:w="369" w:type="pct"/>
            <w:vMerge w:val="restart"/>
            <w:noWrap/>
            <w:vAlign w:val="center"/>
          </w:tcPr>
          <w:p w14:paraId="007795A2">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桩号</w:t>
            </w:r>
          </w:p>
        </w:tc>
        <w:tc>
          <w:tcPr>
            <w:tcW w:w="401" w:type="pct"/>
            <w:vMerge w:val="restart"/>
            <w:noWrap w:val="0"/>
            <w:vAlign w:val="center"/>
          </w:tcPr>
          <w:p w14:paraId="26D27AD0">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敏感点名称</w:t>
            </w:r>
          </w:p>
        </w:tc>
        <w:tc>
          <w:tcPr>
            <w:tcW w:w="745" w:type="pct"/>
            <w:noWrap/>
            <w:vAlign w:val="center"/>
          </w:tcPr>
          <w:p w14:paraId="6D11526C">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防控措施</w:t>
            </w:r>
          </w:p>
        </w:tc>
        <w:tc>
          <w:tcPr>
            <w:tcW w:w="633" w:type="pct"/>
            <w:vMerge w:val="restart"/>
            <w:noWrap w:val="0"/>
            <w:vAlign w:val="center"/>
          </w:tcPr>
          <w:p w14:paraId="724AFD4C">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敏感点名称</w:t>
            </w:r>
          </w:p>
        </w:tc>
        <w:tc>
          <w:tcPr>
            <w:tcW w:w="250" w:type="pct"/>
            <w:vMerge w:val="restart"/>
            <w:noWrap/>
            <w:vAlign w:val="center"/>
          </w:tcPr>
          <w:p w14:paraId="7A8D6D3A">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桩号</w:t>
            </w:r>
          </w:p>
        </w:tc>
        <w:tc>
          <w:tcPr>
            <w:tcW w:w="348" w:type="pct"/>
            <w:vMerge w:val="restart"/>
            <w:noWrap w:val="0"/>
            <w:vAlign w:val="center"/>
          </w:tcPr>
          <w:p w14:paraId="7079440F">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环保措施</w:t>
            </w:r>
          </w:p>
        </w:tc>
        <w:tc>
          <w:tcPr>
            <w:tcW w:w="192" w:type="pct"/>
            <w:vMerge w:val="continue"/>
            <w:noWrap/>
            <w:vAlign w:val="center"/>
          </w:tcPr>
          <w:p w14:paraId="56D7BCC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1462" w:type="pct"/>
            <w:vMerge w:val="continue"/>
            <w:noWrap w:val="0"/>
            <w:vAlign w:val="center"/>
          </w:tcPr>
          <w:p w14:paraId="037FD45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372" w:type="pct"/>
            <w:vMerge w:val="continue"/>
            <w:noWrap w:val="0"/>
            <w:vAlign w:val="center"/>
          </w:tcPr>
          <w:p w14:paraId="453B885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r>
      <w:tr w14:paraId="3614F0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vMerge w:val="continue"/>
            <w:noWrap/>
            <w:vAlign w:val="center"/>
          </w:tcPr>
          <w:p w14:paraId="140BFD31">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369" w:type="pct"/>
            <w:vMerge w:val="continue"/>
            <w:noWrap/>
            <w:vAlign w:val="center"/>
          </w:tcPr>
          <w:p w14:paraId="1BE763EC">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401" w:type="pct"/>
            <w:vMerge w:val="continue"/>
            <w:noWrap w:val="0"/>
            <w:vAlign w:val="center"/>
          </w:tcPr>
          <w:p w14:paraId="1EB69C75">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745" w:type="pct"/>
            <w:noWrap/>
            <w:vAlign w:val="center"/>
          </w:tcPr>
          <w:p w14:paraId="687DBD28">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声屏障</w:t>
            </w:r>
          </w:p>
        </w:tc>
        <w:tc>
          <w:tcPr>
            <w:tcW w:w="633" w:type="pct"/>
            <w:vMerge w:val="continue"/>
            <w:noWrap w:val="0"/>
            <w:vAlign w:val="center"/>
          </w:tcPr>
          <w:p w14:paraId="0CB74A3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250" w:type="pct"/>
            <w:vMerge w:val="continue"/>
            <w:noWrap/>
            <w:vAlign w:val="center"/>
          </w:tcPr>
          <w:p w14:paraId="7BAFD1E7">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348" w:type="pct"/>
            <w:vMerge w:val="continue"/>
            <w:noWrap w:val="0"/>
            <w:vAlign w:val="center"/>
          </w:tcPr>
          <w:p w14:paraId="5050841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192" w:type="pct"/>
            <w:vMerge w:val="continue"/>
            <w:noWrap/>
            <w:vAlign w:val="center"/>
          </w:tcPr>
          <w:p w14:paraId="757769E0">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1462" w:type="pct"/>
            <w:vMerge w:val="continue"/>
            <w:noWrap w:val="0"/>
            <w:vAlign w:val="center"/>
          </w:tcPr>
          <w:p w14:paraId="0F7A6C90">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372" w:type="pct"/>
            <w:vMerge w:val="continue"/>
            <w:noWrap w:val="0"/>
            <w:vAlign w:val="center"/>
          </w:tcPr>
          <w:p w14:paraId="4737270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r>
      <w:tr w14:paraId="06594D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6B350FFE">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1</w:t>
            </w:r>
          </w:p>
        </w:tc>
        <w:tc>
          <w:tcPr>
            <w:tcW w:w="369" w:type="pct"/>
            <w:noWrap/>
            <w:vAlign w:val="center"/>
          </w:tcPr>
          <w:p w14:paraId="731E068D">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K73+900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102</w:t>
            </w:r>
          </w:p>
        </w:tc>
        <w:tc>
          <w:tcPr>
            <w:tcW w:w="401" w:type="pct"/>
            <w:noWrap/>
            <w:vAlign w:val="center"/>
          </w:tcPr>
          <w:p w14:paraId="06527B39">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响水村蔡家垭口居民点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1D768391">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202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633" w:type="pct"/>
            <w:noWrap/>
            <w:vAlign w:val="center"/>
          </w:tcPr>
          <w:p w14:paraId="10CD313D">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响水村蔡家垭口居民点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47CCD694">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K73+900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102</w:t>
            </w:r>
          </w:p>
        </w:tc>
        <w:tc>
          <w:tcPr>
            <w:tcW w:w="348" w:type="pct"/>
            <w:noWrap/>
            <w:vAlign w:val="center"/>
          </w:tcPr>
          <w:p w14:paraId="343B988E">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202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192" w:type="pct"/>
            <w:noWrap/>
            <w:vAlign w:val="center"/>
          </w:tcPr>
          <w:p w14:paraId="304002A7">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2FF08F80">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371079E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03B285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7A68866A">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2</w:t>
            </w:r>
          </w:p>
        </w:tc>
        <w:tc>
          <w:tcPr>
            <w:tcW w:w="369" w:type="pct"/>
            <w:noWrap/>
            <w:vAlign w:val="center"/>
          </w:tcPr>
          <w:p w14:paraId="19858F2A">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K76+120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K76+</w:t>
            </w:r>
            <w:r>
              <w:rPr>
                <w:rFonts w:hint="eastAsia" w:ascii="Times New Roman" w:hAnsi="Times New Roman" w:eastAsia="宋体" w:cs="Times New Roman"/>
                <w:color w:val="auto"/>
                <w:highlight w:val="none"/>
                <w:lang w:val="en-US" w:eastAsia="zh-CN"/>
              </w:rPr>
              <w:t>298</w:t>
            </w:r>
          </w:p>
        </w:tc>
        <w:tc>
          <w:tcPr>
            <w:tcW w:w="401" w:type="pct"/>
            <w:noWrap/>
            <w:vAlign w:val="center"/>
          </w:tcPr>
          <w:p w14:paraId="0B335874">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大田村狮子寨居民点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4A31E9F5">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178</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633" w:type="pct"/>
            <w:noWrap/>
            <w:vAlign w:val="center"/>
          </w:tcPr>
          <w:p w14:paraId="2AF07E72">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大田村狮子寨居民点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2A899E2F">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K76+120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K76+</w:t>
            </w:r>
            <w:r>
              <w:rPr>
                <w:rFonts w:hint="eastAsia" w:ascii="Times New Roman" w:hAnsi="Times New Roman" w:eastAsia="宋体" w:cs="Times New Roman"/>
                <w:color w:val="auto"/>
                <w:highlight w:val="none"/>
                <w:lang w:val="en-US" w:eastAsia="zh-CN"/>
              </w:rPr>
              <w:t>298</w:t>
            </w:r>
          </w:p>
        </w:tc>
        <w:tc>
          <w:tcPr>
            <w:tcW w:w="348" w:type="pct"/>
            <w:noWrap/>
            <w:vAlign w:val="center"/>
          </w:tcPr>
          <w:p w14:paraId="1C679A62">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178</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192" w:type="pct"/>
            <w:noWrap/>
            <w:vAlign w:val="center"/>
          </w:tcPr>
          <w:p w14:paraId="4650B4C8">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72DF1BB1">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0DB2F2FC">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544E19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3FFDADB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3</w:t>
            </w:r>
          </w:p>
        </w:tc>
        <w:tc>
          <w:tcPr>
            <w:tcW w:w="369" w:type="pct"/>
            <w:noWrap/>
            <w:vAlign w:val="center"/>
          </w:tcPr>
          <w:p w14:paraId="7373D40F">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K76+500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K76+</w:t>
            </w:r>
            <w:r>
              <w:rPr>
                <w:rFonts w:hint="eastAsia" w:ascii="Times New Roman" w:hAnsi="Times New Roman" w:eastAsia="宋体" w:cs="Times New Roman"/>
                <w:color w:val="auto"/>
                <w:highlight w:val="none"/>
                <w:lang w:val="en-US" w:eastAsia="zh-CN"/>
              </w:rPr>
              <w:t>640</w:t>
            </w:r>
          </w:p>
        </w:tc>
        <w:tc>
          <w:tcPr>
            <w:tcW w:w="401" w:type="pct"/>
            <w:noWrap/>
            <w:vAlign w:val="center"/>
          </w:tcPr>
          <w:p w14:paraId="5DA0DCB3">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大田村瓦房沟居民点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34E4F37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140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633" w:type="pct"/>
            <w:noWrap/>
            <w:vAlign w:val="center"/>
          </w:tcPr>
          <w:p w14:paraId="257C20A9">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大田村瓦房沟居民点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17F41775">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K76+500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K76+</w:t>
            </w:r>
            <w:r>
              <w:rPr>
                <w:rFonts w:hint="eastAsia" w:ascii="Times New Roman" w:hAnsi="Times New Roman" w:eastAsia="宋体" w:cs="Times New Roman"/>
                <w:color w:val="auto"/>
                <w:highlight w:val="none"/>
                <w:lang w:val="en-US" w:eastAsia="zh-CN"/>
              </w:rPr>
              <w:t>640</w:t>
            </w:r>
          </w:p>
        </w:tc>
        <w:tc>
          <w:tcPr>
            <w:tcW w:w="348" w:type="pct"/>
            <w:noWrap/>
            <w:vAlign w:val="center"/>
          </w:tcPr>
          <w:p w14:paraId="1F8E4F0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140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192" w:type="pct"/>
            <w:noWrap/>
            <w:vAlign w:val="center"/>
          </w:tcPr>
          <w:p w14:paraId="72F6745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719BB811">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768095C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5BDC42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6CC61E6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4</w:t>
            </w:r>
          </w:p>
        </w:tc>
        <w:tc>
          <w:tcPr>
            <w:tcW w:w="369" w:type="pct"/>
            <w:noWrap/>
            <w:vAlign w:val="center"/>
          </w:tcPr>
          <w:p w14:paraId="5AE3D887">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K77+000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172</w:t>
            </w:r>
          </w:p>
        </w:tc>
        <w:tc>
          <w:tcPr>
            <w:tcW w:w="401" w:type="pct"/>
            <w:noWrap/>
            <w:vAlign w:val="center"/>
          </w:tcPr>
          <w:p w14:paraId="55A76BE1">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斑竹村卢家院子居民点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4A1430F4">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172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633" w:type="pct"/>
            <w:noWrap/>
            <w:vAlign w:val="center"/>
          </w:tcPr>
          <w:p w14:paraId="4F4014F3">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斑竹村卢家院子居民点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68C3B88C">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K77+000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172</w:t>
            </w:r>
          </w:p>
        </w:tc>
        <w:tc>
          <w:tcPr>
            <w:tcW w:w="348" w:type="pct"/>
            <w:noWrap/>
            <w:vAlign w:val="center"/>
          </w:tcPr>
          <w:p w14:paraId="4972D600">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172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声屏障</w:t>
            </w:r>
          </w:p>
        </w:tc>
        <w:tc>
          <w:tcPr>
            <w:tcW w:w="192" w:type="pct"/>
            <w:noWrap/>
            <w:vAlign w:val="center"/>
          </w:tcPr>
          <w:p w14:paraId="385D2D3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1E0ECCAB">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1040E887">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18719E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55BF6CE5">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5</w:t>
            </w:r>
          </w:p>
        </w:tc>
        <w:tc>
          <w:tcPr>
            <w:tcW w:w="369" w:type="pct"/>
            <w:noWrap/>
            <w:vAlign w:val="center"/>
          </w:tcPr>
          <w:p w14:paraId="72B53050">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K77+300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466</w:t>
            </w:r>
          </w:p>
        </w:tc>
        <w:tc>
          <w:tcPr>
            <w:tcW w:w="401" w:type="pct"/>
            <w:noWrap/>
            <w:vAlign w:val="center"/>
          </w:tcPr>
          <w:p w14:paraId="1C41CD8C">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斑竹村马鞍桥居民点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360D7F3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166</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0D64D3F4">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斑竹村马鞍桥居民点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719C8F28">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K77+300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466</w:t>
            </w:r>
          </w:p>
        </w:tc>
        <w:tc>
          <w:tcPr>
            <w:tcW w:w="348" w:type="pct"/>
            <w:noWrap/>
            <w:vAlign w:val="center"/>
          </w:tcPr>
          <w:p w14:paraId="135170DF">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166</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192" w:type="pct"/>
            <w:noWrap/>
            <w:vAlign w:val="center"/>
          </w:tcPr>
          <w:p w14:paraId="6B75E5D7">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29FD3A5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2393911B">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161783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36B2AC48">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6</w:t>
            </w:r>
          </w:p>
        </w:tc>
        <w:tc>
          <w:tcPr>
            <w:tcW w:w="369" w:type="pct"/>
            <w:noWrap/>
            <w:vAlign w:val="center"/>
          </w:tcPr>
          <w:p w14:paraId="7BC52234">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K77+550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50</w:t>
            </w:r>
          </w:p>
        </w:tc>
        <w:tc>
          <w:tcPr>
            <w:tcW w:w="401" w:type="pct"/>
            <w:noWrap/>
            <w:vAlign w:val="center"/>
          </w:tcPr>
          <w:p w14:paraId="72DED130">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斑竹村新竹湾居民点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387A3C8D">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299C277A">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斑竹村新竹湾居民点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13C52649">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K77+550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K77+</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50</w:t>
            </w:r>
          </w:p>
        </w:tc>
        <w:tc>
          <w:tcPr>
            <w:tcW w:w="348" w:type="pct"/>
            <w:noWrap/>
            <w:vAlign w:val="center"/>
          </w:tcPr>
          <w:p w14:paraId="080620A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192" w:type="pct"/>
            <w:noWrap/>
            <w:vAlign w:val="center"/>
          </w:tcPr>
          <w:p w14:paraId="180B9568">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39A07BF1">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5D9CED3B">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4D17C3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5AEA55B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7</w:t>
            </w:r>
          </w:p>
        </w:tc>
        <w:tc>
          <w:tcPr>
            <w:tcW w:w="369" w:type="pct"/>
            <w:noWrap/>
            <w:vAlign w:val="center"/>
          </w:tcPr>
          <w:p w14:paraId="19B29865">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K77+950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50</w:t>
            </w:r>
          </w:p>
        </w:tc>
        <w:tc>
          <w:tcPr>
            <w:tcW w:w="401" w:type="pct"/>
            <w:noWrap/>
            <w:vAlign w:val="center"/>
          </w:tcPr>
          <w:p w14:paraId="5D313182">
            <w:pPr>
              <w:pStyle w:val="38"/>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1#斑竹村长五间</w:t>
            </w:r>
          </w:p>
          <w:p w14:paraId="344B9637">
            <w:pPr>
              <w:pStyle w:val="38"/>
              <w:bidi w:val="0"/>
              <w:ind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居民点</w:t>
            </w:r>
            <w:r>
              <w:rPr>
                <w:rFonts w:hint="eastAsia" w:ascii="Times New Roman" w:hAnsi="Times New Roman" w:eastAsia="宋体" w:cs="Times New Roman"/>
                <w:color w:val="auto"/>
                <w:highlight w:val="none"/>
                <w:lang w:val="en-US" w:eastAsia="zh-CN"/>
              </w:rPr>
              <w:t>（已建）</w:t>
            </w:r>
          </w:p>
        </w:tc>
        <w:tc>
          <w:tcPr>
            <w:tcW w:w="745" w:type="pct"/>
            <w:noWrap/>
            <w:vAlign w:val="center"/>
          </w:tcPr>
          <w:p w14:paraId="4C7C03E3">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194D99FD">
            <w:pPr>
              <w:pStyle w:val="38"/>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1#斑竹村长五间</w:t>
            </w:r>
          </w:p>
          <w:p w14:paraId="57D86224">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居民点</w:t>
            </w:r>
            <w:r>
              <w:rPr>
                <w:rFonts w:hint="eastAsia" w:ascii="Times New Roman" w:hAnsi="Times New Roman" w:eastAsia="宋体" w:cs="Times New Roman"/>
                <w:color w:val="auto"/>
                <w:highlight w:val="none"/>
                <w:lang w:val="en-US" w:eastAsia="zh-CN"/>
              </w:rPr>
              <w:t>（已建）</w:t>
            </w:r>
          </w:p>
        </w:tc>
        <w:tc>
          <w:tcPr>
            <w:tcW w:w="250" w:type="pct"/>
            <w:noWrap/>
            <w:vAlign w:val="center"/>
          </w:tcPr>
          <w:p w14:paraId="09D0116E">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K77+950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50</w:t>
            </w:r>
          </w:p>
        </w:tc>
        <w:tc>
          <w:tcPr>
            <w:tcW w:w="348" w:type="pct"/>
            <w:noWrap/>
            <w:vAlign w:val="center"/>
          </w:tcPr>
          <w:p w14:paraId="473166F8">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192" w:type="pct"/>
            <w:noWrap/>
            <w:vAlign w:val="center"/>
          </w:tcPr>
          <w:p w14:paraId="0018409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否</w:t>
            </w:r>
          </w:p>
        </w:tc>
        <w:tc>
          <w:tcPr>
            <w:tcW w:w="1462" w:type="pct"/>
            <w:noWrap w:val="0"/>
            <w:vAlign w:val="center"/>
          </w:tcPr>
          <w:p w14:paraId="343A1812">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与环评一致</w:t>
            </w:r>
          </w:p>
        </w:tc>
        <w:tc>
          <w:tcPr>
            <w:tcW w:w="372" w:type="pct"/>
            <w:noWrap w:val="0"/>
            <w:vAlign w:val="center"/>
          </w:tcPr>
          <w:p w14:paraId="2D8CB6C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已实施</w:t>
            </w:r>
          </w:p>
        </w:tc>
      </w:tr>
      <w:tr w14:paraId="628281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15519A63">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8</w:t>
            </w:r>
          </w:p>
        </w:tc>
        <w:tc>
          <w:tcPr>
            <w:tcW w:w="369" w:type="pct"/>
            <w:noWrap/>
            <w:vAlign w:val="center"/>
          </w:tcPr>
          <w:p w14:paraId="538B959E">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50</w:t>
            </w:r>
          </w:p>
        </w:tc>
        <w:tc>
          <w:tcPr>
            <w:tcW w:w="401" w:type="pct"/>
            <w:noWrap/>
            <w:vAlign w:val="center"/>
          </w:tcPr>
          <w:p w14:paraId="48D121AE">
            <w:pPr>
              <w:pStyle w:val="38"/>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1#斑竹村长五间</w:t>
            </w:r>
          </w:p>
          <w:p w14:paraId="61C7AEA7">
            <w:pPr>
              <w:pStyle w:val="38"/>
              <w:bidi w:val="0"/>
              <w:ind w:firstLine="0" w:firstLineChars="0"/>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745" w:type="pct"/>
            <w:noWrap/>
            <w:vAlign w:val="center"/>
          </w:tcPr>
          <w:p w14:paraId="79CD782B">
            <w:pPr>
              <w:keepNext w:val="0"/>
              <w:keepLines w:val="0"/>
              <w:pageBreakBefore w:val="0"/>
              <w:widowControl w:val="0"/>
              <w:kinsoku/>
              <w:wordWrap/>
              <w:overflowPunct w:val="0"/>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color w:val="auto"/>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029153EC">
            <w:pPr>
              <w:pStyle w:val="38"/>
              <w:bidi w:val="0"/>
              <w:ind w:firstLine="0" w:firstLineChars="0"/>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1#斑竹村长五间</w:t>
            </w:r>
          </w:p>
          <w:p w14:paraId="0B57BAC5">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250" w:type="pct"/>
            <w:noWrap/>
            <w:vAlign w:val="center"/>
          </w:tcPr>
          <w:p w14:paraId="0F13B986">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50</w:t>
            </w:r>
            <w:r>
              <w:rPr>
                <w:rFonts w:hint="eastAsia" w:ascii="Times New Roman" w:hAnsi="Times New Roman" w:eastAsia="宋体" w:cs="Times New Roman"/>
                <w:color w:val="auto"/>
                <w:highlight w:val="none"/>
                <w:lang w:val="en-US" w:eastAsia="zh-CN"/>
              </w:rPr>
              <w:t>至</w:t>
            </w:r>
            <w:r>
              <w:rPr>
                <w:rFonts w:hint="default" w:ascii="Times New Roman" w:hAnsi="Times New Roman" w:eastAsia="宋体" w:cs="Times New Roman"/>
                <w:color w:val="auto"/>
                <w:highlight w:val="none"/>
                <w:lang w:val="en-US" w:eastAsia="zh-CN"/>
              </w:rPr>
              <w:t>K7</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50</w:t>
            </w:r>
          </w:p>
        </w:tc>
        <w:tc>
          <w:tcPr>
            <w:tcW w:w="348" w:type="pct"/>
            <w:noWrap/>
            <w:vAlign w:val="center"/>
          </w:tcPr>
          <w:p w14:paraId="3A26FF66">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w:t>
            </w:r>
          </w:p>
        </w:tc>
        <w:tc>
          <w:tcPr>
            <w:tcW w:w="192" w:type="pct"/>
            <w:noWrap/>
            <w:vAlign w:val="center"/>
          </w:tcPr>
          <w:p w14:paraId="7AC33A5F">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是</w:t>
            </w:r>
          </w:p>
        </w:tc>
        <w:tc>
          <w:tcPr>
            <w:tcW w:w="1462" w:type="pct"/>
            <w:vMerge w:val="restart"/>
            <w:noWrap w:val="0"/>
            <w:vAlign w:val="center"/>
          </w:tcPr>
          <w:p w14:paraId="76019AB2">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本次验收监测中，上述点位监测数据满足相关标准，因此采取预留后续降噪专项资金，并建立跟踪监测机制。若后续运营过程中因车流量增加或其他因素导致噪声超标，将立即启动预留资金，对相应点位补充安装隔声屏，实现噪声防治的动态管理与精准落实。</w:t>
            </w:r>
          </w:p>
        </w:tc>
        <w:tc>
          <w:tcPr>
            <w:tcW w:w="372" w:type="pct"/>
            <w:noWrap w:val="0"/>
            <w:vAlign w:val="center"/>
          </w:tcPr>
          <w:p w14:paraId="04F9AB30">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t>
            </w:r>
          </w:p>
        </w:tc>
      </w:tr>
      <w:tr w14:paraId="03876D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69A22EAA">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9</w:t>
            </w:r>
          </w:p>
        </w:tc>
        <w:tc>
          <w:tcPr>
            <w:tcW w:w="369" w:type="pct"/>
            <w:noWrap/>
            <w:vAlign w:val="center"/>
          </w:tcPr>
          <w:p w14:paraId="44CBB484">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K77+000-K77+100</w:t>
            </w:r>
          </w:p>
        </w:tc>
        <w:tc>
          <w:tcPr>
            <w:tcW w:w="401" w:type="pct"/>
            <w:noWrap/>
            <w:vAlign w:val="center"/>
          </w:tcPr>
          <w:p w14:paraId="4B8A05E3">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大田村华家屋基居民点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745" w:type="pct"/>
            <w:noWrap/>
            <w:vAlign w:val="center"/>
          </w:tcPr>
          <w:p w14:paraId="71EAEA16">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color w:val="auto"/>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1D56A2E2">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大田村华家屋基居民点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250" w:type="pct"/>
            <w:noWrap/>
            <w:vAlign w:val="center"/>
          </w:tcPr>
          <w:p w14:paraId="0E718950">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K77+000-K77+100</w:t>
            </w:r>
          </w:p>
        </w:tc>
        <w:tc>
          <w:tcPr>
            <w:tcW w:w="348" w:type="pct"/>
            <w:noWrap/>
            <w:vAlign w:val="center"/>
          </w:tcPr>
          <w:p w14:paraId="2855FC4E">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w:t>
            </w:r>
          </w:p>
        </w:tc>
        <w:tc>
          <w:tcPr>
            <w:tcW w:w="192" w:type="pct"/>
            <w:noWrap/>
            <w:vAlign w:val="center"/>
          </w:tcPr>
          <w:p w14:paraId="582F2E2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是</w:t>
            </w:r>
          </w:p>
        </w:tc>
        <w:tc>
          <w:tcPr>
            <w:tcW w:w="1462" w:type="pct"/>
            <w:vMerge w:val="continue"/>
            <w:noWrap w:val="0"/>
            <w:vAlign w:val="center"/>
          </w:tcPr>
          <w:p w14:paraId="4A359FEC">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372" w:type="pct"/>
            <w:noWrap w:val="0"/>
            <w:vAlign w:val="center"/>
          </w:tcPr>
          <w:p w14:paraId="4B660CA4">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w:t>
            </w:r>
          </w:p>
        </w:tc>
      </w:tr>
      <w:tr w14:paraId="6AAA3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653EA4BA">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10</w:t>
            </w:r>
          </w:p>
        </w:tc>
        <w:tc>
          <w:tcPr>
            <w:tcW w:w="369" w:type="pct"/>
            <w:noWrap/>
            <w:vAlign w:val="center"/>
          </w:tcPr>
          <w:p w14:paraId="632282E5">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K70+100-K70+165</w:t>
            </w:r>
          </w:p>
        </w:tc>
        <w:tc>
          <w:tcPr>
            <w:tcW w:w="401" w:type="pct"/>
            <w:noWrap/>
            <w:vAlign w:val="center"/>
          </w:tcPr>
          <w:p w14:paraId="2B483BD9">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桂花村吊脚楼居民点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745" w:type="pct"/>
            <w:noWrap/>
            <w:vAlign w:val="center"/>
          </w:tcPr>
          <w:p w14:paraId="27011ABF">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color w:val="auto"/>
                <w:highlight w:val="none"/>
                <w:lang w:val="en-US" w:eastAsia="zh-CN"/>
              </w:rPr>
              <w:t>65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2B43F2CD">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桂花村吊脚楼居民点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250" w:type="pct"/>
            <w:noWrap/>
            <w:vAlign w:val="center"/>
          </w:tcPr>
          <w:p w14:paraId="3982FAF1">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K70+100-K70+165</w:t>
            </w:r>
          </w:p>
        </w:tc>
        <w:tc>
          <w:tcPr>
            <w:tcW w:w="348" w:type="pct"/>
            <w:noWrap/>
            <w:vAlign w:val="center"/>
          </w:tcPr>
          <w:p w14:paraId="7F900B4B">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w:t>
            </w:r>
          </w:p>
        </w:tc>
        <w:tc>
          <w:tcPr>
            <w:tcW w:w="192" w:type="pct"/>
            <w:noWrap/>
            <w:vAlign w:val="center"/>
          </w:tcPr>
          <w:p w14:paraId="434C9770">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是</w:t>
            </w:r>
          </w:p>
        </w:tc>
        <w:tc>
          <w:tcPr>
            <w:tcW w:w="1462" w:type="pct"/>
            <w:vMerge w:val="continue"/>
            <w:noWrap w:val="0"/>
            <w:vAlign w:val="center"/>
          </w:tcPr>
          <w:p w14:paraId="1A0C9908">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p>
        </w:tc>
        <w:tc>
          <w:tcPr>
            <w:tcW w:w="372" w:type="pct"/>
            <w:noWrap w:val="0"/>
            <w:vAlign w:val="center"/>
          </w:tcPr>
          <w:p w14:paraId="0C510841">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t>
            </w:r>
          </w:p>
        </w:tc>
      </w:tr>
      <w:tr w14:paraId="0675DF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223" w:type="pct"/>
            <w:noWrap/>
            <w:vAlign w:val="center"/>
          </w:tcPr>
          <w:p w14:paraId="28A006B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11</w:t>
            </w:r>
          </w:p>
        </w:tc>
        <w:tc>
          <w:tcPr>
            <w:tcW w:w="369" w:type="pct"/>
            <w:noWrap/>
            <w:vAlign w:val="center"/>
          </w:tcPr>
          <w:p w14:paraId="55FA194D">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主线及匝道D</w:t>
            </w:r>
          </w:p>
        </w:tc>
        <w:tc>
          <w:tcPr>
            <w:tcW w:w="401" w:type="pct"/>
            <w:noWrap/>
            <w:vAlign w:val="center"/>
          </w:tcPr>
          <w:p w14:paraId="7682F805">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745" w:type="pct"/>
            <w:noWrap/>
            <w:vAlign w:val="center"/>
          </w:tcPr>
          <w:p w14:paraId="21A63EA6">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color w:val="auto"/>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L</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声屏障</w:t>
            </w:r>
          </w:p>
        </w:tc>
        <w:tc>
          <w:tcPr>
            <w:tcW w:w="633" w:type="pct"/>
            <w:noWrap/>
            <w:vAlign w:val="center"/>
          </w:tcPr>
          <w:p w14:paraId="0131F261">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r>
              <w:rPr>
                <w:rFonts w:hint="eastAsia" w:ascii="Times New Roman" w:hAnsi="Times New Roman" w:eastAsia="宋体" w:cs="Times New Roman"/>
                <w:snapToGrid w:val="0"/>
                <w:color w:val="auto"/>
                <w:kern w:val="0"/>
                <w:sz w:val="21"/>
                <w:szCs w:val="21"/>
                <w:highlight w:val="none"/>
                <w:lang w:val="en-US" w:eastAsia="zh-CN" w:bidi="ar-SA"/>
              </w:rPr>
              <w:t>（新建）</w:t>
            </w:r>
          </w:p>
        </w:tc>
        <w:tc>
          <w:tcPr>
            <w:tcW w:w="250" w:type="pct"/>
            <w:noWrap/>
            <w:vAlign w:val="center"/>
          </w:tcPr>
          <w:p w14:paraId="2A710856">
            <w:pPr>
              <w:pStyle w:val="38"/>
              <w:bidi w:val="0"/>
              <w:ind w:firstLine="0" w:firstLineChars="0"/>
              <w:rPr>
                <w:rFonts w:hint="eastAsia"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主线及匝道D</w:t>
            </w:r>
          </w:p>
        </w:tc>
        <w:tc>
          <w:tcPr>
            <w:tcW w:w="348" w:type="pct"/>
            <w:noWrap/>
            <w:vAlign w:val="center"/>
          </w:tcPr>
          <w:p w14:paraId="584959DD">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cs="Times New Roman"/>
                <w:b w:val="0"/>
                <w:bCs w:val="0"/>
                <w:color w:val="auto"/>
                <w:spacing w:val="0"/>
                <w:position w:val="0"/>
                <w:sz w:val="21"/>
                <w:szCs w:val="21"/>
                <w:lang w:val="en-US" w:eastAsia="zh-CN"/>
              </w:rPr>
              <w:t>/</w:t>
            </w:r>
          </w:p>
        </w:tc>
        <w:tc>
          <w:tcPr>
            <w:tcW w:w="192" w:type="pct"/>
            <w:noWrap/>
            <w:vAlign w:val="center"/>
          </w:tcPr>
          <w:p w14:paraId="6059670A">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是</w:t>
            </w:r>
          </w:p>
        </w:tc>
        <w:tc>
          <w:tcPr>
            <w:tcW w:w="1462" w:type="pct"/>
            <w:vMerge w:val="continue"/>
            <w:noWrap w:val="0"/>
            <w:vAlign w:val="center"/>
          </w:tcPr>
          <w:p w14:paraId="2D57BF59">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p>
        </w:tc>
        <w:tc>
          <w:tcPr>
            <w:tcW w:w="372" w:type="pct"/>
            <w:noWrap w:val="0"/>
            <w:vAlign w:val="center"/>
          </w:tcPr>
          <w:p w14:paraId="063A3F9E">
            <w:pPr>
              <w:pStyle w:val="40"/>
              <w:keepNext w:val="0"/>
              <w:keepLines w:val="0"/>
              <w:pageBreakBefore w:val="0"/>
              <w:widowControl/>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t>
            </w:r>
          </w:p>
        </w:tc>
      </w:tr>
    </w:tbl>
    <w:p w14:paraId="6F6AB914">
      <w:pPr>
        <w:ind w:firstLine="480"/>
        <w:rPr>
          <w:rFonts w:hint="default" w:ascii="Times New Roman" w:hAnsi="Times New Roman" w:cs="Times New Roman"/>
          <w:color w:val="auto"/>
          <w:szCs w:val="24"/>
        </w:rPr>
        <w:sectPr>
          <w:pgSz w:w="16838" w:h="11906" w:orient="landscape"/>
          <w:pgMar w:top="1800" w:right="1440" w:bottom="1800" w:left="1440" w:header="737" w:footer="567" w:gutter="0"/>
          <w:pgBorders>
            <w:top w:val="none" w:sz="0" w:space="0"/>
            <w:left w:val="none" w:sz="0" w:space="0"/>
            <w:bottom w:val="none" w:sz="0" w:space="0"/>
            <w:right w:val="none" w:sz="0" w:space="0"/>
          </w:pgBorders>
          <w:pgNumType w:fmt="decimal"/>
          <w:cols w:space="720" w:num="1"/>
          <w:titlePg/>
          <w:docGrid w:type="lines" w:linePitch="326" w:charSpace="0"/>
        </w:sectPr>
      </w:pPr>
    </w:p>
    <w:p w14:paraId="79430377">
      <w:pPr>
        <w:rPr>
          <w:rFonts w:hint="eastAsia"/>
          <w:b/>
          <w:bCs/>
          <w:color w:val="auto"/>
          <w:lang w:val="en-US" w:eastAsia="zh-CN"/>
        </w:rPr>
      </w:pPr>
      <w:r>
        <w:rPr>
          <w:rFonts w:hint="eastAsia"/>
          <w:b/>
          <w:bCs/>
          <w:color w:val="auto"/>
          <w:lang w:val="en-US" w:eastAsia="zh-CN"/>
        </w:rPr>
        <w:t>落实情况：</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4476D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06B3D13">
            <w:pPr>
              <w:ind w:left="0" w:leftChars="0" w:firstLine="0" w:firstLineChars="0"/>
              <w:jc w:val="center"/>
              <w:rPr>
                <w:rFonts w:hint="default" w:ascii="Times New Roman" w:hAnsi="Times New Roman" w:eastAsia="宋体" w:cs="Times New Roman"/>
                <w:color w:val="auto"/>
                <w:vertAlign w:val="baseline"/>
                <w:lang w:val="en-US" w:eastAsia="zh-CN"/>
              </w:rPr>
            </w:pPr>
            <w:r>
              <w:rPr>
                <w:color w:val="auto"/>
              </w:rPr>
              <w:drawing>
                <wp:inline distT="0" distB="0" distL="114300" distR="114300">
                  <wp:extent cx="2529840" cy="1177290"/>
                  <wp:effectExtent l="0" t="0" r="3810" b="381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52"/>
                          <a:stretch>
                            <a:fillRect/>
                          </a:stretch>
                        </pic:blipFill>
                        <pic:spPr>
                          <a:xfrm>
                            <a:off x="0" y="0"/>
                            <a:ext cx="2529840" cy="1177290"/>
                          </a:xfrm>
                          <a:prstGeom prst="rect">
                            <a:avLst/>
                          </a:prstGeom>
                          <a:noFill/>
                          <a:ln>
                            <a:noFill/>
                          </a:ln>
                        </pic:spPr>
                      </pic:pic>
                    </a:graphicData>
                  </a:graphic>
                </wp:inline>
              </w:drawing>
            </w:r>
          </w:p>
        </w:tc>
        <w:tc>
          <w:tcPr>
            <w:tcW w:w="4261" w:type="dxa"/>
          </w:tcPr>
          <w:p w14:paraId="21734EF1">
            <w:pPr>
              <w:ind w:left="0" w:leftChars="0" w:firstLine="0" w:firstLineChars="0"/>
              <w:jc w:val="center"/>
              <w:rPr>
                <w:rFonts w:hint="default" w:ascii="Times New Roman" w:hAnsi="Times New Roman" w:eastAsia="宋体" w:cs="Times New Roman"/>
                <w:color w:val="auto"/>
                <w:vertAlign w:val="baseline"/>
                <w:lang w:val="en-US" w:eastAsia="zh-CN"/>
              </w:rPr>
            </w:pPr>
            <w:r>
              <w:rPr>
                <w:color w:val="auto"/>
              </w:rPr>
              <w:drawing>
                <wp:inline distT="0" distB="0" distL="114300" distR="114300">
                  <wp:extent cx="2523490" cy="1198880"/>
                  <wp:effectExtent l="0" t="0" r="10160" b="127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53"/>
                          <a:stretch>
                            <a:fillRect/>
                          </a:stretch>
                        </pic:blipFill>
                        <pic:spPr>
                          <a:xfrm>
                            <a:off x="0" y="0"/>
                            <a:ext cx="2523490" cy="1198880"/>
                          </a:xfrm>
                          <a:prstGeom prst="rect">
                            <a:avLst/>
                          </a:prstGeom>
                          <a:noFill/>
                          <a:ln>
                            <a:noFill/>
                          </a:ln>
                        </pic:spPr>
                      </pic:pic>
                    </a:graphicData>
                  </a:graphic>
                </wp:inline>
              </w:drawing>
            </w:r>
          </w:p>
        </w:tc>
      </w:tr>
      <w:tr w14:paraId="5C60C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14:paraId="0F1E0AF5">
            <w:pPr>
              <w:pStyle w:val="38"/>
              <w:bidi w:val="0"/>
              <w:ind w:firstLine="0" w:firstLineChars="0"/>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1#斑竹村长五间居民点</w:t>
            </w:r>
            <w:r>
              <w:rPr>
                <w:rFonts w:hint="eastAsia" w:ascii="Times New Roman" w:hAnsi="Times New Roman" w:eastAsia="宋体" w:cs="Times New Roman"/>
                <w:color w:val="auto"/>
                <w:highlight w:val="none"/>
                <w:lang w:val="en-US" w:eastAsia="zh-CN"/>
              </w:rPr>
              <w:t>（已建）</w:t>
            </w:r>
          </w:p>
        </w:tc>
      </w:tr>
      <w:tr w14:paraId="4C569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59712A2">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57145" cy="1437640"/>
                  <wp:effectExtent l="0" t="0" r="14605" b="10160"/>
                  <wp:docPr id="33" name="图片 33" descr="微信图片_20260407095022_55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60407095022_55_23"/>
                          <pic:cNvPicPr>
                            <a:picLocks noChangeAspect="1"/>
                          </pic:cNvPicPr>
                        </pic:nvPicPr>
                        <pic:blipFill>
                          <a:blip r:embed="rId54"/>
                          <a:stretch>
                            <a:fillRect/>
                          </a:stretch>
                        </pic:blipFill>
                        <pic:spPr>
                          <a:xfrm>
                            <a:off x="0" y="0"/>
                            <a:ext cx="2557145" cy="1437640"/>
                          </a:xfrm>
                          <a:prstGeom prst="rect">
                            <a:avLst/>
                          </a:prstGeom>
                        </pic:spPr>
                      </pic:pic>
                    </a:graphicData>
                  </a:graphic>
                </wp:inline>
              </w:drawing>
            </w:r>
          </w:p>
        </w:tc>
        <w:tc>
          <w:tcPr>
            <w:tcW w:w="4261" w:type="dxa"/>
          </w:tcPr>
          <w:p w14:paraId="06D3A8AB">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48255" cy="1433195"/>
                  <wp:effectExtent l="0" t="0" r="4445" b="14605"/>
                  <wp:docPr id="34" name="图片 34" descr="微信图片_20260407095036_56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60407095036_56_23"/>
                          <pic:cNvPicPr>
                            <a:picLocks noChangeAspect="1"/>
                          </pic:cNvPicPr>
                        </pic:nvPicPr>
                        <pic:blipFill>
                          <a:blip r:embed="rId55"/>
                          <a:stretch>
                            <a:fillRect/>
                          </a:stretch>
                        </pic:blipFill>
                        <pic:spPr>
                          <a:xfrm>
                            <a:off x="0" y="0"/>
                            <a:ext cx="2548255" cy="1433195"/>
                          </a:xfrm>
                          <a:prstGeom prst="rect">
                            <a:avLst/>
                          </a:prstGeom>
                        </pic:spPr>
                      </pic:pic>
                    </a:graphicData>
                  </a:graphic>
                </wp:inline>
              </w:drawing>
            </w:r>
          </w:p>
        </w:tc>
      </w:tr>
      <w:tr w14:paraId="77120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9A3DF18">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斑竹村新竹湾居民点</w:t>
            </w:r>
            <w:r>
              <w:rPr>
                <w:rFonts w:hint="eastAsia" w:ascii="Times New Roman" w:hAnsi="Times New Roman" w:eastAsia="宋体" w:cs="Times New Roman"/>
                <w:color w:val="auto"/>
                <w:highlight w:val="none"/>
                <w:lang w:val="en-US" w:eastAsia="zh-CN"/>
              </w:rPr>
              <w:t>（已建）</w:t>
            </w:r>
          </w:p>
        </w:tc>
        <w:tc>
          <w:tcPr>
            <w:tcW w:w="4261" w:type="dxa"/>
          </w:tcPr>
          <w:p w14:paraId="42A95C2E">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斑竹村马鞍桥居民点</w:t>
            </w:r>
            <w:r>
              <w:rPr>
                <w:rFonts w:hint="eastAsia" w:ascii="Times New Roman" w:hAnsi="Times New Roman" w:eastAsia="宋体" w:cs="Times New Roman"/>
                <w:color w:val="auto"/>
                <w:highlight w:val="none"/>
                <w:lang w:val="en-US" w:eastAsia="zh-CN"/>
              </w:rPr>
              <w:t>（已建）</w:t>
            </w:r>
          </w:p>
        </w:tc>
      </w:tr>
      <w:tr w14:paraId="1586E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9D47B7C">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64765" cy="1443355"/>
                  <wp:effectExtent l="0" t="0" r="6985" b="4445"/>
                  <wp:docPr id="35" name="图片 35" descr="微信图片_20260407095036_56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60407095036_56_23"/>
                          <pic:cNvPicPr>
                            <a:picLocks noChangeAspect="1"/>
                          </pic:cNvPicPr>
                        </pic:nvPicPr>
                        <pic:blipFill>
                          <a:blip r:embed="rId56"/>
                          <a:stretch>
                            <a:fillRect/>
                          </a:stretch>
                        </pic:blipFill>
                        <pic:spPr>
                          <a:xfrm>
                            <a:off x="0" y="0"/>
                            <a:ext cx="2564765" cy="1443355"/>
                          </a:xfrm>
                          <a:prstGeom prst="rect">
                            <a:avLst/>
                          </a:prstGeom>
                        </pic:spPr>
                      </pic:pic>
                    </a:graphicData>
                  </a:graphic>
                </wp:inline>
              </w:drawing>
            </w:r>
          </w:p>
        </w:tc>
        <w:tc>
          <w:tcPr>
            <w:tcW w:w="4261" w:type="dxa"/>
          </w:tcPr>
          <w:p w14:paraId="0381A03B">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57145" cy="1437640"/>
                  <wp:effectExtent l="0" t="0" r="14605" b="10160"/>
                  <wp:docPr id="40" name="图片 40" descr="微信图片_20260407095054_58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60407095054_58_23"/>
                          <pic:cNvPicPr>
                            <a:picLocks noChangeAspect="1"/>
                          </pic:cNvPicPr>
                        </pic:nvPicPr>
                        <pic:blipFill>
                          <a:blip r:embed="rId57"/>
                          <a:stretch>
                            <a:fillRect/>
                          </a:stretch>
                        </pic:blipFill>
                        <pic:spPr>
                          <a:xfrm>
                            <a:off x="0" y="0"/>
                            <a:ext cx="2557145" cy="1437640"/>
                          </a:xfrm>
                          <a:prstGeom prst="rect">
                            <a:avLst/>
                          </a:prstGeom>
                        </pic:spPr>
                      </pic:pic>
                    </a:graphicData>
                  </a:graphic>
                </wp:inline>
              </w:drawing>
            </w:r>
          </w:p>
        </w:tc>
      </w:tr>
      <w:tr w14:paraId="15099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ABC6726">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斑竹村卢家院子居民点</w:t>
            </w:r>
            <w:r>
              <w:rPr>
                <w:rFonts w:hint="eastAsia" w:ascii="Times New Roman" w:hAnsi="Times New Roman" w:eastAsia="宋体" w:cs="Times New Roman"/>
                <w:color w:val="auto"/>
                <w:highlight w:val="none"/>
                <w:lang w:val="en-US" w:eastAsia="zh-CN"/>
              </w:rPr>
              <w:t>（已建）</w:t>
            </w:r>
          </w:p>
        </w:tc>
        <w:tc>
          <w:tcPr>
            <w:tcW w:w="4261" w:type="dxa"/>
          </w:tcPr>
          <w:p w14:paraId="56D1571B">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大田村瓦房沟居民点</w:t>
            </w:r>
            <w:r>
              <w:rPr>
                <w:rFonts w:hint="eastAsia" w:ascii="Times New Roman" w:hAnsi="Times New Roman" w:eastAsia="宋体" w:cs="Times New Roman"/>
                <w:color w:val="auto"/>
                <w:highlight w:val="none"/>
                <w:lang w:val="en-US" w:eastAsia="zh-CN"/>
              </w:rPr>
              <w:t>（已建）</w:t>
            </w:r>
          </w:p>
        </w:tc>
      </w:tr>
      <w:tr w14:paraId="675C8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92DCE47">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57145" cy="1437640"/>
                  <wp:effectExtent l="0" t="0" r="14605" b="10160"/>
                  <wp:docPr id="38" name="图片 38" descr="微信图片_20260407095113_60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60407095113_60_23"/>
                          <pic:cNvPicPr>
                            <a:picLocks noChangeAspect="1"/>
                          </pic:cNvPicPr>
                        </pic:nvPicPr>
                        <pic:blipFill>
                          <a:blip r:embed="rId58"/>
                          <a:stretch>
                            <a:fillRect/>
                          </a:stretch>
                        </pic:blipFill>
                        <pic:spPr>
                          <a:xfrm>
                            <a:off x="0" y="0"/>
                            <a:ext cx="2557145" cy="1437640"/>
                          </a:xfrm>
                          <a:prstGeom prst="rect">
                            <a:avLst/>
                          </a:prstGeom>
                        </pic:spPr>
                      </pic:pic>
                    </a:graphicData>
                  </a:graphic>
                </wp:inline>
              </w:drawing>
            </w:r>
          </w:p>
        </w:tc>
        <w:tc>
          <w:tcPr>
            <w:tcW w:w="4261" w:type="dxa"/>
          </w:tcPr>
          <w:p w14:paraId="0F4766ED">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2565400" cy="1443355"/>
                  <wp:effectExtent l="0" t="0" r="6350" b="4445"/>
                  <wp:docPr id="39" name="图片 39" descr="微信图片_20260407095140_63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60407095140_63_23"/>
                          <pic:cNvPicPr>
                            <a:picLocks noChangeAspect="1"/>
                          </pic:cNvPicPr>
                        </pic:nvPicPr>
                        <pic:blipFill>
                          <a:blip r:embed="rId59"/>
                          <a:stretch>
                            <a:fillRect/>
                          </a:stretch>
                        </pic:blipFill>
                        <pic:spPr>
                          <a:xfrm>
                            <a:off x="0" y="0"/>
                            <a:ext cx="2565400" cy="1443355"/>
                          </a:xfrm>
                          <a:prstGeom prst="rect">
                            <a:avLst/>
                          </a:prstGeom>
                        </pic:spPr>
                      </pic:pic>
                    </a:graphicData>
                  </a:graphic>
                </wp:inline>
              </w:drawing>
            </w:r>
          </w:p>
        </w:tc>
      </w:tr>
      <w:tr w14:paraId="6D497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B4CA3E0">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大田村狮子寨居民点</w:t>
            </w:r>
            <w:r>
              <w:rPr>
                <w:rFonts w:hint="eastAsia" w:ascii="Times New Roman" w:hAnsi="Times New Roman" w:eastAsia="宋体" w:cs="Times New Roman"/>
                <w:color w:val="auto"/>
                <w:highlight w:val="none"/>
                <w:lang w:val="en-US" w:eastAsia="zh-CN"/>
              </w:rPr>
              <w:t>（已建）</w:t>
            </w:r>
          </w:p>
        </w:tc>
        <w:tc>
          <w:tcPr>
            <w:tcW w:w="4261" w:type="dxa"/>
          </w:tcPr>
          <w:p w14:paraId="5A6F1551">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highlight w:val="none"/>
                <w:lang w:val="en-US" w:eastAsia="zh-CN"/>
              </w:rPr>
              <w:t>响水村蔡家垭口居民点</w:t>
            </w:r>
            <w:r>
              <w:rPr>
                <w:rFonts w:hint="eastAsia" w:ascii="Times New Roman" w:hAnsi="Times New Roman" w:eastAsia="宋体" w:cs="Times New Roman"/>
                <w:color w:val="auto"/>
                <w:highlight w:val="none"/>
                <w:lang w:val="en-US" w:eastAsia="zh-CN"/>
              </w:rPr>
              <w:t>（已建）</w:t>
            </w:r>
          </w:p>
        </w:tc>
      </w:tr>
    </w:tbl>
    <w:p w14:paraId="45FF9920">
      <w:pPr>
        <w:rPr>
          <w:rFonts w:hint="eastAsia"/>
          <w:color w:val="auto"/>
          <w:lang w:val="en-US" w:eastAsia="zh-CN"/>
        </w:rPr>
      </w:pPr>
    </w:p>
    <w:p w14:paraId="0010BDAF">
      <w:pPr>
        <w:ind w:firstLine="480"/>
        <w:rPr>
          <w:rFonts w:hint="default" w:cs="Times New Roman"/>
          <w:color w:val="auto"/>
          <w:szCs w:val="24"/>
          <w:lang w:val="en-US" w:eastAsia="zh-CN"/>
        </w:rPr>
      </w:pPr>
    </w:p>
    <w:p w14:paraId="36DC6C5A">
      <w:pPr>
        <w:pStyle w:val="3"/>
        <w:numPr>
          <w:ilvl w:val="0"/>
          <w:numId w:val="0"/>
        </w:numPr>
        <w:ind w:left="578" w:leftChars="0" w:hanging="578" w:firstLineChars="0"/>
        <w:rPr>
          <w:rFonts w:hint="default" w:ascii="Times New Roman" w:hAnsi="Times New Roman" w:cs="Times New Roman"/>
          <w:color w:val="auto"/>
        </w:rPr>
      </w:pPr>
      <w:bookmarkStart w:id="127" w:name="_Toc419186416"/>
      <w:bookmarkStart w:id="128" w:name="_Toc419185827"/>
      <w:bookmarkStart w:id="129" w:name="_Toc15189"/>
      <w:bookmarkStart w:id="130" w:name="_Toc30510"/>
      <w:bookmarkStart w:id="131" w:name="_Toc32281"/>
      <w:bookmarkStart w:id="132" w:name="_Toc25528"/>
      <w:bookmarkStart w:id="133" w:name="_Toc22719"/>
      <w:r>
        <w:rPr>
          <w:rFonts w:hint="eastAsia" w:ascii="Times New Roman" w:hAnsi="Times New Roman" w:cs="Times New Roman"/>
          <w:b/>
          <w:bCs/>
          <w:color w:val="auto"/>
          <w:kern w:val="2"/>
          <w:sz w:val="32"/>
          <w:szCs w:val="32"/>
          <w:lang w:val="en-US" w:eastAsia="zh-CN" w:bidi="ar-SA"/>
        </w:rPr>
        <w:t>6.3</w:t>
      </w:r>
      <w:r>
        <w:rPr>
          <w:rFonts w:hint="default" w:ascii="Times New Roman" w:hAnsi="Times New Roman" w:cs="Times New Roman"/>
          <w:color w:val="auto"/>
        </w:rPr>
        <w:t>运营期声环境</w:t>
      </w:r>
      <w:bookmarkEnd w:id="127"/>
      <w:bookmarkEnd w:id="128"/>
      <w:bookmarkEnd w:id="129"/>
      <w:bookmarkEnd w:id="130"/>
      <w:bookmarkEnd w:id="131"/>
      <w:r>
        <w:rPr>
          <w:rFonts w:hint="default" w:ascii="Times New Roman" w:hAnsi="Times New Roman" w:cs="Times New Roman"/>
          <w:color w:val="auto"/>
          <w:lang w:eastAsia="zh-CN"/>
        </w:rPr>
        <w:t>影响调查</w:t>
      </w:r>
      <w:bookmarkEnd w:id="132"/>
      <w:bookmarkEnd w:id="133"/>
    </w:p>
    <w:p w14:paraId="3530BFAA">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6.3.1</w:t>
      </w:r>
      <w:r>
        <w:rPr>
          <w:rFonts w:hint="default" w:ascii="Times New Roman" w:hAnsi="Times New Roman" w:cs="Times New Roman"/>
          <w:color w:val="auto"/>
        </w:rPr>
        <w:t>沿线声环境保护目标调查</w:t>
      </w:r>
    </w:p>
    <w:p w14:paraId="2866537A">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为了解公路运营期间交通噪声对声环境的影响状况，按照《建设项目竣工环境保护验收技术规范-公路》（HJ552-2010）中关于监测布点的原则，重庆市九升检测技术有限公司于2026年1月20日-24日、1月27日-28日对沿线7处敏感点进行噪声监测，对2处交通噪声衰减断面（响水村双龙屋基开阔处（K73+750）、大田村瓦房沟开阔处（K76+500））进行了监测，对1处声屏障（斑竹村卢家院子（K77+000）声屏障）进行了降噪效果的监测，对1处（桂花村官山梁子K69+870）道路交通噪声24h进行了连续监测。</w:t>
      </w:r>
    </w:p>
    <w:p w14:paraId="08F33D88">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6.3.2</w:t>
      </w:r>
      <w:r>
        <w:rPr>
          <w:rFonts w:hint="default" w:ascii="Times New Roman" w:hAnsi="Times New Roman" w:cs="Times New Roman"/>
          <w:color w:val="auto"/>
        </w:rPr>
        <w:t>交通量现状调查与分析</w:t>
      </w:r>
    </w:p>
    <w:p w14:paraId="116D90E6">
      <w:pPr>
        <w:rPr>
          <w:rFonts w:hint="default" w:ascii="Times New Roman" w:hAnsi="Times New Roman" w:cs="Times New Roman"/>
          <w:color w:val="auto"/>
          <w:szCs w:val="24"/>
        </w:rPr>
      </w:pPr>
      <w:r>
        <w:rPr>
          <w:rFonts w:hint="default" w:ascii="Times New Roman" w:hAnsi="Times New Roman" w:cs="Times New Roman"/>
          <w:color w:val="auto"/>
          <w:szCs w:val="24"/>
        </w:rPr>
        <w:t>根据验收调查阶段24h噪声连续监测记录的交通量（2026年1月22日至2026年1月23日），统计可得：</w:t>
      </w:r>
    </w:p>
    <w:p w14:paraId="477F75C9">
      <w:pPr>
        <w:rPr>
          <w:rFonts w:hint="default" w:ascii="Times New Roman" w:hAnsi="Times New Roman" w:cs="Times New Roman"/>
          <w:color w:val="auto"/>
          <w:szCs w:val="24"/>
        </w:rPr>
      </w:pPr>
      <w:r>
        <w:rPr>
          <w:rFonts w:hint="default" w:ascii="Times New Roman" w:hAnsi="Times New Roman" w:cs="Times New Roman"/>
          <w:color w:val="auto"/>
          <w:szCs w:val="24"/>
        </w:rPr>
        <w:t>根据桂花村官山梁子处24小时监测数据，该点位车流量为8442pcu/日，为重新报批环评阶段营运近期2026年车流量（9063pcu/日）的93.15%。</w:t>
      </w:r>
    </w:p>
    <w:p w14:paraId="3F5085AF">
      <w:pP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注：鉴于验收检测期间，车流量计数过程中未详细列出中小型车辆数目，本次统计过程中考虑最不利原则，中、小型车辆折算系数为1.5。</w:t>
      </w:r>
    </w:p>
    <w:p w14:paraId="5E37F8B7">
      <w:pPr>
        <w:rPr>
          <w:rFonts w:hint="default" w:ascii="Times New Roman" w:hAnsi="Times New Roman" w:cs="Times New Roman"/>
          <w:color w:val="auto"/>
          <w:szCs w:val="24"/>
          <w:lang w:eastAsia="zh-CN"/>
        </w:rPr>
      </w:pPr>
      <w:r>
        <w:rPr>
          <w:color w:val="auto"/>
        </w:rPr>
        <w:t>依据《建设项目竣工环境保护验收技术规范—公路》（HJ552-2010，环境保护部），依次对各路段中期预测交通量进行校核。校核结果显示</w:t>
      </w:r>
      <w:r>
        <w:rPr>
          <w:rFonts w:hint="eastAsia"/>
          <w:color w:val="auto"/>
          <w:lang w:eastAsia="zh-CN"/>
        </w:rPr>
        <w:t>，</w:t>
      </w:r>
      <w:r>
        <w:rPr>
          <w:rFonts w:hint="eastAsia"/>
          <w:color w:val="auto"/>
          <w:lang w:val="en-US" w:eastAsia="zh-CN"/>
        </w:rPr>
        <w:t>主要环境保护措施能够起到相应功能，敏感点声环境质量达标。</w:t>
      </w:r>
    </w:p>
    <w:p w14:paraId="23A4210F">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6.3.3</w:t>
      </w:r>
      <w:r>
        <w:rPr>
          <w:rFonts w:hint="default" w:ascii="Times New Roman" w:hAnsi="Times New Roman" w:cs="Times New Roman"/>
          <w:color w:val="auto"/>
        </w:rPr>
        <w:t>沿线声环境质量监测及分析</w:t>
      </w:r>
    </w:p>
    <w:p w14:paraId="6A6CA7DA">
      <w:pPr>
        <w:pStyle w:val="28"/>
        <w:numPr>
          <w:ilvl w:val="0"/>
          <w:numId w:val="0"/>
        </w:numPr>
        <w:ind w:left="0" w:leftChars="0" w:firstLine="0" w:firstLineChars="0"/>
        <w:rPr>
          <w:rFonts w:hint="default" w:ascii="Times New Roman" w:hAnsi="Times New Roman" w:cs="Times New Roman"/>
          <w:color w:val="auto"/>
        </w:rPr>
      </w:pPr>
      <w:bookmarkStart w:id="134" w:name="_Toc9912"/>
      <w:bookmarkStart w:id="135" w:name="_Toc419186417"/>
      <w:r>
        <w:rPr>
          <w:rFonts w:hint="default" w:ascii="Times New Roman" w:hAnsi="Times New Roman" w:eastAsia="宋体" w:cs="Times New Roman"/>
          <w:b/>
          <w:snapToGrid w:val="0"/>
          <w:color w:val="auto"/>
          <w:spacing w:val="0"/>
          <w:kern w:val="0"/>
          <w:sz w:val="28"/>
          <w:szCs w:val="28"/>
          <w:lang w:val="en-US" w:eastAsia="zh-CN" w:bidi="ar-SA"/>
        </w:rPr>
        <w:t>6.3.3.1</w:t>
      </w:r>
      <w:r>
        <w:rPr>
          <w:rFonts w:hint="default" w:ascii="Times New Roman" w:hAnsi="Times New Roman" w:cs="Times New Roman"/>
          <w:color w:val="auto"/>
        </w:rPr>
        <w:t>监测点布设原则</w:t>
      </w:r>
      <w:bookmarkEnd w:id="134"/>
      <w:bookmarkEnd w:id="135"/>
    </w:p>
    <w:p w14:paraId="3B72799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）对公路沿线的声环境敏感点，按以下原则选择其中具有代表性的点进行现状监测：</w:t>
      </w:r>
    </w:p>
    <w:p w14:paraId="23353792">
      <w:pPr>
        <w:pStyle w:val="24"/>
        <w:ind w:firstLine="48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①环境影响评价文件要求采取降噪措施但运营以来未采取措施的敏感点应监测，监测比率不少于50%；</w:t>
      </w:r>
    </w:p>
    <w:p w14:paraId="74B72C95">
      <w:pPr>
        <w:pStyle w:val="24"/>
        <w:ind w:firstLine="48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②环境影响评价文件要求采取降噪措施且运营期已采取措施的敏感点进行代表性监测；</w:t>
      </w:r>
    </w:p>
    <w:p w14:paraId="277F9C0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③环境影响评价文件要求进行跟踪监测的敏感点可选择性布点；</w:t>
      </w:r>
    </w:p>
    <w:p w14:paraId="7CF2298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④同一敏感点不同距离执行不同功能区标准时应相应布设不同的监测点位；</w:t>
      </w:r>
    </w:p>
    <w:p w14:paraId="1E65559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⑤位于交叉道路、高架桥、互通立交和铁路交叉路口附近的敏感点应选择性布点。</w:t>
      </w:r>
    </w:p>
    <w:p w14:paraId="1ED24C0E">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）为了解公路交通噪声沿线距离的分布情况，选择公路两侧开阔无屏障监测布点，公路车道数≦4时，距离公路中心线20m、40m、60m、80m、120m分别设置监测点位。</w:t>
      </w:r>
    </w:p>
    <w:p w14:paraId="0CEA080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）为了解公路交通噪声的时间分布以及24小时车辆类型结构和车流量的变化情况，选择车流量有代表性的路段进行24小时连续监测。</w:t>
      </w:r>
    </w:p>
    <w:p w14:paraId="31F5BD3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）选择建设了声屏障降噪措施的敏感点进行监测点和对照点监测，同时进行不同距离处的声屏障降噪效果监测，判断、评价声屏障的隔声降噪效果。</w:t>
      </w:r>
    </w:p>
    <w:p w14:paraId="64ACBF52">
      <w:pPr>
        <w:pStyle w:val="28"/>
        <w:numPr>
          <w:ilvl w:val="0"/>
          <w:numId w:val="0"/>
        </w:numPr>
        <w:ind w:left="0" w:leftChars="0" w:firstLine="0" w:firstLineChars="0"/>
        <w:rPr>
          <w:rFonts w:hint="default" w:ascii="Times New Roman" w:hAnsi="Times New Roman" w:cs="Times New Roman"/>
          <w:color w:val="auto"/>
        </w:rPr>
      </w:pPr>
      <w:r>
        <w:rPr>
          <w:rFonts w:hint="default" w:ascii="Times New Roman" w:hAnsi="Times New Roman" w:eastAsia="宋体" w:cs="Times New Roman"/>
          <w:b/>
          <w:snapToGrid w:val="0"/>
          <w:color w:val="auto"/>
          <w:spacing w:val="0"/>
          <w:kern w:val="0"/>
          <w:sz w:val="28"/>
          <w:szCs w:val="28"/>
          <w:lang w:val="en-US" w:eastAsia="zh-CN" w:bidi="ar-SA"/>
        </w:rPr>
        <w:t>6.3.3.2</w:t>
      </w:r>
      <w:r>
        <w:rPr>
          <w:rFonts w:hint="default" w:ascii="Times New Roman" w:hAnsi="Times New Roman" w:cs="Times New Roman"/>
          <w:color w:val="auto"/>
        </w:rPr>
        <w:t>点位布设</w:t>
      </w:r>
    </w:p>
    <w:p w14:paraId="068DED3E">
      <w:pPr>
        <w:ind w:firstLine="480"/>
        <w:rPr>
          <w:rFonts w:hint="default" w:ascii="Times New Roman" w:hAnsi="Times New Roman" w:cs="Times New Roman"/>
          <w:color w:val="auto"/>
          <w:szCs w:val="24"/>
        </w:rPr>
      </w:pPr>
      <w:bookmarkStart w:id="136" w:name="_Toc419186419"/>
      <w:bookmarkStart w:id="137" w:name="_Toc32075"/>
      <w:r>
        <w:rPr>
          <w:rFonts w:hint="default" w:ascii="Times New Roman" w:hAnsi="Times New Roman" w:cs="Times New Roman"/>
          <w:color w:val="auto"/>
          <w:szCs w:val="24"/>
        </w:rPr>
        <w:t>本次竣工环保验收声环境监测点设置如下：</w:t>
      </w:r>
      <w:bookmarkEnd w:id="136"/>
      <w:bookmarkEnd w:id="137"/>
    </w:p>
    <w:p w14:paraId="1AED56A8">
      <w:pPr>
        <w:ind w:left="480" w:firstLine="0" w:firstLineChars="0"/>
        <w:jc w:val="left"/>
        <w:rPr>
          <w:rFonts w:hint="default" w:ascii="Times New Roman" w:hAnsi="Times New Roman" w:cs="Times New Roman"/>
          <w:color w:val="auto"/>
          <w:szCs w:val="24"/>
        </w:rPr>
      </w:pPr>
      <w:r>
        <w:rPr>
          <w:rFonts w:hint="default" w:ascii="Times New Roman" w:hAnsi="Times New Roman" w:cs="Times New Roman"/>
          <w:color w:val="auto"/>
          <w:szCs w:val="24"/>
        </w:rPr>
        <w:t>（1）一般敏感点环境噪声监测</w:t>
      </w:r>
    </w:p>
    <w:p w14:paraId="1F91A7ED">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本次验收对</w:t>
      </w:r>
      <w:r>
        <w:rPr>
          <w:rFonts w:hint="eastAsia" w:cs="Times New Roman"/>
          <w:color w:val="auto"/>
          <w:szCs w:val="24"/>
          <w:lang w:eastAsia="zh-CN"/>
        </w:rPr>
        <w:t>环评阶段</w:t>
      </w:r>
      <w:r>
        <w:rPr>
          <w:rFonts w:hint="default" w:ascii="Times New Roman" w:hAnsi="Times New Roman" w:cs="Times New Roman"/>
          <w:color w:val="auto"/>
          <w:szCs w:val="24"/>
        </w:rPr>
        <w:t>要求上声屏障措施的声环境保护目标</w:t>
      </w:r>
      <w:r>
        <w:rPr>
          <w:rFonts w:hint="eastAsia" w:cs="Times New Roman"/>
          <w:color w:val="auto"/>
          <w:szCs w:val="24"/>
          <w:lang w:eastAsia="zh-CN"/>
        </w:rPr>
        <w:t>、</w:t>
      </w:r>
      <w:r>
        <w:rPr>
          <w:rFonts w:hint="eastAsia" w:cs="Times New Roman"/>
          <w:color w:val="auto"/>
          <w:szCs w:val="24"/>
          <w:lang w:val="en-US" w:eastAsia="zh-CN"/>
        </w:rPr>
        <w:t>取消声屏障、连接线敏感点等位置</w:t>
      </w:r>
      <w:r>
        <w:rPr>
          <w:rFonts w:hint="default" w:ascii="Times New Roman" w:hAnsi="Times New Roman" w:cs="Times New Roman"/>
          <w:color w:val="auto"/>
          <w:szCs w:val="24"/>
        </w:rPr>
        <w:t>进行环境噪声现状监测。监测点位见</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REF _Ref140163175 \h  \* MERGEFORMAT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w:instrText>
      </w:r>
      <w:r>
        <w:rPr>
          <w:rFonts w:hint="default"/>
          <w:color w:val="auto"/>
        </w:rPr>
        <w:instrText xml:space="preserve"> 2 \s </w:instrText>
      </w:r>
      <w:r>
        <w:rPr>
          <w:rFonts w:hint="default"/>
          <w:color w:val="auto"/>
        </w:rPr>
        <w:fldChar w:fldCharType="separate"/>
      </w:r>
      <w:r>
        <w:rPr>
          <w:rFonts w:hint="default"/>
          <w:color w:val="auto"/>
        </w:rPr>
        <w:t>6.3</w:t>
      </w:r>
      <w:r>
        <w:rPr>
          <w:rFonts w:hint="default"/>
          <w:color w:val="auto"/>
        </w:rPr>
        <w:fldChar w:fldCharType="end"/>
      </w:r>
      <w:r>
        <w:rPr>
          <w:rFonts w:hint="default"/>
          <w:color w:val="auto"/>
        </w:rPr>
        <w:noBreakHyphen/>
      </w:r>
      <w:r>
        <w:rPr>
          <w:rFonts w:hint="default"/>
          <w:color w:val="auto"/>
        </w:rPr>
        <w:t>1</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t>。</w:t>
      </w:r>
    </w:p>
    <w:p w14:paraId="0B766485">
      <w:pPr>
        <w:pStyle w:val="9"/>
        <w:rPr>
          <w:rFonts w:hint="default" w:ascii="Times New Roman" w:hAnsi="Times New Roman" w:cs="Times New Roman"/>
          <w:color w:val="auto"/>
        </w:rPr>
      </w:pPr>
      <w:bookmarkStart w:id="138" w:name="_Ref140163175"/>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bookmarkEnd w:id="138"/>
      <w:r>
        <w:rPr>
          <w:rFonts w:hint="default" w:ascii="Times New Roman" w:hAnsi="Times New Roman" w:cs="Times New Roman"/>
          <w:color w:val="auto"/>
        </w:rPr>
        <w:t>敏感点环境噪声监测点位布设情况表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2238"/>
        <w:gridCol w:w="1105"/>
        <w:gridCol w:w="1229"/>
        <w:gridCol w:w="1139"/>
        <w:gridCol w:w="1327"/>
        <w:gridCol w:w="818"/>
      </w:tblGrid>
      <w:tr w14:paraId="4909E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389" w:type="pct"/>
            <w:vAlign w:val="center"/>
          </w:tcPr>
          <w:p w14:paraId="42EE1935">
            <w:pPr>
              <w:adjustRightInd/>
              <w:snapToGrid w:val="0"/>
              <w:spacing w:line="24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编号</w:t>
            </w:r>
          </w:p>
        </w:tc>
        <w:tc>
          <w:tcPr>
            <w:tcW w:w="1313" w:type="pct"/>
            <w:vAlign w:val="center"/>
          </w:tcPr>
          <w:p w14:paraId="630F6B25">
            <w:pPr>
              <w:adjustRightInd/>
              <w:snapToGrid w:val="0"/>
              <w:spacing w:line="24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监测点位</w:t>
            </w:r>
          </w:p>
        </w:tc>
        <w:tc>
          <w:tcPr>
            <w:tcW w:w="648" w:type="pct"/>
            <w:vAlign w:val="center"/>
          </w:tcPr>
          <w:p w14:paraId="60CC169B">
            <w:pPr>
              <w:adjustRightInd/>
              <w:snapToGrid w:val="0"/>
              <w:spacing w:line="24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监测项目</w:t>
            </w:r>
          </w:p>
        </w:tc>
        <w:tc>
          <w:tcPr>
            <w:tcW w:w="721" w:type="pct"/>
            <w:vAlign w:val="center"/>
          </w:tcPr>
          <w:p w14:paraId="642BF237">
            <w:pPr>
              <w:adjustRightInd/>
              <w:snapToGrid w:val="0"/>
              <w:spacing w:line="24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监测频次</w:t>
            </w:r>
          </w:p>
        </w:tc>
        <w:tc>
          <w:tcPr>
            <w:tcW w:w="668" w:type="pct"/>
            <w:vAlign w:val="center"/>
          </w:tcPr>
          <w:p w14:paraId="5BC93477">
            <w:pPr>
              <w:adjustRightInd/>
              <w:snapToGrid w:val="0"/>
              <w:spacing w:line="24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执行标准</w:t>
            </w:r>
          </w:p>
        </w:tc>
        <w:tc>
          <w:tcPr>
            <w:tcW w:w="778" w:type="pct"/>
            <w:vAlign w:val="center"/>
          </w:tcPr>
          <w:p w14:paraId="1FA0F003">
            <w:pPr>
              <w:adjustRightInd/>
              <w:snapToGrid w:val="0"/>
              <w:spacing w:line="240" w:lineRule="auto"/>
              <w:ind w:firstLine="0" w:firstLineChars="0"/>
              <w:jc w:val="center"/>
              <w:rPr>
                <w:rFonts w:ascii="Times New Roman" w:hAnsi="Times New Roman" w:eastAsia="宋体" w:cs="Times New Roman"/>
                <w:b/>
                <w:color w:val="auto"/>
                <w:sz w:val="21"/>
                <w:szCs w:val="21"/>
              </w:rPr>
            </w:pPr>
            <w:r>
              <w:rPr>
                <w:rFonts w:hint="eastAsia" w:ascii="Times New Roman" w:hAnsi="Times New Roman" w:eastAsia="宋体" w:cs="Times New Roman"/>
                <w:b/>
                <w:color w:val="auto"/>
                <w:sz w:val="21"/>
                <w:szCs w:val="21"/>
              </w:rPr>
              <w:t>类别</w:t>
            </w:r>
          </w:p>
        </w:tc>
        <w:tc>
          <w:tcPr>
            <w:tcW w:w="480" w:type="pct"/>
            <w:vAlign w:val="center"/>
          </w:tcPr>
          <w:p w14:paraId="7BAA4439">
            <w:pPr>
              <w:adjustRightInd/>
              <w:snapToGrid w:val="0"/>
              <w:spacing w:line="240" w:lineRule="auto"/>
              <w:ind w:firstLine="0" w:firstLineChars="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楼层</w:t>
            </w:r>
          </w:p>
        </w:tc>
      </w:tr>
      <w:tr w14:paraId="1275D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89" w:type="pct"/>
            <w:vAlign w:val="center"/>
          </w:tcPr>
          <w:p w14:paraId="41FB80E5">
            <w:pPr>
              <w:adjustRightInd/>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p>
        </w:tc>
        <w:tc>
          <w:tcPr>
            <w:tcW w:w="1313" w:type="pct"/>
            <w:vAlign w:val="center"/>
          </w:tcPr>
          <w:p w14:paraId="49662371">
            <w:pPr>
              <w:adjustRightInd/>
              <w:snapToGrid w:val="0"/>
              <w:spacing w:line="240" w:lineRule="auto"/>
              <w:ind w:left="-72" w:leftChars="-30" w:right="-72" w:rightChars="-30" w:firstLine="0" w:firstLineChars="0"/>
              <w:jc w:val="center"/>
              <w:rPr>
                <w:rFonts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桂花村吊脚楼居民点</w:t>
            </w:r>
          </w:p>
        </w:tc>
        <w:tc>
          <w:tcPr>
            <w:tcW w:w="648" w:type="pct"/>
            <w:vMerge w:val="restart"/>
            <w:vAlign w:val="center"/>
          </w:tcPr>
          <w:p w14:paraId="5F86B3CC">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昼间</w:t>
            </w:r>
            <w:r>
              <w:rPr>
                <w:rFonts w:hint="eastAsia" w:ascii="Times New Roman" w:hAnsi="Times New Roman" w:eastAsia="宋体" w:cs="Times New Roman"/>
                <w:color w:val="auto"/>
                <w:sz w:val="21"/>
                <w:szCs w:val="21"/>
              </w:rPr>
              <w:t>、夜间</w:t>
            </w:r>
            <w:r>
              <w:rPr>
                <w:rFonts w:ascii="Times New Roman" w:hAnsi="Times New Roman" w:eastAsia="宋体" w:cs="Times New Roman"/>
                <w:color w:val="auto"/>
                <w:sz w:val="21"/>
                <w:szCs w:val="21"/>
              </w:rPr>
              <w:t>噪声</w:t>
            </w:r>
          </w:p>
        </w:tc>
        <w:tc>
          <w:tcPr>
            <w:tcW w:w="721" w:type="pct"/>
            <w:vMerge w:val="restart"/>
            <w:vAlign w:val="center"/>
          </w:tcPr>
          <w:p w14:paraId="730A069F">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监测2天</w:t>
            </w:r>
            <w:r>
              <w:rPr>
                <w:rFonts w:hint="eastAsia" w:ascii="Times New Roman" w:hAnsi="Times New Roman" w:eastAsia="宋体" w:cs="Times New Roman"/>
                <w:color w:val="auto"/>
                <w:sz w:val="21"/>
                <w:szCs w:val="21"/>
              </w:rPr>
              <w:t>、昼夜各2次，每次20min</w:t>
            </w:r>
          </w:p>
        </w:tc>
        <w:tc>
          <w:tcPr>
            <w:tcW w:w="668" w:type="pct"/>
            <w:vMerge w:val="restart"/>
            <w:vAlign w:val="center"/>
          </w:tcPr>
          <w:p w14:paraId="7A22F5AF">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r>
              <w:rPr>
                <w:rFonts w:hint="eastAsia" w:ascii="Times New Roman" w:hAnsi="Times New Roman" w:eastAsia="宋体" w:cs="Times New Roman"/>
                <w:color w:val="auto"/>
                <w:sz w:val="21"/>
                <w:szCs w:val="21"/>
              </w:rPr>
              <w:t>《声环境质量标准》（GB3096-2008）</w:t>
            </w:r>
          </w:p>
        </w:tc>
        <w:tc>
          <w:tcPr>
            <w:tcW w:w="778" w:type="pct"/>
            <w:vAlign w:val="center"/>
          </w:tcPr>
          <w:p w14:paraId="3415A92A">
            <w:pPr>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4a</w:t>
            </w:r>
            <w:r>
              <w:rPr>
                <w:rFonts w:hint="eastAsia" w:ascii="Times New Roman" w:hAnsi="Times New Roman" w:eastAsia="宋体" w:cs="Times New Roman"/>
                <w:color w:val="auto"/>
                <w:sz w:val="21"/>
                <w:szCs w:val="21"/>
              </w:rPr>
              <w:t>类</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2类</w:t>
            </w:r>
          </w:p>
        </w:tc>
        <w:tc>
          <w:tcPr>
            <w:tcW w:w="480" w:type="pct"/>
            <w:vAlign w:val="center"/>
          </w:tcPr>
          <w:p w14:paraId="27F6CA79">
            <w:pPr>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r w14:paraId="197FF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389" w:type="pct"/>
            <w:vAlign w:val="center"/>
          </w:tcPr>
          <w:p w14:paraId="77DE8556">
            <w:pPr>
              <w:adjustRightInd/>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p>
        </w:tc>
        <w:tc>
          <w:tcPr>
            <w:tcW w:w="1313" w:type="pct"/>
            <w:vAlign w:val="center"/>
          </w:tcPr>
          <w:p w14:paraId="72B58DE3">
            <w:pPr>
              <w:adjustRightInd/>
              <w:snapToGrid w:val="0"/>
              <w:spacing w:line="240" w:lineRule="auto"/>
              <w:ind w:left="-72" w:leftChars="-30" w:right="-72" w:rightChars="-30"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大田村华家屋基居民点</w:t>
            </w:r>
          </w:p>
        </w:tc>
        <w:tc>
          <w:tcPr>
            <w:tcW w:w="648" w:type="pct"/>
            <w:vMerge w:val="continue"/>
            <w:vAlign w:val="center"/>
          </w:tcPr>
          <w:p w14:paraId="61394847">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721" w:type="pct"/>
            <w:vMerge w:val="continue"/>
            <w:vAlign w:val="center"/>
          </w:tcPr>
          <w:p w14:paraId="2DB79672">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668" w:type="pct"/>
            <w:vMerge w:val="continue"/>
            <w:vAlign w:val="center"/>
          </w:tcPr>
          <w:p w14:paraId="5ACF909D">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p>
        </w:tc>
        <w:tc>
          <w:tcPr>
            <w:tcW w:w="778" w:type="pct"/>
            <w:vAlign w:val="center"/>
          </w:tcPr>
          <w:p w14:paraId="00FC7AC2">
            <w:pPr>
              <w:adjustRightInd/>
              <w:snapToGrid/>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2类</w:t>
            </w:r>
          </w:p>
        </w:tc>
        <w:tc>
          <w:tcPr>
            <w:tcW w:w="480" w:type="pct"/>
            <w:vAlign w:val="center"/>
          </w:tcPr>
          <w:p w14:paraId="4F33EB46">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r w14:paraId="681F7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89" w:type="pct"/>
            <w:vAlign w:val="center"/>
          </w:tcPr>
          <w:p w14:paraId="3E48A4BD">
            <w:pPr>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313" w:type="pct"/>
            <w:vAlign w:val="center"/>
          </w:tcPr>
          <w:p w14:paraId="6E828CEC">
            <w:pPr>
              <w:adjustRightInd/>
              <w:snapToGrid w:val="0"/>
              <w:spacing w:line="240" w:lineRule="auto"/>
              <w:ind w:left="-72" w:leftChars="-30" w:right="-72" w:rightChars="-30" w:firstLine="0" w:firstLineChars="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斑竹村马鞍桥居民点</w:t>
            </w:r>
          </w:p>
        </w:tc>
        <w:tc>
          <w:tcPr>
            <w:tcW w:w="648" w:type="pct"/>
            <w:vMerge w:val="continue"/>
            <w:vAlign w:val="center"/>
          </w:tcPr>
          <w:p w14:paraId="242AE1B9">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721" w:type="pct"/>
            <w:vMerge w:val="continue"/>
            <w:vAlign w:val="center"/>
          </w:tcPr>
          <w:p w14:paraId="0788E720">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668" w:type="pct"/>
            <w:vMerge w:val="continue"/>
            <w:vAlign w:val="center"/>
          </w:tcPr>
          <w:p w14:paraId="5EA8F3FD">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p>
        </w:tc>
        <w:tc>
          <w:tcPr>
            <w:tcW w:w="778" w:type="pct"/>
            <w:vAlign w:val="center"/>
          </w:tcPr>
          <w:p w14:paraId="44DC5021">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2类</w:t>
            </w:r>
          </w:p>
        </w:tc>
        <w:tc>
          <w:tcPr>
            <w:tcW w:w="480" w:type="pct"/>
            <w:vAlign w:val="center"/>
          </w:tcPr>
          <w:p w14:paraId="549ADE14">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r w14:paraId="18493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89" w:type="pct"/>
            <w:vAlign w:val="center"/>
          </w:tcPr>
          <w:p w14:paraId="083EBF97">
            <w:pPr>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313" w:type="pct"/>
            <w:vAlign w:val="center"/>
          </w:tcPr>
          <w:p w14:paraId="597C4B4E">
            <w:pPr>
              <w:adjustRightInd/>
              <w:snapToGrid w:val="0"/>
              <w:spacing w:line="240" w:lineRule="auto"/>
              <w:ind w:left="-72" w:leftChars="-30" w:right="-72" w:rightChars="-30" w:firstLine="0" w:firstLineChars="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斑竹村石梁子居民点</w:t>
            </w:r>
          </w:p>
        </w:tc>
        <w:tc>
          <w:tcPr>
            <w:tcW w:w="648" w:type="pct"/>
            <w:vMerge w:val="continue"/>
            <w:vAlign w:val="center"/>
          </w:tcPr>
          <w:p w14:paraId="4FDD43F7">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721" w:type="pct"/>
            <w:vMerge w:val="continue"/>
            <w:vAlign w:val="center"/>
          </w:tcPr>
          <w:p w14:paraId="36E80738">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668" w:type="pct"/>
            <w:vMerge w:val="continue"/>
            <w:vAlign w:val="center"/>
          </w:tcPr>
          <w:p w14:paraId="61D4BC6D">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p>
        </w:tc>
        <w:tc>
          <w:tcPr>
            <w:tcW w:w="778" w:type="pct"/>
            <w:vAlign w:val="center"/>
          </w:tcPr>
          <w:p w14:paraId="01293721">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4a</w:t>
            </w:r>
            <w:r>
              <w:rPr>
                <w:rFonts w:hint="eastAsia" w:ascii="Times New Roman" w:hAnsi="Times New Roman" w:eastAsia="宋体" w:cs="Times New Roman"/>
                <w:color w:val="auto"/>
                <w:sz w:val="21"/>
                <w:szCs w:val="21"/>
              </w:rPr>
              <w:t>类</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2类</w:t>
            </w:r>
          </w:p>
        </w:tc>
        <w:tc>
          <w:tcPr>
            <w:tcW w:w="480" w:type="pct"/>
            <w:vAlign w:val="center"/>
          </w:tcPr>
          <w:p w14:paraId="1D91CB76">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r w14:paraId="4E285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89" w:type="pct"/>
            <w:vAlign w:val="center"/>
          </w:tcPr>
          <w:p w14:paraId="6E620703">
            <w:pPr>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313" w:type="pct"/>
            <w:vAlign w:val="center"/>
          </w:tcPr>
          <w:p w14:paraId="41519A16">
            <w:pPr>
              <w:adjustRightInd/>
              <w:snapToGrid w:val="0"/>
              <w:spacing w:line="240" w:lineRule="auto"/>
              <w:ind w:left="-72" w:leftChars="-30" w:right="-72" w:rightChars="-30" w:firstLine="0" w:firstLineChars="0"/>
              <w:jc w:val="center"/>
              <w:rPr>
                <w:rFonts w:hint="eastAsia"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highlight w:val="none"/>
                <w:lang w:val="en-US" w:eastAsia="zh-CN" w:bidi="ar-SA"/>
              </w:rPr>
              <w:t>斑竹村新竹湾居民点</w:t>
            </w:r>
          </w:p>
        </w:tc>
        <w:tc>
          <w:tcPr>
            <w:tcW w:w="648" w:type="pct"/>
            <w:vMerge w:val="continue"/>
            <w:vAlign w:val="center"/>
          </w:tcPr>
          <w:p w14:paraId="340C2756">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721" w:type="pct"/>
            <w:vMerge w:val="continue"/>
            <w:vAlign w:val="center"/>
          </w:tcPr>
          <w:p w14:paraId="32D57C87">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668" w:type="pct"/>
            <w:vMerge w:val="continue"/>
            <w:vAlign w:val="center"/>
          </w:tcPr>
          <w:p w14:paraId="7AD77D8F">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p>
        </w:tc>
        <w:tc>
          <w:tcPr>
            <w:tcW w:w="778" w:type="pct"/>
            <w:vAlign w:val="center"/>
          </w:tcPr>
          <w:p w14:paraId="452084C3">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4a</w:t>
            </w:r>
            <w:r>
              <w:rPr>
                <w:rFonts w:hint="eastAsia" w:ascii="Times New Roman" w:hAnsi="Times New Roman" w:eastAsia="宋体" w:cs="Times New Roman"/>
                <w:color w:val="auto"/>
                <w:sz w:val="21"/>
                <w:szCs w:val="21"/>
              </w:rPr>
              <w:t>类</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2类</w:t>
            </w:r>
          </w:p>
        </w:tc>
        <w:tc>
          <w:tcPr>
            <w:tcW w:w="480" w:type="pct"/>
            <w:vAlign w:val="center"/>
          </w:tcPr>
          <w:p w14:paraId="1AE0EA43">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r w14:paraId="7FF91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89" w:type="pct"/>
            <w:vAlign w:val="center"/>
          </w:tcPr>
          <w:p w14:paraId="260A0CB3">
            <w:pPr>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313" w:type="pct"/>
            <w:vAlign w:val="center"/>
          </w:tcPr>
          <w:p w14:paraId="11CE63BC">
            <w:pPr>
              <w:adjustRightInd/>
              <w:snapToGrid w:val="0"/>
              <w:spacing w:line="240" w:lineRule="auto"/>
              <w:ind w:left="-72" w:leftChars="-30" w:right="-72" w:rightChars="-3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p>
        </w:tc>
        <w:tc>
          <w:tcPr>
            <w:tcW w:w="648" w:type="pct"/>
            <w:vMerge w:val="continue"/>
            <w:vAlign w:val="center"/>
          </w:tcPr>
          <w:p w14:paraId="1E6142FF">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721" w:type="pct"/>
            <w:vMerge w:val="continue"/>
            <w:vAlign w:val="center"/>
          </w:tcPr>
          <w:p w14:paraId="6123D0E4">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668" w:type="pct"/>
            <w:vMerge w:val="continue"/>
            <w:vAlign w:val="center"/>
          </w:tcPr>
          <w:p w14:paraId="46CE6F7E">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p>
        </w:tc>
        <w:tc>
          <w:tcPr>
            <w:tcW w:w="778" w:type="pct"/>
            <w:vAlign w:val="center"/>
          </w:tcPr>
          <w:p w14:paraId="30A59F52">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4a</w:t>
            </w:r>
            <w:r>
              <w:rPr>
                <w:rFonts w:hint="eastAsia" w:ascii="Times New Roman" w:hAnsi="Times New Roman" w:eastAsia="宋体" w:cs="Times New Roman"/>
                <w:color w:val="auto"/>
                <w:sz w:val="21"/>
                <w:szCs w:val="21"/>
              </w:rPr>
              <w:t>类</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2类</w:t>
            </w:r>
          </w:p>
        </w:tc>
        <w:tc>
          <w:tcPr>
            <w:tcW w:w="480" w:type="pct"/>
            <w:vAlign w:val="center"/>
          </w:tcPr>
          <w:p w14:paraId="2BE7FF8B">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r w14:paraId="16916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89" w:type="pct"/>
            <w:vAlign w:val="center"/>
          </w:tcPr>
          <w:p w14:paraId="441EF629">
            <w:pPr>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313" w:type="pct"/>
            <w:vAlign w:val="center"/>
          </w:tcPr>
          <w:p w14:paraId="393EF494">
            <w:pPr>
              <w:adjustRightInd/>
              <w:snapToGrid w:val="0"/>
              <w:spacing w:line="240" w:lineRule="auto"/>
              <w:ind w:left="-72" w:leftChars="-30" w:right="-72" w:rightChars="-3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1#石窝村八角庙居民点</w:t>
            </w:r>
          </w:p>
        </w:tc>
        <w:tc>
          <w:tcPr>
            <w:tcW w:w="648" w:type="pct"/>
            <w:vMerge w:val="continue"/>
            <w:vAlign w:val="center"/>
          </w:tcPr>
          <w:p w14:paraId="011AFF60">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721" w:type="pct"/>
            <w:vMerge w:val="continue"/>
            <w:vAlign w:val="center"/>
          </w:tcPr>
          <w:p w14:paraId="2AFB5957">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668" w:type="pct"/>
            <w:vMerge w:val="continue"/>
            <w:vAlign w:val="center"/>
          </w:tcPr>
          <w:p w14:paraId="21118AC3">
            <w:pPr>
              <w:adjustRightInd/>
              <w:snapToGrid/>
              <w:spacing w:line="240" w:lineRule="auto"/>
              <w:ind w:firstLine="0" w:firstLineChars="0"/>
              <w:jc w:val="center"/>
              <w:rPr>
                <w:rFonts w:ascii="Times New Roman" w:hAnsi="Times New Roman" w:eastAsia="宋体" w:cs="Times New Roman"/>
                <w:color w:val="auto"/>
                <w:sz w:val="21"/>
                <w:szCs w:val="21"/>
                <w:highlight w:val="yellow"/>
              </w:rPr>
            </w:pPr>
          </w:p>
        </w:tc>
        <w:tc>
          <w:tcPr>
            <w:tcW w:w="778" w:type="pct"/>
            <w:vAlign w:val="center"/>
          </w:tcPr>
          <w:p w14:paraId="02FA78C6">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4a</w:t>
            </w:r>
            <w:r>
              <w:rPr>
                <w:rFonts w:hint="eastAsia" w:ascii="Times New Roman" w:hAnsi="Times New Roman" w:eastAsia="宋体" w:cs="Times New Roman"/>
                <w:color w:val="auto"/>
                <w:sz w:val="21"/>
                <w:szCs w:val="21"/>
              </w:rPr>
              <w:t>类</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2类</w:t>
            </w:r>
          </w:p>
        </w:tc>
        <w:tc>
          <w:tcPr>
            <w:tcW w:w="480" w:type="pct"/>
            <w:vAlign w:val="center"/>
          </w:tcPr>
          <w:p w14:paraId="49CB2145">
            <w:pPr>
              <w:adjustRightInd/>
              <w:snapToGrid/>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1F、3F</w:t>
            </w:r>
          </w:p>
        </w:tc>
      </w:tr>
    </w:tbl>
    <w:p w14:paraId="347EAA01">
      <w:pPr>
        <w:pStyle w:val="24"/>
        <w:keepNext w:val="0"/>
        <w:keepLines w:val="0"/>
        <w:pageBreakBefore w:val="0"/>
        <w:widowControl w:val="0"/>
        <w:kinsoku/>
        <w:wordWrap/>
        <w:overflowPunct/>
        <w:topLinePunct w:val="0"/>
        <w:autoSpaceDE/>
        <w:autoSpaceDN/>
        <w:bidi w:val="0"/>
        <w:adjustRightInd w:val="0"/>
        <w:snapToGrid w:val="0"/>
        <w:ind w:left="0" w:leftChars="0" w:firstLine="0" w:firstLineChars="0"/>
        <w:textAlignment w:val="auto"/>
        <w:rPr>
          <w:rFonts w:hint="default" w:ascii="Times New Roman" w:hAnsi="Times New Roman" w:cs="Times New Roman"/>
          <w:color w:val="auto"/>
          <w:szCs w:val="24"/>
        </w:rPr>
      </w:pPr>
    </w:p>
    <w:p w14:paraId="731C95FC">
      <w:pPr>
        <w:pStyle w:val="24"/>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）交通噪声衰减断面</w:t>
      </w:r>
    </w:p>
    <w:p w14:paraId="7449BF6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交通噪声衰减断面监测布点如下表所示，监测布点位置示意图见</w:t>
      </w:r>
      <w:r>
        <w:rPr>
          <w:rFonts w:hint="default" w:ascii="Times New Roman" w:hAnsi="Times New Roman" w:cs="Times New Roman"/>
          <w:color w:val="auto"/>
          <w:szCs w:val="24"/>
          <w:lang w:eastAsia="zh-CN"/>
        </w:rPr>
        <w:fldChar w:fldCharType="begin"/>
      </w:r>
      <w:r>
        <w:rPr>
          <w:rFonts w:hint="default" w:ascii="Times New Roman" w:hAnsi="Times New Roman" w:cs="Times New Roman"/>
          <w:color w:val="auto"/>
          <w:szCs w:val="24"/>
        </w:rPr>
        <w:instrText xml:space="preserve"> REF _Ref140223481 \h </w:instrText>
      </w:r>
      <w:r>
        <w:rPr>
          <w:rFonts w:hint="default" w:ascii="Times New Roman" w:hAnsi="Times New Roman" w:cs="Times New Roman"/>
          <w:color w:val="auto"/>
          <w:szCs w:val="24"/>
          <w:lang w:eastAsia="zh-CN"/>
        </w:rPr>
        <w:instrText xml:space="preserve"> \* MERGEFORMAT </w:instrText>
      </w:r>
      <w:r>
        <w:rPr>
          <w:rFonts w:hint="default" w:ascii="Times New Roman" w:hAnsi="Times New Roman" w:cs="Times New Roman"/>
          <w:color w:val="auto"/>
          <w:szCs w:val="24"/>
          <w:lang w:eastAsia="zh-CN"/>
        </w:rPr>
        <w:fldChar w:fldCharType="separate"/>
      </w:r>
      <w:r>
        <w:rPr>
          <w:rFonts w:hint="default" w:ascii="Times New Roman" w:hAnsi="Times New Roman" w:cs="Times New Roman"/>
          <w:color w:val="auto"/>
          <w:szCs w:val="24"/>
        </w:rPr>
        <w:t>图</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w:instrText>
      </w:r>
      <w:r>
        <w:rPr>
          <w:rFonts w:hint="default"/>
          <w:color w:val="auto"/>
        </w:rPr>
        <w:instrText xml:space="preserve"> 2 \s </w:instrText>
      </w:r>
      <w:r>
        <w:rPr>
          <w:rFonts w:hint="default"/>
          <w:color w:val="auto"/>
        </w:rPr>
        <w:fldChar w:fldCharType="separate"/>
      </w:r>
      <w:r>
        <w:rPr>
          <w:rFonts w:hint="default"/>
          <w:color w:val="auto"/>
        </w:rPr>
        <w:t>6.3</w:t>
      </w:r>
      <w:r>
        <w:rPr>
          <w:rFonts w:hint="default"/>
          <w:color w:val="auto"/>
        </w:rPr>
        <w:fldChar w:fldCharType="end"/>
      </w:r>
      <w:r>
        <w:rPr>
          <w:rFonts w:hint="default"/>
          <w:color w:val="auto"/>
        </w:rPr>
        <w:noBreakHyphen/>
      </w:r>
      <w:r>
        <w:rPr>
          <w:rFonts w:hint="default"/>
          <w:color w:val="auto"/>
        </w:rPr>
        <w:t>1</w:t>
      </w:r>
      <w:r>
        <w:rPr>
          <w:rFonts w:hint="default" w:ascii="Times New Roman" w:hAnsi="Times New Roman" w:cs="Times New Roman"/>
          <w:color w:val="auto"/>
          <w:szCs w:val="24"/>
          <w:lang w:eastAsia="zh-CN"/>
        </w:rPr>
        <w:fldChar w:fldCharType="end"/>
      </w:r>
      <w:r>
        <w:rPr>
          <w:rFonts w:hint="default" w:ascii="Times New Roman" w:hAnsi="Times New Roman" w:cs="Times New Roman"/>
          <w:color w:val="auto"/>
          <w:szCs w:val="24"/>
        </w:rPr>
        <w:t>。</w:t>
      </w:r>
    </w:p>
    <w:p w14:paraId="40200FD2">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rPr>
        <w:t>交通噪声衰减断面监测点位一览表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8"/>
        <w:gridCol w:w="1635"/>
        <w:gridCol w:w="1215"/>
        <w:gridCol w:w="1410"/>
        <w:gridCol w:w="2211"/>
      </w:tblGrid>
      <w:tr w14:paraId="63788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2" w:type="pct"/>
            <w:noWrap w:val="0"/>
            <w:vAlign w:val="center"/>
          </w:tcPr>
          <w:p w14:paraId="6B4BCF83">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监测点位</w:t>
            </w:r>
          </w:p>
        </w:tc>
        <w:tc>
          <w:tcPr>
            <w:tcW w:w="959" w:type="pct"/>
            <w:noWrap w:val="0"/>
            <w:vAlign w:val="center"/>
          </w:tcPr>
          <w:p w14:paraId="040A4DB9">
            <w:pPr>
              <w:pStyle w:val="29"/>
              <w:rPr>
                <w:rFonts w:hint="default" w:ascii="Times New Roman" w:hAnsi="Times New Roman" w:eastAsia="宋体" w:cs="Times New Roman"/>
                <w:b/>
                <w:bCs/>
                <w:color w:val="auto"/>
                <w:sz w:val="21"/>
                <w:szCs w:val="22"/>
                <w:lang w:val="en-US" w:eastAsia="zh-CN"/>
              </w:rPr>
            </w:pPr>
            <w:r>
              <w:rPr>
                <w:rFonts w:hint="eastAsia" w:ascii="Times New Roman" w:hAnsi="Times New Roman" w:eastAsia="宋体" w:cs="Times New Roman"/>
                <w:b/>
                <w:bCs/>
                <w:color w:val="auto"/>
                <w:sz w:val="21"/>
                <w:szCs w:val="22"/>
                <w:lang w:val="en-US" w:eastAsia="zh-CN"/>
              </w:rPr>
              <w:t>监测点位</w:t>
            </w:r>
          </w:p>
        </w:tc>
        <w:tc>
          <w:tcPr>
            <w:tcW w:w="713" w:type="pct"/>
            <w:noWrap w:val="0"/>
            <w:vAlign w:val="center"/>
          </w:tcPr>
          <w:p w14:paraId="44EE9E5B">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监测项目</w:t>
            </w:r>
          </w:p>
        </w:tc>
        <w:tc>
          <w:tcPr>
            <w:tcW w:w="827" w:type="pct"/>
            <w:noWrap w:val="0"/>
            <w:vAlign w:val="center"/>
          </w:tcPr>
          <w:p w14:paraId="21E602F1">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监测频次</w:t>
            </w:r>
          </w:p>
        </w:tc>
        <w:tc>
          <w:tcPr>
            <w:tcW w:w="1297" w:type="pct"/>
            <w:noWrap w:val="0"/>
            <w:vAlign w:val="center"/>
          </w:tcPr>
          <w:p w14:paraId="1D25F14F">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执行标准</w:t>
            </w:r>
          </w:p>
        </w:tc>
      </w:tr>
      <w:tr w14:paraId="680D0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2" w:type="pct"/>
            <w:noWrap w:val="0"/>
            <w:vAlign w:val="center"/>
          </w:tcPr>
          <w:p w14:paraId="7B830DC9">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snapToGrid w:val="0"/>
                <w:color w:val="auto"/>
                <w:kern w:val="0"/>
                <w:sz w:val="21"/>
                <w:szCs w:val="21"/>
                <w:highlight w:val="none"/>
                <w:lang w:val="en-US" w:eastAsia="zh-CN" w:bidi="ar-SA"/>
              </w:rPr>
              <w:t>响水村双龙屋基</w:t>
            </w:r>
            <w:r>
              <w:rPr>
                <w:rFonts w:hint="eastAsia"/>
                <w:b w:val="0"/>
                <w:bCs/>
                <w:color w:val="auto"/>
                <w:szCs w:val="21"/>
                <w:highlight w:val="none"/>
                <w:lang w:val="en-US" w:eastAsia="zh-CN"/>
              </w:rPr>
              <w:t>开阔处</w:t>
            </w:r>
            <w:r>
              <w:rPr>
                <w:rFonts w:hint="eastAsia"/>
                <w:bCs/>
                <w:color w:val="auto"/>
                <w:szCs w:val="21"/>
              </w:rPr>
              <w:t>（</w:t>
            </w:r>
            <w:r>
              <w:rPr>
                <w:rFonts w:hint="eastAsia" w:ascii="Times New Roman" w:hAnsi="Times New Roman" w:eastAsia="宋体" w:cs="Times New Roman"/>
                <w:snapToGrid w:val="0"/>
                <w:color w:val="auto"/>
                <w:kern w:val="0"/>
                <w:sz w:val="21"/>
                <w:szCs w:val="21"/>
                <w:highlight w:val="none"/>
                <w:lang w:val="en-US" w:eastAsia="zh-CN" w:bidi="ar-SA"/>
              </w:rPr>
              <w:t>K73+750</w:t>
            </w:r>
            <w:r>
              <w:rPr>
                <w:rFonts w:hint="eastAsia"/>
                <w:bCs/>
                <w:color w:val="auto"/>
                <w:szCs w:val="21"/>
              </w:rPr>
              <w:t>）</w:t>
            </w:r>
          </w:p>
        </w:tc>
        <w:tc>
          <w:tcPr>
            <w:tcW w:w="959" w:type="pct"/>
            <w:vMerge w:val="restart"/>
            <w:noWrap w:val="0"/>
            <w:vAlign w:val="center"/>
          </w:tcPr>
          <w:p w14:paraId="424D0BD7">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距公路中心线20、40、60、80、120米的交通噪声</w:t>
            </w:r>
          </w:p>
        </w:tc>
        <w:tc>
          <w:tcPr>
            <w:tcW w:w="713" w:type="pct"/>
            <w:vMerge w:val="restart"/>
            <w:noWrap w:val="0"/>
            <w:vAlign w:val="center"/>
          </w:tcPr>
          <w:p w14:paraId="5FB04D3E">
            <w:pPr>
              <w:pStyle w:val="2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昼间</w:t>
            </w:r>
            <w:r>
              <w:rPr>
                <w:rFonts w:hint="eastAsia" w:ascii="Times New Roman" w:hAnsi="Times New Roman" w:eastAsia="宋体" w:cs="Times New Roman"/>
                <w:color w:val="auto"/>
                <w:sz w:val="21"/>
                <w:szCs w:val="22"/>
              </w:rPr>
              <w:t>、夜间</w:t>
            </w:r>
            <w:r>
              <w:rPr>
                <w:rFonts w:hint="default" w:ascii="Times New Roman" w:hAnsi="Times New Roman" w:eastAsia="宋体" w:cs="Times New Roman"/>
                <w:color w:val="auto"/>
                <w:sz w:val="21"/>
                <w:szCs w:val="22"/>
              </w:rPr>
              <w:t>噪声</w:t>
            </w:r>
          </w:p>
        </w:tc>
        <w:tc>
          <w:tcPr>
            <w:tcW w:w="827" w:type="pct"/>
            <w:vMerge w:val="restart"/>
            <w:noWrap w:val="0"/>
            <w:vAlign w:val="center"/>
          </w:tcPr>
          <w:p w14:paraId="184A589A">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监测2d，每天昼间监测2次，夜间监测2次，每次监测20min。</w:t>
            </w:r>
          </w:p>
        </w:tc>
        <w:tc>
          <w:tcPr>
            <w:tcW w:w="1297" w:type="pct"/>
            <w:vMerge w:val="restart"/>
            <w:noWrap w:val="0"/>
            <w:vAlign w:val="center"/>
          </w:tcPr>
          <w:p w14:paraId="7B17AE5F">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《声环境质量标准》（GB3096-2008）</w:t>
            </w:r>
          </w:p>
          <w:p w14:paraId="778C2ABA">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4a类、2类</w:t>
            </w:r>
          </w:p>
        </w:tc>
      </w:tr>
      <w:tr w14:paraId="7AFBB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02" w:type="pct"/>
            <w:noWrap w:val="0"/>
            <w:vAlign w:val="center"/>
          </w:tcPr>
          <w:p w14:paraId="2CE3D6EF">
            <w:pPr>
              <w:pStyle w:val="29"/>
              <w:rPr>
                <w:rFonts w:hint="eastAsia" w:ascii="Times New Roman" w:hAnsi="Times New Roman" w:eastAsia="宋体" w:cs="Times New Roman"/>
                <w:color w:val="auto"/>
                <w:sz w:val="21"/>
                <w:szCs w:val="22"/>
              </w:rPr>
            </w:pPr>
            <w:r>
              <w:rPr>
                <w:rFonts w:hint="eastAsia" w:ascii="Times New Roman" w:hAnsi="Times New Roman" w:eastAsia="宋体" w:cs="Times New Roman"/>
                <w:snapToGrid w:val="0"/>
                <w:color w:val="auto"/>
                <w:kern w:val="0"/>
                <w:sz w:val="21"/>
                <w:szCs w:val="21"/>
                <w:highlight w:val="none"/>
                <w:lang w:val="en-US" w:eastAsia="zh-CN" w:bidi="ar-SA"/>
              </w:rPr>
              <w:t>大田村瓦房沟开阔处</w:t>
            </w:r>
            <w:r>
              <w:rPr>
                <w:rFonts w:hint="eastAsia"/>
                <w:bCs/>
                <w:color w:val="auto"/>
                <w:szCs w:val="21"/>
              </w:rPr>
              <w:t>（</w:t>
            </w:r>
            <w:r>
              <w:rPr>
                <w:rFonts w:hint="eastAsia" w:ascii="Times New Roman" w:hAnsi="Times New Roman" w:eastAsia="宋体" w:cs="Times New Roman"/>
                <w:snapToGrid w:val="0"/>
                <w:color w:val="auto"/>
                <w:kern w:val="0"/>
                <w:sz w:val="21"/>
                <w:szCs w:val="21"/>
                <w:highlight w:val="none"/>
                <w:lang w:val="en-US" w:eastAsia="zh-CN" w:bidi="ar-SA"/>
              </w:rPr>
              <w:t>K76+500</w:t>
            </w:r>
            <w:r>
              <w:rPr>
                <w:rFonts w:hint="eastAsia"/>
                <w:bCs/>
                <w:color w:val="auto"/>
                <w:szCs w:val="21"/>
              </w:rPr>
              <w:t>）</w:t>
            </w:r>
          </w:p>
        </w:tc>
        <w:tc>
          <w:tcPr>
            <w:tcW w:w="959" w:type="pct"/>
            <w:vMerge w:val="continue"/>
            <w:noWrap w:val="0"/>
            <w:vAlign w:val="center"/>
          </w:tcPr>
          <w:p w14:paraId="6DD03CE2">
            <w:pPr>
              <w:pStyle w:val="29"/>
              <w:rPr>
                <w:rFonts w:hint="eastAsia" w:ascii="Times New Roman" w:hAnsi="Times New Roman" w:eastAsia="宋体" w:cs="Times New Roman"/>
                <w:color w:val="auto"/>
                <w:sz w:val="21"/>
                <w:szCs w:val="22"/>
              </w:rPr>
            </w:pPr>
          </w:p>
        </w:tc>
        <w:tc>
          <w:tcPr>
            <w:tcW w:w="713" w:type="pct"/>
            <w:vMerge w:val="continue"/>
            <w:noWrap w:val="0"/>
            <w:vAlign w:val="center"/>
          </w:tcPr>
          <w:p w14:paraId="78E9F250">
            <w:pPr>
              <w:pStyle w:val="29"/>
              <w:rPr>
                <w:rFonts w:hint="default" w:ascii="Times New Roman" w:hAnsi="Times New Roman" w:eastAsia="宋体" w:cs="Times New Roman"/>
                <w:color w:val="auto"/>
                <w:sz w:val="21"/>
                <w:szCs w:val="22"/>
              </w:rPr>
            </w:pPr>
          </w:p>
        </w:tc>
        <w:tc>
          <w:tcPr>
            <w:tcW w:w="827" w:type="pct"/>
            <w:vMerge w:val="continue"/>
            <w:noWrap w:val="0"/>
            <w:vAlign w:val="center"/>
          </w:tcPr>
          <w:p w14:paraId="69607F7B">
            <w:pPr>
              <w:pStyle w:val="29"/>
              <w:rPr>
                <w:rFonts w:hint="eastAsia" w:ascii="Times New Roman" w:hAnsi="Times New Roman" w:eastAsia="宋体" w:cs="Times New Roman"/>
                <w:color w:val="auto"/>
                <w:sz w:val="21"/>
                <w:szCs w:val="22"/>
              </w:rPr>
            </w:pPr>
          </w:p>
        </w:tc>
        <w:tc>
          <w:tcPr>
            <w:tcW w:w="1297" w:type="pct"/>
            <w:vMerge w:val="continue"/>
            <w:noWrap w:val="0"/>
            <w:vAlign w:val="center"/>
          </w:tcPr>
          <w:p w14:paraId="24983C93">
            <w:pPr>
              <w:pStyle w:val="29"/>
              <w:rPr>
                <w:rFonts w:hint="eastAsia" w:ascii="Times New Roman" w:hAnsi="Times New Roman" w:eastAsia="宋体" w:cs="Times New Roman"/>
                <w:color w:val="auto"/>
                <w:sz w:val="21"/>
                <w:szCs w:val="22"/>
              </w:rPr>
            </w:pPr>
          </w:p>
        </w:tc>
      </w:tr>
    </w:tbl>
    <w:p w14:paraId="1CB7F136">
      <w:pPr>
        <w:pStyle w:val="8"/>
        <w:spacing w:before="240"/>
        <w:ind w:firstLine="0" w:firstLineChars="0"/>
        <w:jc w:val="center"/>
        <w:rPr>
          <w:rFonts w:hint="default" w:ascii="Times New Roman" w:hAnsi="Times New Roman" w:cs="Times New Roman"/>
          <w:color w:val="auto"/>
          <w:szCs w:val="24"/>
        </w:rPr>
      </w:pPr>
      <w:r>
        <w:rPr>
          <w:rFonts w:hint="default" w:ascii="Times New Roman" w:hAnsi="Times New Roman" w:cs="Times New Roman"/>
          <w:color w:val="auto"/>
          <w:szCs w:val="24"/>
        </w:rPr>
        <w:drawing>
          <wp:inline distT="0" distB="0" distL="114300" distR="114300">
            <wp:extent cx="3447415" cy="3082290"/>
            <wp:effectExtent l="0" t="0" r="635" b="3810"/>
            <wp:docPr id="41" name="图片 9" descr="QQ图片2020121109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QQ图片20201211094444"/>
                    <pic:cNvPicPr>
                      <a:picLocks noChangeAspect="1"/>
                    </pic:cNvPicPr>
                  </pic:nvPicPr>
                  <pic:blipFill>
                    <a:blip r:embed="rId60"/>
                    <a:stretch>
                      <a:fillRect/>
                    </a:stretch>
                  </pic:blipFill>
                  <pic:spPr>
                    <a:xfrm>
                      <a:off x="0" y="0"/>
                      <a:ext cx="3447415" cy="3082290"/>
                    </a:xfrm>
                    <a:prstGeom prst="rect">
                      <a:avLst/>
                    </a:prstGeom>
                    <a:noFill/>
                    <a:ln>
                      <a:noFill/>
                    </a:ln>
                  </pic:spPr>
                </pic:pic>
              </a:graphicData>
            </a:graphic>
          </wp:inline>
        </w:drawing>
      </w:r>
    </w:p>
    <w:p w14:paraId="556C46FA">
      <w:pPr>
        <w:pStyle w:val="9"/>
        <w:rPr>
          <w:rFonts w:hint="default" w:ascii="Times New Roman" w:hAnsi="Times New Roman" w:cs="Times New Roman"/>
          <w:color w:val="auto"/>
        </w:rPr>
      </w:pPr>
      <w:bookmarkStart w:id="139" w:name="_Ref140223481"/>
      <w:r>
        <w:rPr>
          <w:rFonts w:hint="default" w:ascii="Times New Roman" w:hAnsi="Times New Roman" w:cs="Times New Roman"/>
          <w:color w:val="auto"/>
        </w:rPr>
        <w:t>图</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bookmarkEnd w:id="139"/>
      <w:r>
        <w:rPr>
          <w:rFonts w:hint="eastAsia" w:ascii="Times New Roman" w:hAnsi="Times New Roman" w:eastAsia="宋体" w:cs="Times New Roman"/>
          <w:snapToGrid w:val="0"/>
          <w:color w:val="auto"/>
          <w:kern w:val="0"/>
          <w:sz w:val="21"/>
          <w:szCs w:val="21"/>
          <w:highlight w:val="none"/>
          <w:lang w:val="en-US" w:eastAsia="zh-CN" w:bidi="ar-SA"/>
        </w:rPr>
        <w:t>K73+750</w:t>
      </w:r>
      <w:r>
        <w:rPr>
          <w:rFonts w:hint="eastAsia" w:cs="Times New Roman"/>
          <w:snapToGrid w:val="0"/>
          <w:color w:val="auto"/>
          <w:kern w:val="0"/>
          <w:sz w:val="21"/>
          <w:szCs w:val="21"/>
          <w:highlight w:val="none"/>
          <w:lang w:val="en-US" w:eastAsia="zh-CN" w:bidi="ar-SA"/>
        </w:rPr>
        <w:t>、</w:t>
      </w:r>
      <w:r>
        <w:rPr>
          <w:rFonts w:hint="eastAsia" w:ascii="Times New Roman" w:hAnsi="Times New Roman" w:eastAsia="宋体" w:cs="Times New Roman"/>
          <w:snapToGrid w:val="0"/>
          <w:color w:val="auto"/>
          <w:kern w:val="0"/>
          <w:sz w:val="21"/>
          <w:szCs w:val="21"/>
          <w:highlight w:val="none"/>
          <w:lang w:val="en-US" w:eastAsia="zh-CN" w:bidi="ar-SA"/>
        </w:rPr>
        <w:t>K76+500</w:t>
      </w:r>
      <w:r>
        <w:rPr>
          <w:rFonts w:hint="default" w:ascii="Times New Roman" w:hAnsi="Times New Roman" w:cs="Times New Roman"/>
          <w:color w:val="auto"/>
        </w:rPr>
        <w:t>衰减断面监测布点位置示意图</w:t>
      </w:r>
    </w:p>
    <w:p w14:paraId="5675A3F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（3）交通噪声24小时连续监测</w:t>
      </w:r>
    </w:p>
    <w:p w14:paraId="623F278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交通噪声24小时连续监测断面监测布点如下表所示。</w:t>
      </w:r>
    </w:p>
    <w:p w14:paraId="3821DD31">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rPr>
        <w:t>交通噪声24小时连续监测断面监测点位一览表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9"/>
        <w:gridCol w:w="1595"/>
        <w:gridCol w:w="1982"/>
        <w:gridCol w:w="2663"/>
      </w:tblGrid>
      <w:tr w14:paraId="1ECC4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337" w:type="pct"/>
            <w:noWrap w:val="0"/>
            <w:vAlign w:val="center"/>
          </w:tcPr>
          <w:p w14:paraId="5E20E895">
            <w:pPr>
              <w:pStyle w:val="2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监测点位</w:t>
            </w:r>
          </w:p>
        </w:tc>
        <w:tc>
          <w:tcPr>
            <w:tcW w:w="936" w:type="pct"/>
            <w:noWrap w:val="0"/>
            <w:vAlign w:val="center"/>
          </w:tcPr>
          <w:p w14:paraId="3ACD68D7">
            <w:pPr>
              <w:pStyle w:val="2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监测项目</w:t>
            </w:r>
          </w:p>
        </w:tc>
        <w:tc>
          <w:tcPr>
            <w:tcW w:w="1163" w:type="pct"/>
            <w:noWrap w:val="0"/>
            <w:vAlign w:val="center"/>
          </w:tcPr>
          <w:p w14:paraId="2B480A0F">
            <w:pPr>
              <w:pStyle w:val="2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监测频次</w:t>
            </w:r>
          </w:p>
        </w:tc>
        <w:tc>
          <w:tcPr>
            <w:tcW w:w="1562" w:type="pct"/>
            <w:noWrap w:val="0"/>
            <w:vAlign w:val="center"/>
          </w:tcPr>
          <w:p w14:paraId="11B26D5C">
            <w:pPr>
              <w:pStyle w:val="2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执行标准</w:t>
            </w:r>
          </w:p>
        </w:tc>
      </w:tr>
      <w:tr w14:paraId="52144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337" w:type="pct"/>
            <w:noWrap w:val="0"/>
            <w:vAlign w:val="center"/>
          </w:tcPr>
          <w:p w14:paraId="748A1E3D">
            <w:pPr>
              <w:pStyle w:val="29"/>
              <w:rPr>
                <w:rFonts w:hint="default" w:ascii="Times New Roman" w:hAnsi="Times New Roman" w:eastAsia="宋体" w:cs="Times New Roman"/>
                <w:color w:val="auto"/>
                <w:sz w:val="21"/>
                <w:szCs w:val="22"/>
              </w:rPr>
            </w:pPr>
            <w:r>
              <w:rPr>
                <w:rFonts w:hint="eastAsia"/>
                <w:b w:val="0"/>
                <w:bCs/>
                <w:color w:val="auto"/>
                <w:szCs w:val="21"/>
                <w:highlight w:val="none"/>
                <w:lang w:val="en-US" w:eastAsia="zh-CN"/>
              </w:rPr>
              <w:t>桂花村官山梁子</w:t>
            </w:r>
            <w:r>
              <w:rPr>
                <w:rFonts w:hint="eastAsia" w:ascii="Times New Roman" w:hAnsi="Times New Roman" w:eastAsia="宋体" w:cs="Times New Roman"/>
                <w:snapToGrid w:val="0"/>
                <w:color w:val="auto"/>
                <w:kern w:val="0"/>
                <w:sz w:val="21"/>
                <w:szCs w:val="21"/>
                <w:highlight w:val="none"/>
                <w:lang w:val="en-US" w:eastAsia="zh-CN" w:bidi="ar-SA"/>
              </w:rPr>
              <w:t>K69+870</w:t>
            </w:r>
          </w:p>
        </w:tc>
        <w:tc>
          <w:tcPr>
            <w:tcW w:w="936" w:type="pct"/>
            <w:noWrap w:val="0"/>
            <w:vAlign w:val="center"/>
          </w:tcPr>
          <w:p w14:paraId="36FA6EEC">
            <w:pPr>
              <w:pStyle w:val="29"/>
              <w:rPr>
                <w:rFonts w:hint="default" w:ascii="Times New Roman" w:hAnsi="Times New Roman" w:eastAsia="宋体" w:cs="Times New Roman"/>
                <w:color w:val="auto"/>
                <w:sz w:val="21"/>
                <w:szCs w:val="22"/>
              </w:rPr>
            </w:pPr>
            <w:r>
              <w:rPr>
                <w:rFonts w:hint="default" w:ascii="Times New Roman" w:hAnsi="Times New Roman" w:eastAsia="宋体" w:cs="Times New Roman"/>
                <w:color w:val="auto"/>
                <w:sz w:val="21"/>
                <w:szCs w:val="22"/>
              </w:rPr>
              <w:t>昼间</w:t>
            </w:r>
            <w:r>
              <w:rPr>
                <w:rFonts w:hint="eastAsia" w:ascii="Times New Roman" w:hAnsi="Times New Roman" w:eastAsia="宋体" w:cs="Times New Roman"/>
                <w:color w:val="auto"/>
                <w:sz w:val="21"/>
                <w:szCs w:val="22"/>
              </w:rPr>
              <w:t>、夜间</w:t>
            </w:r>
            <w:r>
              <w:rPr>
                <w:rFonts w:hint="default" w:ascii="Times New Roman" w:hAnsi="Times New Roman" w:eastAsia="宋体" w:cs="Times New Roman"/>
                <w:color w:val="auto"/>
                <w:sz w:val="21"/>
                <w:szCs w:val="22"/>
              </w:rPr>
              <w:t>噪声</w:t>
            </w:r>
          </w:p>
        </w:tc>
        <w:tc>
          <w:tcPr>
            <w:tcW w:w="1163" w:type="pct"/>
            <w:noWrap w:val="0"/>
            <w:vAlign w:val="center"/>
          </w:tcPr>
          <w:p w14:paraId="7FBEDCEE">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24h连续监测，监测1d</w:t>
            </w:r>
          </w:p>
        </w:tc>
        <w:tc>
          <w:tcPr>
            <w:tcW w:w="1562" w:type="pct"/>
            <w:noWrap w:val="0"/>
            <w:vAlign w:val="center"/>
          </w:tcPr>
          <w:p w14:paraId="69E6FA1A">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《声环境质量标准》（GB3096-2008）</w:t>
            </w:r>
          </w:p>
          <w:p w14:paraId="18A5E698">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4a类</w:t>
            </w:r>
          </w:p>
        </w:tc>
      </w:tr>
    </w:tbl>
    <w:p w14:paraId="14B829B5">
      <w:pPr>
        <w:pStyle w:val="24"/>
        <w:spacing w:before="240"/>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）声屏障降噪效果</w:t>
      </w:r>
    </w:p>
    <w:p w14:paraId="3C021E9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声屏障降噪效果监测布点如下表所示。</w:t>
      </w:r>
    </w:p>
    <w:p w14:paraId="2FC9EE0C">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rPr>
        <w:fldChar w:fldCharType="end"/>
      </w:r>
      <w:r>
        <w:rPr>
          <w:rFonts w:hint="default" w:ascii="Times New Roman" w:hAnsi="Times New Roman" w:cs="Times New Roman"/>
          <w:color w:val="auto"/>
        </w:rPr>
        <w:t>声屏障降噪效果监测断面监测点位一览表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1763"/>
        <w:gridCol w:w="1521"/>
        <w:gridCol w:w="1175"/>
        <w:gridCol w:w="1465"/>
        <w:gridCol w:w="1839"/>
      </w:tblGrid>
      <w:tr w14:paraId="74C71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487" w:type="pct"/>
            <w:gridSpan w:val="2"/>
            <w:noWrap w:val="0"/>
            <w:vAlign w:val="center"/>
          </w:tcPr>
          <w:p w14:paraId="1102F712">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点位</w:t>
            </w:r>
          </w:p>
        </w:tc>
        <w:tc>
          <w:tcPr>
            <w:tcW w:w="897" w:type="pct"/>
            <w:noWrap w:val="0"/>
            <w:vAlign w:val="center"/>
          </w:tcPr>
          <w:p w14:paraId="5CB571C2">
            <w:pPr>
              <w:pStyle w:val="29"/>
              <w:rPr>
                <w:rFonts w:hint="default" w:ascii="Times New Roman" w:hAnsi="Times New Roman" w:eastAsia="宋体" w:cs="Times New Roman"/>
                <w:b/>
                <w:bCs/>
                <w:color w:val="auto"/>
                <w:sz w:val="21"/>
                <w:szCs w:val="22"/>
                <w:lang w:val="en-US" w:eastAsia="zh-CN"/>
              </w:rPr>
            </w:pPr>
            <w:r>
              <w:rPr>
                <w:rFonts w:hint="eastAsia" w:ascii="Times New Roman" w:hAnsi="Times New Roman" w:eastAsia="宋体" w:cs="Times New Roman"/>
                <w:b/>
                <w:bCs/>
                <w:color w:val="auto"/>
                <w:sz w:val="21"/>
                <w:szCs w:val="22"/>
                <w:lang w:val="en-US" w:eastAsia="zh-CN"/>
              </w:rPr>
              <w:t>监测位置</w:t>
            </w:r>
          </w:p>
        </w:tc>
        <w:tc>
          <w:tcPr>
            <w:tcW w:w="694" w:type="pct"/>
            <w:noWrap w:val="0"/>
            <w:vAlign w:val="center"/>
          </w:tcPr>
          <w:p w14:paraId="00AAB583">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监测项目</w:t>
            </w:r>
          </w:p>
        </w:tc>
        <w:tc>
          <w:tcPr>
            <w:tcW w:w="864" w:type="pct"/>
            <w:noWrap w:val="0"/>
            <w:vAlign w:val="center"/>
          </w:tcPr>
          <w:p w14:paraId="2AFEF36C">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监测频次</w:t>
            </w:r>
          </w:p>
        </w:tc>
        <w:tc>
          <w:tcPr>
            <w:tcW w:w="1055" w:type="pct"/>
            <w:noWrap w:val="0"/>
            <w:vAlign w:val="center"/>
          </w:tcPr>
          <w:p w14:paraId="58791323">
            <w:pPr>
              <w:pStyle w:val="29"/>
              <w:rPr>
                <w:rFonts w:hint="default" w:ascii="Times New Roman" w:hAnsi="Times New Roman" w:eastAsia="宋体" w:cs="Times New Roman"/>
                <w:b/>
                <w:bCs/>
                <w:color w:val="auto"/>
                <w:sz w:val="21"/>
                <w:szCs w:val="22"/>
              </w:rPr>
            </w:pPr>
            <w:r>
              <w:rPr>
                <w:rFonts w:hint="default" w:ascii="Times New Roman" w:hAnsi="Times New Roman" w:eastAsia="宋体" w:cs="Times New Roman"/>
                <w:b/>
                <w:bCs/>
                <w:color w:val="auto"/>
                <w:sz w:val="21"/>
                <w:szCs w:val="22"/>
              </w:rPr>
              <w:t>执行标准</w:t>
            </w:r>
          </w:p>
        </w:tc>
      </w:tr>
      <w:tr w14:paraId="6A7AD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8" w:type="pct"/>
            <w:noWrap w:val="0"/>
            <w:vAlign w:val="center"/>
          </w:tcPr>
          <w:p w14:paraId="52484440">
            <w:pPr>
              <w:pStyle w:val="29"/>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监测点位</w:t>
            </w:r>
          </w:p>
        </w:tc>
        <w:tc>
          <w:tcPr>
            <w:tcW w:w="1038" w:type="pct"/>
            <w:noWrap w:val="0"/>
            <w:vAlign w:val="center"/>
          </w:tcPr>
          <w:p w14:paraId="70D6F43D">
            <w:pPr>
              <w:pStyle w:val="29"/>
              <w:rPr>
                <w:rFonts w:hint="eastAsia"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highlight w:val="none"/>
                <w:lang w:val="en-US" w:eastAsia="zh-CN"/>
              </w:rPr>
              <w:t>斑竹村卢家院子</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K77+000</w:t>
            </w:r>
            <w:r>
              <w:rPr>
                <w:rFonts w:hint="eastAsia" w:ascii="Times New Roman" w:hAnsi="Times New Roman" w:eastAsia="宋体" w:cs="Times New Roman"/>
                <w:color w:val="auto"/>
                <w:highlight w:val="none"/>
                <w:lang w:val="en-US" w:eastAsia="zh-CN"/>
              </w:rPr>
              <w:t>）</w:t>
            </w:r>
          </w:p>
        </w:tc>
        <w:tc>
          <w:tcPr>
            <w:tcW w:w="897" w:type="pct"/>
            <w:noWrap w:val="0"/>
            <w:vAlign w:val="center"/>
          </w:tcPr>
          <w:p w14:paraId="216C4EED">
            <w:pPr>
              <w:pStyle w:val="29"/>
              <w:rPr>
                <w:rFonts w:hint="eastAsia"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声屏障后10m、20m、30m、40m</w:t>
            </w:r>
          </w:p>
        </w:tc>
        <w:tc>
          <w:tcPr>
            <w:tcW w:w="694" w:type="pct"/>
            <w:vMerge w:val="restart"/>
            <w:noWrap w:val="0"/>
            <w:vAlign w:val="center"/>
          </w:tcPr>
          <w:p w14:paraId="6A281BE2">
            <w:pPr>
              <w:pStyle w:val="29"/>
              <w:rPr>
                <w:rFonts w:hint="eastAsia"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rPr>
              <w:t>昼间</w:t>
            </w:r>
            <w:r>
              <w:rPr>
                <w:rFonts w:hint="eastAsia" w:ascii="Times New Roman" w:hAnsi="Times New Roman" w:eastAsia="宋体" w:cs="Times New Roman"/>
                <w:color w:val="auto"/>
                <w:sz w:val="21"/>
                <w:szCs w:val="22"/>
              </w:rPr>
              <w:t>、夜间</w:t>
            </w:r>
            <w:r>
              <w:rPr>
                <w:rFonts w:hint="default" w:ascii="Times New Roman" w:hAnsi="Times New Roman" w:eastAsia="宋体" w:cs="Times New Roman"/>
                <w:color w:val="auto"/>
                <w:sz w:val="21"/>
                <w:szCs w:val="22"/>
              </w:rPr>
              <w:t>噪声</w:t>
            </w:r>
          </w:p>
        </w:tc>
        <w:tc>
          <w:tcPr>
            <w:tcW w:w="864" w:type="pct"/>
            <w:vMerge w:val="restart"/>
            <w:noWrap w:val="0"/>
            <w:vAlign w:val="center"/>
          </w:tcPr>
          <w:p w14:paraId="6D51F909">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每天4次（昼间2次、夜间2次），连续2天，每次20min</w:t>
            </w:r>
          </w:p>
        </w:tc>
        <w:tc>
          <w:tcPr>
            <w:tcW w:w="1055" w:type="pct"/>
            <w:vMerge w:val="restart"/>
            <w:noWrap w:val="0"/>
            <w:vAlign w:val="center"/>
          </w:tcPr>
          <w:p w14:paraId="4B51AF83">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《声环境质量标准》（GB3096-2008）</w:t>
            </w:r>
          </w:p>
          <w:p w14:paraId="24EFF362">
            <w:pPr>
              <w:pStyle w:val="29"/>
              <w:rPr>
                <w:rFonts w:hint="default" w:ascii="Times New Roman" w:hAnsi="Times New Roman" w:eastAsia="宋体" w:cs="Times New Roman"/>
                <w:color w:val="auto"/>
                <w:sz w:val="21"/>
                <w:szCs w:val="22"/>
              </w:rPr>
            </w:pPr>
            <w:r>
              <w:rPr>
                <w:rFonts w:hint="eastAsia" w:ascii="Times New Roman" w:hAnsi="Times New Roman" w:eastAsia="宋体" w:cs="Times New Roman"/>
                <w:color w:val="auto"/>
                <w:sz w:val="21"/>
                <w:szCs w:val="22"/>
              </w:rPr>
              <w:t>4a类、2类</w:t>
            </w:r>
          </w:p>
        </w:tc>
      </w:tr>
      <w:tr w14:paraId="6A9AC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448" w:type="pct"/>
            <w:noWrap w:val="0"/>
            <w:vAlign w:val="center"/>
          </w:tcPr>
          <w:p w14:paraId="617D82C8">
            <w:pPr>
              <w:pStyle w:val="29"/>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对照点位</w:t>
            </w:r>
          </w:p>
        </w:tc>
        <w:tc>
          <w:tcPr>
            <w:tcW w:w="1038" w:type="pct"/>
            <w:noWrap w:val="0"/>
            <w:vAlign w:val="center"/>
          </w:tcPr>
          <w:p w14:paraId="3DF6FCF8">
            <w:pPr>
              <w:pStyle w:val="29"/>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highlight w:val="none"/>
                <w:lang w:val="en-US" w:eastAsia="zh-CN"/>
              </w:rPr>
              <w:t>斑竹村卢家院子</w:t>
            </w:r>
            <w:r>
              <w:rPr>
                <w:rFonts w:hint="eastAsia"/>
                <w:bCs/>
                <w:color w:val="auto"/>
                <w:szCs w:val="21"/>
                <w:lang w:val="en-US" w:eastAsia="zh-CN"/>
              </w:rPr>
              <w:t>外开阔无声屏障处</w:t>
            </w:r>
          </w:p>
        </w:tc>
        <w:tc>
          <w:tcPr>
            <w:tcW w:w="897" w:type="pct"/>
            <w:noWrap w:val="0"/>
            <w:vAlign w:val="center"/>
          </w:tcPr>
          <w:p w14:paraId="220499D7">
            <w:pPr>
              <w:pStyle w:val="29"/>
              <w:rPr>
                <w:rFonts w:hint="eastAsia"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路肩外10m、20m、30m、40m</w:t>
            </w:r>
          </w:p>
        </w:tc>
        <w:tc>
          <w:tcPr>
            <w:tcW w:w="694" w:type="pct"/>
            <w:vMerge w:val="continue"/>
            <w:noWrap w:val="0"/>
            <w:vAlign w:val="center"/>
          </w:tcPr>
          <w:p w14:paraId="605AE0C2">
            <w:pPr>
              <w:snapToGrid w:val="0"/>
              <w:jc w:val="center"/>
              <w:rPr>
                <w:color w:val="auto"/>
                <w:szCs w:val="21"/>
              </w:rPr>
            </w:pPr>
          </w:p>
        </w:tc>
        <w:tc>
          <w:tcPr>
            <w:tcW w:w="864" w:type="pct"/>
            <w:vMerge w:val="continue"/>
            <w:noWrap w:val="0"/>
            <w:vAlign w:val="center"/>
          </w:tcPr>
          <w:p w14:paraId="44CA4082">
            <w:pPr>
              <w:jc w:val="center"/>
              <w:rPr>
                <w:rFonts w:hint="eastAsia"/>
                <w:color w:val="auto"/>
                <w:szCs w:val="21"/>
              </w:rPr>
            </w:pPr>
          </w:p>
        </w:tc>
        <w:tc>
          <w:tcPr>
            <w:tcW w:w="1055" w:type="pct"/>
            <w:vMerge w:val="continue"/>
            <w:noWrap w:val="0"/>
            <w:vAlign w:val="center"/>
          </w:tcPr>
          <w:p w14:paraId="303DA049">
            <w:pPr>
              <w:snapToGrid w:val="0"/>
              <w:jc w:val="center"/>
              <w:rPr>
                <w:rFonts w:hint="eastAsia"/>
                <w:b/>
                <w:color w:val="auto"/>
                <w:szCs w:val="21"/>
              </w:rPr>
            </w:pPr>
          </w:p>
        </w:tc>
      </w:tr>
    </w:tbl>
    <w:p w14:paraId="7BAD1F88">
      <w:pPr>
        <w:pStyle w:val="24"/>
        <w:ind w:firstLine="0" w:firstLineChars="0"/>
        <w:jc w:val="center"/>
        <w:rPr>
          <w:rFonts w:hint="default" w:ascii="Times New Roman" w:hAnsi="Times New Roman" w:cs="Times New Roman"/>
          <w:color w:val="auto"/>
          <w:szCs w:val="24"/>
        </w:rPr>
      </w:pPr>
      <w:r>
        <w:rPr>
          <w:rFonts w:hint="default" w:ascii="Times New Roman" w:hAnsi="Times New Roman" w:cs="Times New Roman"/>
          <w:color w:val="auto"/>
          <w:szCs w:val="24"/>
        </w:rPr>
        <w:drawing>
          <wp:inline distT="0" distB="0" distL="114300" distR="114300">
            <wp:extent cx="5209540" cy="2667000"/>
            <wp:effectExtent l="0" t="0" r="10160" b="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61"/>
                    <a:stretch>
                      <a:fillRect/>
                    </a:stretch>
                  </pic:blipFill>
                  <pic:spPr>
                    <a:xfrm>
                      <a:off x="0" y="0"/>
                      <a:ext cx="5209540" cy="2667000"/>
                    </a:xfrm>
                    <a:prstGeom prst="rect">
                      <a:avLst/>
                    </a:prstGeom>
                    <a:noFill/>
                    <a:ln>
                      <a:noFill/>
                    </a:ln>
                  </pic:spPr>
                </pic:pic>
              </a:graphicData>
            </a:graphic>
          </wp:inline>
        </w:drawing>
      </w:r>
    </w:p>
    <w:p w14:paraId="2F0C0A2D">
      <w:pPr>
        <w:pStyle w:val="9"/>
        <w:rPr>
          <w:rFonts w:hint="default" w:ascii="Times New Roman" w:hAnsi="Times New Roman" w:cs="Times New Roman"/>
          <w:color w:val="auto"/>
        </w:rPr>
      </w:pPr>
      <w:r>
        <w:rPr>
          <w:rFonts w:hint="default" w:ascii="Times New Roman" w:hAnsi="Times New Roman" w:cs="Times New Roman"/>
          <w:color w:val="auto"/>
        </w:rPr>
        <w:t>图</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rPr>
        <w:t>声屏障降噪效果监测断面监测点位示意图</w:t>
      </w:r>
    </w:p>
    <w:p w14:paraId="55D05AA1">
      <w:pPr>
        <w:pStyle w:val="28"/>
        <w:numPr>
          <w:ilvl w:val="0"/>
          <w:numId w:val="0"/>
        </w:numPr>
        <w:ind w:left="0" w:leftChars="0" w:firstLine="0" w:firstLineChars="0"/>
        <w:rPr>
          <w:rFonts w:hint="default" w:ascii="Times New Roman" w:hAnsi="Times New Roman" w:cs="Times New Roman"/>
          <w:color w:val="auto"/>
        </w:rPr>
      </w:pPr>
      <w:bookmarkStart w:id="140" w:name="_Toc29826"/>
      <w:bookmarkStart w:id="141" w:name="_Toc419186420"/>
      <w:r>
        <w:rPr>
          <w:rFonts w:hint="default" w:ascii="Times New Roman" w:hAnsi="Times New Roman" w:eastAsia="宋体" w:cs="Times New Roman"/>
          <w:b/>
          <w:snapToGrid w:val="0"/>
          <w:color w:val="auto"/>
          <w:spacing w:val="0"/>
          <w:kern w:val="0"/>
          <w:sz w:val="28"/>
          <w:szCs w:val="28"/>
          <w:lang w:val="en-US" w:eastAsia="zh-CN" w:bidi="ar-SA"/>
        </w:rPr>
        <w:t>6.3.3.3</w:t>
      </w:r>
      <w:r>
        <w:rPr>
          <w:rFonts w:hint="default" w:ascii="Times New Roman" w:hAnsi="Times New Roman" w:cs="Times New Roman"/>
          <w:color w:val="auto"/>
        </w:rPr>
        <w:t>监测内容与频次</w:t>
      </w:r>
      <w:bookmarkEnd w:id="140"/>
      <w:bookmarkEnd w:id="141"/>
    </w:p>
    <w:p w14:paraId="4C2B759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）一般噪声敏感点</w:t>
      </w:r>
    </w:p>
    <w:p w14:paraId="2BB1F16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在临路第一排住宅或最近户窗外1m处设测点，每天监测4次</w:t>
      </w:r>
      <w:r>
        <w:rPr>
          <w:rFonts w:hint="eastAsia" w:cs="Times New Roman"/>
          <w:color w:val="auto"/>
          <w:szCs w:val="24"/>
          <w:lang w:eastAsia="zh-CN"/>
        </w:rPr>
        <w:t>（</w:t>
      </w:r>
      <w:r>
        <w:rPr>
          <w:rFonts w:hint="default" w:ascii="Times New Roman" w:hAnsi="Times New Roman" w:cs="Times New Roman"/>
          <w:color w:val="auto"/>
          <w:szCs w:val="24"/>
        </w:rPr>
        <w:t>白天2次6</w:t>
      </w:r>
      <w:r>
        <w:rPr>
          <w:rFonts w:hint="eastAsia" w:cs="Times New Roman"/>
          <w:color w:val="auto"/>
          <w:szCs w:val="24"/>
          <w:lang w:eastAsia="zh-CN"/>
        </w:rPr>
        <w:t>:</w:t>
      </w:r>
      <w:r>
        <w:rPr>
          <w:rFonts w:hint="default" w:ascii="Times New Roman" w:hAnsi="Times New Roman" w:cs="Times New Roman"/>
          <w:color w:val="auto"/>
          <w:szCs w:val="24"/>
        </w:rPr>
        <w:t>00～22</w:t>
      </w:r>
      <w:r>
        <w:rPr>
          <w:rFonts w:hint="eastAsia" w:cs="Times New Roman"/>
          <w:color w:val="auto"/>
          <w:szCs w:val="24"/>
          <w:lang w:eastAsia="zh-CN"/>
        </w:rPr>
        <w:t>:</w:t>
      </w:r>
      <w:r>
        <w:rPr>
          <w:rFonts w:hint="default" w:ascii="Times New Roman" w:hAnsi="Times New Roman" w:cs="Times New Roman"/>
          <w:color w:val="auto"/>
          <w:szCs w:val="24"/>
        </w:rPr>
        <w:t>00，上午一次，下午一次；夜间2次22</w:t>
      </w:r>
      <w:r>
        <w:rPr>
          <w:rFonts w:hint="eastAsia" w:cs="Times New Roman"/>
          <w:color w:val="auto"/>
          <w:szCs w:val="24"/>
          <w:lang w:eastAsia="zh-CN"/>
        </w:rPr>
        <w:t>:</w:t>
      </w:r>
      <w:r>
        <w:rPr>
          <w:rFonts w:hint="default" w:ascii="Times New Roman" w:hAnsi="Times New Roman" w:cs="Times New Roman"/>
          <w:color w:val="auto"/>
          <w:szCs w:val="24"/>
        </w:rPr>
        <w:t>00～次日2</w:t>
      </w:r>
      <w:r>
        <w:rPr>
          <w:rFonts w:hint="eastAsia" w:cs="Times New Roman"/>
          <w:color w:val="auto"/>
          <w:szCs w:val="24"/>
          <w:lang w:eastAsia="zh-CN"/>
        </w:rPr>
        <w:t>:</w:t>
      </w:r>
      <w:r>
        <w:rPr>
          <w:rFonts w:hint="default" w:ascii="Times New Roman" w:hAnsi="Times New Roman" w:cs="Times New Roman"/>
          <w:color w:val="auto"/>
          <w:szCs w:val="24"/>
        </w:rPr>
        <w:t>00，次日2</w:t>
      </w:r>
      <w:r>
        <w:rPr>
          <w:rFonts w:hint="eastAsia" w:cs="Times New Roman"/>
          <w:color w:val="auto"/>
          <w:szCs w:val="24"/>
          <w:lang w:eastAsia="zh-CN"/>
        </w:rPr>
        <w:t>:</w:t>
      </w:r>
      <w:r>
        <w:rPr>
          <w:rFonts w:hint="default" w:ascii="Times New Roman" w:hAnsi="Times New Roman" w:cs="Times New Roman"/>
          <w:color w:val="auto"/>
          <w:szCs w:val="24"/>
        </w:rPr>
        <w:t>00～6</w:t>
      </w:r>
      <w:r>
        <w:rPr>
          <w:rFonts w:hint="eastAsia" w:cs="Times New Roman"/>
          <w:color w:val="auto"/>
          <w:szCs w:val="24"/>
          <w:lang w:eastAsia="zh-CN"/>
        </w:rPr>
        <w:t>:</w:t>
      </w:r>
      <w:r>
        <w:rPr>
          <w:rFonts w:hint="default" w:ascii="Times New Roman" w:hAnsi="Times New Roman" w:cs="Times New Roman"/>
          <w:color w:val="auto"/>
          <w:szCs w:val="24"/>
        </w:rPr>
        <w:t>00</w:t>
      </w:r>
      <w:r>
        <w:rPr>
          <w:rFonts w:hint="eastAsia" w:cs="Times New Roman"/>
          <w:color w:val="auto"/>
          <w:szCs w:val="24"/>
          <w:lang w:eastAsia="zh-CN"/>
        </w:rPr>
        <w:t>）</w:t>
      </w:r>
      <w:r>
        <w:rPr>
          <w:rFonts w:hint="default" w:ascii="Times New Roman" w:hAnsi="Times New Roman" w:cs="Times New Roman"/>
          <w:color w:val="auto"/>
          <w:szCs w:val="24"/>
        </w:rPr>
        <w:t>，每次监测20min，连续监测2天。同时在监测期间按大、中、小车型等不同类型记录双向车流量。</w:t>
      </w:r>
    </w:p>
    <w:p w14:paraId="0258B51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）衰减断面</w:t>
      </w:r>
    </w:p>
    <w:p w14:paraId="0E4EBA7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每天监测4次</w:t>
      </w:r>
      <w:r>
        <w:rPr>
          <w:rFonts w:hint="eastAsia" w:cs="Times New Roman"/>
          <w:color w:val="auto"/>
          <w:szCs w:val="24"/>
          <w:lang w:eastAsia="zh-CN"/>
        </w:rPr>
        <w:t>（</w:t>
      </w:r>
      <w:r>
        <w:rPr>
          <w:rFonts w:hint="default" w:ascii="Times New Roman" w:hAnsi="Times New Roman" w:cs="Times New Roman"/>
          <w:color w:val="auto"/>
          <w:szCs w:val="24"/>
        </w:rPr>
        <w:t>白天2次6</w:t>
      </w:r>
      <w:r>
        <w:rPr>
          <w:rFonts w:hint="eastAsia" w:cs="Times New Roman"/>
          <w:color w:val="auto"/>
          <w:szCs w:val="24"/>
          <w:lang w:eastAsia="zh-CN"/>
        </w:rPr>
        <w:t>:</w:t>
      </w:r>
      <w:r>
        <w:rPr>
          <w:rFonts w:hint="default" w:ascii="Times New Roman" w:hAnsi="Times New Roman" w:cs="Times New Roman"/>
          <w:color w:val="auto"/>
          <w:szCs w:val="24"/>
        </w:rPr>
        <w:t>00～22</w:t>
      </w:r>
      <w:r>
        <w:rPr>
          <w:rFonts w:hint="eastAsia" w:cs="Times New Roman"/>
          <w:color w:val="auto"/>
          <w:szCs w:val="24"/>
          <w:lang w:eastAsia="zh-CN"/>
        </w:rPr>
        <w:t>:</w:t>
      </w:r>
      <w:r>
        <w:rPr>
          <w:rFonts w:hint="default" w:ascii="Times New Roman" w:hAnsi="Times New Roman" w:cs="Times New Roman"/>
          <w:color w:val="auto"/>
          <w:szCs w:val="24"/>
        </w:rPr>
        <w:t>00，上午一次，下午一次；夜间2次22</w:t>
      </w:r>
      <w:r>
        <w:rPr>
          <w:rFonts w:hint="eastAsia" w:cs="Times New Roman"/>
          <w:color w:val="auto"/>
          <w:szCs w:val="24"/>
          <w:lang w:eastAsia="zh-CN"/>
        </w:rPr>
        <w:t>:</w:t>
      </w:r>
      <w:r>
        <w:rPr>
          <w:rFonts w:hint="default" w:ascii="Times New Roman" w:hAnsi="Times New Roman" w:cs="Times New Roman"/>
          <w:color w:val="auto"/>
          <w:szCs w:val="24"/>
        </w:rPr>
        <w:t>00～次日2</w:t>
      </w:r>
      <w:r>
        <w:rPr>
          <w:rFonts w:hint="eastAsia" w:cs="Times New Roman"/>
          <w:color w:val="auto"/>
          <w:szCs w:val="24"/>
          <w:lang w:eastAsia="zh-CN"/>
        </w:rPr>
        <w:t>:</w:t>
      </w:r>
      <w:r>
        <w:rPr>
          <w:rFonts w:hint="default" w:ascii="Times New Roman" w:hAnsi="Times New Roman" w:cs="Times New Roman"/>
          <w:color w:val="auto"/>
          <w:szCs w:val="24"/>
        </w:rPr>
        <w:t>00，次日2</w:t>
      </w:r>
      <w:r>
        <w:rPr>
          <w:rFonts w:hint="eastAsia" w:cs="Times New Roman"/>
          <w:color w:val="auto"/>
          <w:szCs w:val="24"/>
          <w:lang w:eastAsia="zh-CN"/>
        </w:rPr>
        <w:t>:</w:t>
      </w:r>
      <w:r>
        <w:rPr>
          <w:rFonts w:hint="default" w:ascii="Times New Roman" w:hAnsi="Times New Roman" w:cs="Times New Roman"/>
          <w:color w:val="auto"/>
          <w:szCs w:val="24"/>
        </w:rPr>
        <w:t>00～6</w:t>
      </w:r>
      <w:r>
        <w:rPr>
          <w:rFonts w:hint="eastAsia" w:cs="Times New Roman"/>
          <w:color w:val="auto"/>
          <w:szCs w:val="24"/>
          <w:lang w:eastAsia="zh-CN"/>
        </w:rPr>
        <w:t>:</w:t>
      </w:r>
      <w:r>
        <w:rPr>
          <w:rFonts w:hint="default" w:ascii="Times New Roman" w:hAnsi="Times New Roman" w:cs="Times New Roman"/>
          <w:color w:val="auto"/>
          <w:szCs w:val="24"/>
        </w:rPr>
        <w:t>00</w:t>
      </w:r>
      <w:r>
        <w:rPr>
          <w:rFonts w:hint="eastAsia" w:cs="Times New Roman"/>
          <w:color w:val="auto"/>
          <w:szCs w:val="24"/>
          <w:lang w:eastAsia="zh-CN"/>
        </w:rPr>
        <w:t>）</w:t>
      </w:r>
      <w:r>
        <w:rPr>
          <w:rFonts w:hint="default" w:ascii="Times New Roman" w:hAnsi="Times New Roman" w:cs="Times New Roman"/>
          <w:color w:val="auto"/>
          <w:szCs w:val="24"/>
        </w:rPr>
        <w:t>，20min等效连续A声级监测，连续监测2天，监测时同时分大、中、小车型记录小时车流量。</w:t>
      </w:r>
    </w:p>
    <w:p w14:paraId="6884F95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）24小时连续监测点</w:t>
      </w:r>
    </w:p>
    <w:p w14:paraId="4C4AD87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连续监测24小时，同时在监测期间按大、中、小车型等不同类型记录车流量。</w:t>
      </w:r>
    </w:p>
    <w:p w14:paraId="2CFF70B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）声屏障降噪效果</w:t>
      </w:r>
    </w:p>
    <w:p w14:paraId="7DEBB31B">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在声屏障后10m，20m，30</w:t>
      </w:r>
      <w:r>
        <w:rPr>
          <w:rFonts w:hint="eastAsia" w:cs="Times New Roman"/>
          <w:color w:val="auto"/>
          <w:szCs w:val="24"/>
          <w:lang w:eastAsia="zh-CN"/>
        </w:rPr>
        <w:t>～</w:t>
      </w:r>
      <w:r>
        <w:rPr>
          <w:rFonts w:hint="default" w:ascii="Times New Roman" w:hAnsi="Times New Roman" w:cs="Times New Roman"/>
          <w:color w:val="auto"/>
          <w:szCs w:val="24"/>
        </w:rPr>
        <w:t>60m各设1个点，另外在无屏障开阔地带距离道路路肩10m，20m，30</w:t>
      </w:r>
      <w:r>
        <w:rPr>
          <w:rFonts w:hint="eastAsia" w:cs="Times New Roman"/>
          <w:color w:val="auto"/>
          <w:szCs w:val="24"/>
          <w:lang w:eastAsia="zh-CN"/>
        </w:rPr>
        <w:t>～</w:t>
      </w:r>
      <w:r>
        <w:rPr>
          <w:rFonts w:hint="default" w:ascii="Times New Roman" w:hAnsi="Times New Roman" w:cs="Times New Roman"/>
          <w:color w:val="auto"/>
          <w:szCs w:val="24"/>
        </w:rPr>
        <w:t>60m处各设一个对照点。对照点与声屏障后测点之间距离应大于100m。每天监测4次</w:t>
      </w:r>
      <w:r>
        <w:rPr>
          <w:rFonts w:hint="eastAsia" w:cs="Times New Roman"/>
          <w:color w:val="auto"/>
          <w:szCs w:val="24"/>
          <w:lang w:eastAsia="zh-CN"/>
        </w:rPr>
        <w:t>（</w:t>
      </w:r>
      <w:r>
        <w:rPr>
          <w:rFonts w:hint="default" w:ascii="Times New Roman" w:hAnsi="Times New Roman" w:cs="Times New Roman"/>
          <w:color w:val="auto"/>
          <w:szCs w:val="24"/>
        </w:rPr>
        <w:t>白天2次6</w:t>
      </w:r>
      <w:r>
        <w:rPr>
          <w:rFonts w:hint="eastAsia" w:cs="Times New Roman"/>
          <w:color w:val="auto"/>
          <w:szCs w:val="24"/>
          <w:lang w:eastAsia="zh-CN"/>
        </w:rPr>
        <w:t>:</w:t>
      </w:r>
      <w:r>
        <w:rPr>
          <w:rFonts w:hint="default" w:ascii="Times New Roman" w:hAnsi="Times New Roman" w:cs="Times New Roman"/>
          <w:color w:val="auto"/>
          <w:szCs w:val="24"/>
        </w:rPr>
        <w:t>00～22</w:t>
      </w:r>
      <w:r>
        <w:rPr>
          <w:rFonts w:hint="eastAsia" w:cs="Times New Roman"/>
          <w:color w:val="auto"/>
          <w:szCs w:val="24"/>
          <w:lang w:eastAsia="zh-CN"/>
        </w:rPr>
        <w:t>:</w:t>
      </w:r>
      <w:r>
        <w:rPr>
          <w:rFonts w:hint="default" w:ascii="Times New Roman" w:hAnsi="Times New Roman" w:cs="Times New Roman"/>
          <w:color w:val="auto"/>
          <w:szCs w:val="24"/>
        </w:rPr>
        <w:t>00，上午一次，下午一次；夜间2次22</w:t>
      </w:r>
      <w:r>
        <w:rPr>
          <w:rFonts w:hint="eastAsia" w:cs="Times New Roman"/>
          <w:color w:val="auto"/>
          <w:szCs w:val="24"/>
          <w:lang w:eastAsia="zh-CN"/>
        </w:rPr>
        <w:t>:</w:t>
      </w:r>
      <w:r>
        <w:rPr>
          <w:rFonts w:hint="default" w:ascii="Times New Roman" w:hAnsi="Times New Roman" w:cs="Times New Roman"/>
          <w:color w:val="auto"/>
          <w:szCs w:val="24"/>
        </w:rPr>
        <w:t>00～次日2</w:t>
      </w:r>
      <w:r>
        <w:rPr>
          <w:rFonts w:hint="eastAsia" w:cs="Times New Roman"/>
          <w:color w:val="auto"/>
          <w:szCs w:val="24"/>
          <w:lang w:eastAsia="zh-CN"/>
        </w:rPr>
        <w:t>:</w:t>
      </w:r>
      <w:r>
        <w:rPr>
          <w:rFonts w:hint="default" w:ascii="Times New Roman" w:hAnsi="Times New Roman" w:cs="Times New Roman"/>
          <w:color w:val="auto"/>
          <w:szCs w:val="24"/>
        </w:rPr>
        <w:t>00，次日2</w:t>
      </w:r>
      <w:r>
        <w:rPr>
          <w:rFonts w:hint="eastAsia" w:cs="Times New Roman"/>
          <w:color w:val="auto"/>
          <w:szCs w:val="24"/>
          <w:lang w:eastAsia="zh-CN"/>
        </w:rPr>
        <w:t>:</w:t>
      </w:r>
      <w:r>
        <w:rPr>
          <w:rFonts w:hint="default" w:ascii="Times New Roman" w:hAnsi="Times New Roman" w:cs="Times New Roman"/>
          <w:color w:val="auto"/>
          <w:szCs w:val="24"/>
        </w:rPr>
        <w:t>00～6</w:t>
      </w:r>
      <w:r>
        <w:rPr>
          <w:rFonts w:hint="eastAsia" w:cs="Times New Roman"/>
          <w:color w:val="auto"/>
          <w:szCs w:val="24"/>
          <w:lang w:eastAsia="zh-CN"/>
        </w:rPr>
        <w:t>:</w:t>
      </w:r>
      <w:r>
        <w:rPr>
          <w:rFonts w:hint="default" w:ascii="Times New Roman" w:hAnsi="Times New Roman" w:cs="Times New Roman"/>
          <w:color w:val="auto"/>
          <w:szCs w:val="24"/>
        </w:rPr>
        <w:t>00</w:t>
      </w:r>
      <w:r>
        <w:rPr>
          <w:rFonts w:hint="eastAsia" w:cs="Times New Roman"/>
          <w:color w:val="auto"/>
          <w:szCs w:val="24"/>
          <w:lang w:eastAsia="zh-CN"/>
        </w:rPr>
        <w:t>）</w:t>
      </w:r>
      <w:r>
        <w:rPr>
          <w:rFonts w:hint="default" w:ascii="Times New Roman" w:hAnsi="Times New Roman" w:cs="Times New Roman"/>
          <w:color w:val="auto"/>
          <w:szCs w:val="24"/>
        </w:rPr>
        <w:t>，每次监测20min，连续监测2天。同时在监测期间按大、中、小车型等不同类型记录双向车流量。</w:t>
      </w:r>
    </w:p>
    <w:p w14:paraId="397E8D86">
      <w:pPr>
        <w:pStyle w:val="28"/>
        <w:numPr>
          <w:ilvl w:val="0"/>
          <w:numId w:val="0"/>
        </w:numPr>
        <w:ind w:left="0" w:leftChars="0" w:firstLine="0" w:firstLineChars="0"/>
        <w:rPr>
          <w:rFonts w:hint="default" w:ascii="Times New Roman" w:hAnsi="Times New Roman" w:cs="Times New Roman"/>
          <w:color w:val="auto"/>
        </w:rPr>
      </w:pPr>
      <w:bookmarkStart w:id="142" w:name="_Toc25113"/>
      <w:bookmarkStart w:id="143" w:name="_Toc419186421"/>
      <w:r>
        <w:rPr>
          <w:rFonts w:hint="default" w:ascii="Times New Roman" w:hAnsi="Times New Roman" w:eastAsia="宋体" w:cs="Times New Roman"/>
          <w:b/>
          <w:snapToGrid w:val="0"/>
          <w:color w:val="auto"/>
          <w:spacing w:val="0"/>
          <w:kern w:val="0"/>
          <w:sz w:val="28"/>
          <w:szCs w:val="28"/>
          <w:lang w:val="en-US" w:eastAsia="zh-CN" w:bidi="ar-SA"/>
        </w:rPr>
        <w:t>6.3.3.4</w:t>
      </w:r>
      <w:r>
        <w:rPr>
          <w:rFonts w:hint="default" w:ascii="Times New Roman" w:hAnsi="Times New Roman" w:cs="Times New Roman"/>
          <w:color w:val="auto"/>
        </w:rPr>
        <w:t>监测方法</w:t>
      </w:r>
      <w:bookmarkEnd w:id="142"/>
      <w:bookmarkEnd w:id="143"/>
      <w:r>
        <w:rPr>
          <w:rFonts w:hint="default" w:ascii="Times New Roman" w:hAnsi="Times New Roman" w:cs="Times New Roman"/>
          <w:color w:val="auto"/>
        </w:rPr>
        <w:t>及评价标准</w:t>
      </w:r>
    </w:p>
    <w:p w14:paraId="201154C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本次噪声监测方法按照《声环境质量标准》</w:t>
      </w:r>
      <w:r>
        <w:rPr>
          <w:rFonts w:hint="eastAsia" w:cs="Times New Roman"/>
          <w:color w:val="auto"/>
          <w:szCs w:val="24"/>
          <w:lang w:eastAsia="zh-CN"/>
        </w:rPr>
        <w:t>（</w:t>
      </w:r>
      <w:r>
        <w:rPr>
          <w:rFonts w:hint="default" w:ascii="Times New Roman" w:hAnsi="Times New Roman" w:cs="Times New Roman"/>
          <w:color w:val="auto"/>
          <w:szCs w:val="24"/>
        </w:rPr>
        <w:t>GB3096-2008</w:t>
      </w:r>
      <w:r>
        <w:rPr>
          <w:rFonts w:hint="eastAsia" w:cs="Times New Roman"/>
          <w:color w:val="auto"/>
          <w:szCs w:val="24"/>
          <w:lang w:eastAsia="zh-CN"/>
        </w:rPr>
        <w:t>）</w:t>
      </w:r>
      <w:r>
        <w:rPr>
          <w:rFonts w:hint="default" w:ascii="Times New Roman" w:hAnsi="Times New Roman" w:cs="Times New Roman"/>
          <w:color w:val="auto"/>
          <w:szCs w:val="24"/>
        </w:rPr>
        <w:t>等国家有关监测方法标准和技术规范中的有关规定要求进行。</w:t>
      </w:r>
    </w:p>
    <w:p w14:paraId="16A31EDE">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根据本项目环评，本次竣工环保验收监测结果评价执行《声环境质量标准》（GB3096-2008）中的4a类和2类标准。即公路两侧红线外35m以内区域执行4a类标准，其室外昼间按70dB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，夜间按55dB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执行；公路两侧红线外35m以外区域执行2类标准，其室外昼间按60dB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，夜间按50dB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执行；沿线特殊敏感建筑如学校等，室外昼间按60dB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，夜间按50dB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执行。</w:t>
      </w:r>
    </w:p>
    <w:p w14:paraId="0CB3AEC1">
      <w:pPr>
        <w:pStyle w:val="28"/>
        <w:numPr>
          <w:ilvl w:val="0"/>
          <w:numId w:val="0"/>
        </w:numPr>
        <w:ind w:left="0" w:leftChars="0" w:firstLine="0" w:firstLineChars="0"/>
        <w:rPr>
          <w:rFonts w:hint="default" w:ascii="Times New Roman" w:hAnsi="Times New Roman" w:cs="Times New Roman"/>
          <w:color w:val="auto"/>
        </w:rPr>
      </w:pPr>
      <w:bookmarkStart w:id="144" w:name="_Toc419186422"/>
      <w:bookmarkStart w:id="145" w:name="_Toc28070"/>
      <w:bookmarkStart w:id="146" w:name="_Toc29394"/>
      <w:bookmarkStart w:id="147" w:name="_Toc419185828"/>
      <w:bookmarkStart w:id="148" w:name="_Toc29031"/>
      <w:r>
        <w:rPr>
          <w:rFonts w:hint="default" w:ascii="Times New Roman" w:hAnsi="Times New Roman" w:eastAsia="宋体" w:cs="Times New Roman"/>
          <w:b/>
          <w:snapToGrid w:val="0"/>
          <w:color w:val="auto"/>
          <w:spacing w:val="0"/>
          <w:kern w:val="0"/>
          <w:sz w:val="28"/>
          <w:szCs w:val="28"/>
          <w:lang w:val="en-US" w:eastAsia="zh-CN" w:bidi="ar-SA"/>
        </w:rPr>
        <w:t>6.3.3.5</w:t>
      </w:r>
      <w:r>
        <w:rPr>
          <w:rFonts w:hint="default" w:ascii="Times New Roman" w:hAnsi="Times New Roman" w:cs="Times New Roman"/>
          <w:color w:val="auto"/>
        </w:rPr>
        <w:t>噪声监测结果</w:t>
      </w:r>
      <w:bookmarkEnd w:id="144"/>
      <w:bookmarkEnd w:id="145"/>
      <w:bookmarkEnd w:id="146"/>
      <w:bookmarkEnd w:id="147"/>
      <w:r>
        <w:rPr>
          <w:rFonts w:hint="default" w:ascii="Times New Roman" w:hAnsi="Times New Roman" w:cs="Times New Roman"/>
          <w:color w:val="auto"/>
        </w:rPr>
        <w:t>及分析</w:t>
      </w:r>
      <w:bookmarkEnd w:id="148"/>
    </w:p>
    <w:p w14:paraId="2062F7C9">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1、一般敏感点监测结果及分析</w:t>
      </w:r>
    </w:p>
    <w:p w14:paraId="613A1FB5">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（1）监测结果</w:t>
      </w:r>
    </w:p>
    <w:p w14:paraId="0E128FEF">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项目一般敏感点噪声监测结果如下表所示。</w:t>
      </w:r>
    </w:p>
    <w:p w14:paraId="343E7FD7">
      <w:pPr>
        <w:pStyle w:val="9"/>
        <w:rPr>
          <w:rFonts w:hint="default" w:ascii="Times New Roman" w:hAnsi="Times New Roman" w:eastAsia="宋体" w:cs="Times New Roman"/>
          <w:color w:val="auto"/>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eastAsia" w:ascii="Times New Roman" w:hAnsi="Times New Roman" w:cs="Times New Roman"/>
          <w:color w:val="auto"/>
          <w:lang w:val="en-US" w:eastAsia="zh-CN"/>
        </w:rPr>
        <w:t xml:space="preserve">  </w:t>
      </w:r>
      <w:r>
        <w:rPr>
          <w:rFonts w:hint="default" w:ascii="Times New Roman" w:hAnsi="Times New Roman" w:cs="Times New Roman"/>
          <w:color w:val="auto"/>
        </w:rPr>
        <w:t>一般敏感点监测情况统计表</w:t>
      </w:r>
      <w:r>
        <w:rPr>
          <w:rFonts w:hint="default" w:ascii="Times New Roman" w:hAnsi="Times New Roman" w:cs="Times New Roman"/>
          <w:color w:val="auto"/>
          <w:lang w:val="en-US" w:eastAsia="zh-CN"/>
        </w:rPr>
        <w:t>1</w:t>
      </w:r>
    </w:p>
    <w:tbl>
      <w:tblPr>
        <w:tblStyle w:val="20"/>
        <w:tblW w:w="513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178"/>
        <w:gridCol w:w="705"/>
        <w:gridCol w:w="705"/>
        <w:gridCol w:w="716"/>
        <w:gridCol w:w="854"/>
        <w:gridCol w:w="727"/>
        <w:gridCol w:w="661"/>
        <w:gridCol w:w="627"/>
        <w:gridCol w:w="837"/>
        <w:gridCol w:w="736"/>
      </w:tblGrid>
      <w:tr w14:paraId="4F0B94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restart"/>
            <w:tcBorders>
              <w:tl2br w:val="nil"/>
              <w:tr2bl w:val="nil"/>
            </w:tcBorders>
            <w:noWrap w:val="0"/>
            <w:vAlign w:val="center"/>
          </w:tcPr>
          <w:p w14:paraId="5C5A73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w:t>
            </w:r>
          </w:p>
          <w:p w14:paraId="7E4477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时间</w:t>
            </w:r>
          </w:p>
        </w:tc>
        <w:tc>
          <w:tcPr>
            <w:tcW w:w="673" w:type="pct"/>
            <w:vMerge w:val="restart"/>
            <w:tcBorders>
              <w:tl2br w:val="nil"/>
              <w:tr2bl w:val="nil"/>
            </w:tcBorders>
            <w:noWrap w:val="0"/>
            <w:vAlign w:val="center"/>
          </w:tcPr>
          <w:p w14:paraId="76DB27A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采样位置及编号</w:t>
            </w:r>
          </w:p>
        </w:tc>
        <w:tc>
          <w:tcPr>
            <w:tcW w:w="805" w:type="pct"/>
            <w:gridSpan w:val="2"/>
            <w:tcBorders>
              <w:tl2br w:val="nil"/>
              <w:tr2bl w:val="nil"/>
            </w:tcBorders>
            <w:noWrap w:val="0"/>
            <w:vAlign w:val="center"/>
          </w:tcPr>
          <w:p w14:paraId="2277D5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118275E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97" w:type="pct"/>
            <w:gridSpan w:val="2"/>
            <w:tcBorders>
              <w:tl2br w:val="nil"/>
              <w:tr2bl w:val="nil"/>
            </w:tcBorders>
            <w:noWrap w:val="0"/>
            <w:vAlign w:val="center"/>
          </w:tcPr>
          <w:p w14:paraId="4B063A4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7EBA944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793" w:type="pct"/>
            <w:gridSpan w:val="2"/>
            <w:tcBorders>
              <w:tl2br w:val="nil"/>
              <w:tr2bl w:val="nil"/>
            </w:tcBorders>
            <w:noWrap w:val="0"/>
            <w:vAlign w:val="center"/>
          </w:tcPr>
          <w:p w14:paraId="69B524B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1B2CD56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36" w:type="pct"/>
            <w:gridSpan w:val="2"/>
            <w:tcBorders>
              <w:tl2br w:val="nil"/>
              <w:tr2bl w:val="nil"/>
            </w:tcBorders>
            <w:noWrap w:val="0"/>
            <w:vAlign w:val="center"/>
          </w:tcPr>
          <w:p w14:paraId="746E58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18964A5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420" w:type="pct"/>
            <w:vMerge w:val="restart"/>
            <w:tcBorders>
              <w:tl2br w:val="nil"/>
              <w:tr2bl w:val="nil"/>
            </w:tcBorders>
            <w:noWrap w:val="0"/>
            <w:vAlign w:val="center"/>
          </w:tcPr>
          <w:p w14:paraId="3ABC06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主要</w:t>
            </w:r>
          </w:p>
          <w:p w14:paraId="3E5EC5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color w:val="auto"/>
                <w:w w:val="100"/>
                <w:kern w:val="0"/>
                <w:sz w:val="21"/>
                <w:szCs w:val="21"/>
              </w:rPr>
              <w:t>声源</w:t>
            </w:r>
          </w:p>
        </w:tc>
      </w:tr>
      <w:tr w14:paraId="1A2C6E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continue"/>
            <w:tcBorders>
              <w:tl2br w:val="nil"/>
              <w:tr2bl w:val="nil"/>
            </w:tcBorders>
            <w:noWrap w:val="0"/>
            <w:vAlign w:val="center"/>
          </w:tcPr>
          <w:p w14:paraId="625088E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673" w:type="pct"/>
            <w:vMerge w:val="continue"/>
            <w:tcBorders>
              <w:tl2br w:val="nil"/>
              <w:tr2bl w:val="nil"/>
            </w:tcBorders>
            <w:noWrap w:val="0"/>
            <w:vAlign w:val="center"/>
          </w:tcPr>
          <w:p w14:paraId="0F1F64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402" w:type="pct"/>
            <w:tcBorders>
              <w:tl2br w:val="nil"/>
              <w:tr2bl w:val="nil"/>
            </w:tcBorders>
            <w:noWrap w:val="0"/>
            <w:vAlign w:val="center"/>
          </w:tcPr>
          <w:p w14:paraId="1257C827">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昼间</w:t>
            </w:r>
            <w:r>
              <w:rPr>
                <w:rFonts w:hint="default" w:ascii="Times New Roman" w:hAnsi="Times New Roman" w:eastAsia="宋体" w:cs="Times New Roman"/>
                <w:b/>
                <w:color w:val="auto"/>
                <w:w w:val="100"/>
                <w:kern w:val="0"/>
                <w:sz w:val="21"/>
                <w:szCs w:val="21"/>
              </w:rPr>
              <w:t>等效声级</w:t>
            </w:r>
          </w:p>
        </w:tc>
        <w:tc>
          <w:tcPr>
            <w:tcW w:w="402" w:type="pct"/>
            <w:tcBorders>
              <w:tl2br w:val="nil"/>
              <w:tr2bl w:val="nil"/>
            </w:tcBorders>
            <w:noWrap w:val="0"/>
            <w:vAlign w:val="center"/>
          </w:tcPr>
          <w:p w14:paraId="3C4B906F">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409" w:type="pct"/>
            <w:tcBorders>
              <w:tl2br w:val="nil"/>
              <w:tr2bl w:val="nil"/>
            </w:tcBorders>
            <w:noWrap w:val="0"/>
            <w:vAlign w:val="center"/>
          </w:tcPr>
          <w:p w14:paraId="39B671BE">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大型车</w:t>
            </w:r>
          </w:p>
        </w:tc>
        <w:tc>
          <w:tcPr>
            <w:tcW w:w="487" w:type="pct"/>
            <w:tcBorders>
              <w:tl2br w:val="nil"/>
              <w:tr2bl w:val="nil"/>
            </w:tcBorders>
            <w:noWrap w:val="0"/>
            <w:vAlign w:val="center"/>
          </w:tcPr>
          <w:p w14:paraId="5B6D1E9B">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中小型车</w:t>
            </w:r>
          </w:p>
        </w:tc>
        <w:tc>
          <w:tcPr>
            <w:tcW w:w="415" w:type="pct"/>
            <w:tcBorders>
              <w:tl2br w:val="nil"/>
              <w:tr2bl w:val="nil"/>
            </w:tcBorders>
            <w:noWrap w:val="0"/>
            <w:vAlign w:val="center"/>
          </w:tcPr>
          <w:p w14:paraId="473BA717">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夜间</w:t>
            </w:r>
            <w:r>
              <w:rPr>
                <w:rFonts w:hint="default" w:ascii="Times New Roman" w:hAnsi="Times New Roman" w:eastAsia="宋体" w:cs="Times New Roman"/>
                <w:b/>
                <w:color w:val="auto"/>
                <w:w w:val="100"/>
                <w:kern w:val="0"/>
                <w:sz w:val="21"/>
                <w:szCs w:val="21"/>
              </w:rPr>
              <w:t>等效声级</w:t>
            </w:r>
          </w:p>
        </w:tc>
        <w:tc>
          <w:tcPr>
            <w:tcW w:w="377" w:type="pct"/>
            <w:tcBorders>
              <w:tl2br w:val="nil"/>
              <w:tr2bl w:val="nil"/>
            </w:tcBorders>
            <w:noWrap w:val="0"/>
            <w:vAlign w:val="center"/>
          </w:tcPr>
          <w:p w14:paraId="0AF8AFD1">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358" w:type="pct"/>
            <w:tcBorders>
              <w:tl2br w:val="nil"/>
              <w:tr2bl w:val="nil"/>
            </w:tcBorders>
            <w:noWrap w:val="0"/>
            <w:vAlign w:val="center"/>
          </w:tcPr>
          <w:p w14:paraId="1C7600D2">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大型车</w:t>
            </w:r>
          </w:p>
        </w:tc>
        <w:tc>
          <w:tcPr>
            <w:tcW w:w="478" w:type="pct"/>
            <w:tcBorders>
              <w:tl2br w:val="nil"/>
              <w:tr2bl w:val="nil"/>
            </w:tcBorders>
            <w:noWrap w:val="0"/>
            <w:vAlign w:val="center"/>
          </w:tcPr>
          <w:p w14:paraId="706501C7">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中小型车</w:t>
            </w:r>
          </w:p>
        </w:tc>
        <w:tc>
          <w:tcPr>
            <w:tcW w:w="420" w:type="pct"/>
            <w:vMerge w:val="continue"/>
            <w:tcBorders>
              <w:tl2br w:val="nil"/>
              <w:tr2bl w:val="nil"/>
            </w:tcBorders>
            <w:noWrap w:val="0"/>
            <w:vAlign w:val="center"/>
          </w:tcPr>
          <w:p w14:paraId="712775A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lang w:eastAsia="zh-CN"/>
              </w:rPr>
            </w:pPr>
          </w:p>
        </w:tc>
      </w:tr>
      <w:tr w14:paraId="08EF2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0A5359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5452C3E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桂花村吊脚楼居民点（1#）</w:t>
            </w:r>
          </w:p>
        </w:tc>
        <w:tc>
          <w:tcPr>
            <w:tcW w:w="402" w:type="pct"/>
            <w:tcBorders>
              <w:tl2br w:val="nil"/>
              <w:tr2bl w:val="nil"/>
            </w:tcBorders>
            <w:noWrap w:val="0"/>
            <w:vAlign w:val="center"/>
          </w:tcPr>
          <w:p w14:paraId="11B32B2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49EC106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5264715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487" w:type="pct"/>
            <w:tcBorders>
              <w:tl2br w:val="nil"/>
              <w:tr2bl w:val="nil"/>
            </w:tcBorders>
            <w:noWrap w:val="0"/>
            <w:vAlign w:val="center"/>
          </w:tcPr>
          <w:p w14:paraId="147406D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330</w:t>
            </w:r>
          </w:p>
        </w:tc>
        <w:tc>
          <w:tcPr>
            <w:tcW w:w="415" w:type="pct"/>
            <w:tcBorders>
              <w:tl2br w:val="nil"/>
              <w:tr2bl w:val="nil"/>
            </w:tcBorders>
            <w:noWrap w:val="0"/>
            <w:vAlign w:val="center"/>
          </w:tcPr>
          <w:p w14:paraId="234C46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77" w:type="pct"/>
            <w:tcBorders>
              <w:tl2br w:val="nil"/>
              <w:tr2bl w:val="nil"/>
            </w:tcBorders>
            <w:noWrap w:val="0"/>
            <w:vAlign w:val="center"/>
          </w:tcPr>
          <w:p w14:paraId="6076DB0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58" w:type="pct"/>
            <w:tcBorders>
              <w:tl2br w:val="nil"/>
              <w:tr2bl w:val="nil"/>
            </w:tcBorders>
            <w:noWrap w:val="0"/>
            <w:vAlign w:val="center"/>
          </w:tcPr>
          <w:p w14:paraId="385CA4E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3A0913B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102</w:t>
            </w:r>
          </w:p>
        </w:tc>
        <w:tc>
          <w:tcPr>
            <w:tcW w:w="420" w:type="pct"/>
            <w:vMerge w:val="restart"/>
            <w:tcBorders>
              <w:tl2br w:val="nil"/>
              <w:tr2bl w:val="nil"/>
            </w:tcBorders>
            <w:noWrap w:val="0"/>
            <w:vAlign w:val="center"/>
          </w:tcPr>
          <w:p w14:paraId="3D4CD3D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交通</w:t>
            </w:r>
          </w:p>
          <w:p w14:paraId="50D46F0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噪声</w:t>
            </w:r>
          </w:p>
        </w:tc>
      </w:tr>
      <w:tr w14:paraId="6E976B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12BD5A2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57E7150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0BCD70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2" w:type="pct"/>
            <w:tcBorders>
              <w:tl2br w:val="nil"/>
              <w:tr2bl w:val="nil"/>
            </w:tcBorders>
            <w:noWrap w:val="0"/>
            <w:vAlign w:val="center"/>
          </w:tcPr>
          <w:p w14:paraId="0C13C52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9" w:type="pct"/>
            <w:tcBorders>
              <w:tl2br w:val="nil"/>
              <w:tr2bl w:val="nil"/>
            </w:tcBorders>
            <w:noWrap w:val="0"/>
            <w:vAlign w:val="center"/>
          </w:tcPr>
          <w:p w14:paraId="44F2CEF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39</w:t>
            </w:r>
          </w:p>
        </w:tc>
        <w:tc>
          <w:tcPr>
            <w:tcW w:w="487" w:type="pct"/>
            <w:tcBorders>
              <w:tl2br w:val="nil"/>
              <w:tr2bl w:val="nil"/>
            </w:tcBorders>
            <w:noWrap w:val="0"/>
            <w:vAlign w:val="center"/>
          </w:tcPr>
          <w:p w14:paraId="6528F5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249</w:t>
            </w:r>
          </w:p>
        </w:tc>
        <w:tc>
          <w:tcPr>
            <w:tcW w:w="415" w:type="pct"/>
            <w:tcBorders>
              <w:tl2br w:val="nil"/>
              <w:tr2bl w:val="nil"/>
            </w:tcBorders>
            <w:noWrap w:val="0"/>
            <w:vAlign w:val="center"/>
          </w:tcPr>
          <w:p w14:paraId="04A6916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2A9D7AD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6572773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2A91DE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78</w:t>
            </w:r>
          </w:p>
        </w:tc>
        <w:tc>
          <w:tcPr>
            <w:tcW w:w="420" w:type="pct"/>
            <w:vMerge w:val="continue"/>
            <w:tcBorders>
              <w:tl2br w:val="nil"/>
              <w:tr2bl w:val="nil"/>
            </w:tcBorders>
            <w:noWrap w:val="0"/>
            <w:vAlign w:val="center"/>
          </w:tcPr>
          <w:p w14:paraId="6C93BE9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2C9081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135E54E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02E6AEF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大田村华家屋基居民点（2#）</w:t>
            </w:r>
          </w:p>
        </w:tc>
        <w:tc>
          <w:tcPr>
            <w:tcW w:w="402" w:type="pct"/>
            <w:tcBorders>
              <w:tl2br w:val="nil"/>
              <w:tr2bl w:val="nil"/>
            </w:tcBorders>
            <w:noWrap w:val="0"/>
            <w:vAlign w:val="center"/>
          </w:tcPr>
          <w:p w14:paraId="0CF068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58</w:t>
            </w:r>
          </w:p>
        </w:tc>
        <w:tc>
          <w:tcPr>
            <w:tcW w:w="402" w:type="pct"/>
            <w:tcBorders>
              <w:tl2br w:val="nil"/>
              <w:tr2bl w:val="nil"/>
            </w:tcBorders>
            <w:noWrap w:val="0"/>
            <w:vAlign w:val="center"/>
          </w:tcPr>
          <w:p w14:paraId="11929A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58</w:t>
            </w:r>
          </w:p>
        </w:tc>
        <w:tc>
          <w:tcPr>
            <w:tcW w:w="409" w:type="pct"/>
            <w:tcBorders>
              <w:tl2br w:val="nil"/>
              <w:tr2bl w:val="nil"/>
            </w:tcBorders>
            <w:noWrap w:val="0"/>
            <w:vAlign w:val="center"/>
          </w:tcPr>
          <w:p w14:paraId="330DBB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487" w:type="pct"/>
            <w:tcBorders>
              <w:tl2br w:val="nil"/>
              <w:tr2bl w:val="nil"/>
            </w:tcBorders>
            <w:noWrap w:val="0"/>
            <w:vAlign w:val="center"/>
          </w:tcPr>
          <w:p w14:paraId="74AFBE1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306</w:t>
            </w:r>
          </w:p>
        </w:tc>
        <w:tc>
          <w:tcPr>
            <w:tcW w:w="415" w:type="pct"/>
            <w:tcBorders>
              <w:tl2br w:val="nil"/>
              <w:tr2bl w:val="nil"/>
            </w:tcBorders>
            <w:noWrap w:val="0"/>
            <w:vAlign w:val="center"/>
          </w:tcPr>
          <w:p w14:paraId="2E64579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77" w:type="pct"/>
            <w:tcBorders>
              <w:tl2br w:val="nil"/>
              <w:tr2bl w:val="nil"/>
            </w:tcBorders>
            <w:noWrap w:val="0"/>
            <w:vAlign w:val="center"/>
          </w:tcPr>
          <w:p w14:paraId="14EBED1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58" w:type="pct"/>
            <w:tcBorders>
              <w:tl2br w:val="nil"/>
              <w:tr2bl w:val="nil"/>
            </w:tcBorders>
            <w:noWrap w:val="0"/>
            <w:vAlign w:val="center"/>
          </w:tcPr>
          <w:p w14:paraId="25813E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014F99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420" w:type="pct"/>
            <w:vMerge w:val="continue"/>
            <w:tcBorders>
              <w:tl2br w:val="nil"/>
              <w:tr2bl w:val="nil"/>
            </w:tcBorders>
            <w:noWrap w:val="0"/>
            <w:vAlign w:val="center"/>
          </w:tcPr>
          <w:p w14:paraId="06E33B6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2BD0C4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2C9267F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6F05408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0C28658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57</w:t>
            </w:r>
          </w:p>
        </w:tc>
        <w:tc>
          <w:tcPr>
            <w:tcW w:w="402" w:type="pct"/>
            <w:tcBorders>
              <w:tl2br w:val="nil"/>
              <w:tr2bl w:val="nil"/>
            </w:tcBorders>
            <w:noWrap w:val="0"/>
            <w:vAlign w:val="center"/>
          </w:tcPr>
          <w:p w14:paraId="1E83F2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57</w:t>
            </w:r>
          </w:p>
        </w:tc>
        <w:tc>
          <w:tcPr>
            <w:tcW w:w="409" w:type="pct"/>
            <w:tcBorders>
              <w:tl2br w:val="nil"/>
              <w:tr2bl w:val="nil"/>
            </w:tcBorders>
            <w:noWrap w:val="0"/>
            <w:vAlign w:val="center"/>
          </w:tcPr>
          <w:p w14:paraId="456E415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487" w:type="pct"/>
            <w:tcBorders>
              <w:tl2br w:val="nil"/>
              <w:tr2bl w:val="nil"/>
            </w:tcBorders>
            <w:noWrap w:val="0"/>
            <w:vAlign w:val="center"/>
          </w:tcPr>
          <w:p w14:paraId="257E3D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255</w:t>
            </w:r>
          </w:p>
        </w:tc>
        <w:tc>
          <w:tcPr>
            <w:tcW w:w="415" w:type="pct"/>
            <w:tcBorders>
              <w:tl2br w:val="nil"/>
              <w:tr2bl w:val="nil"/>
            </w:tcBorders>
            <w:noWrap w:val="0"/>
            <w:vAlign w:val="center"/>
          </w:tcPr>
          <w:p w14:paraId="5E0497C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377" w:type="pct"/>
            <w:tcBorders>
              <w:tl2br w:val="nil"/>
              <w:tr2bl w:val="nil"/>
            </w:tcBorders>
            <w:noWrap w:val="0"/>
            <w:vAlign w:val="center"/>
          </w:tcPr>
          <w:p w14:paraId="244088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358" w:type="pct"/>
            <w:tcBorders>
              <w:tl2br w:val="nil"/>
              <w:tr2bl w:val="nil"/>
            </w:tcBorders>
            <w:noWrap w:val="0"/>
            <w:vAlign w:val="center"/>
          </w:tcPr>
          <w:p w14:paraId="1E9BB04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78" w:type="pct"/>
            <w:tcBorders>
              <w:tl2br w:val="nil"/>
              <w:tr2bl w:val="nil"/>
            </w:tcBorders>
            <w:noWrap w:val="0"/>
            <w:vAlign w:val="center"/>
          </w:tcPr>
          <w:p w14:paraId="7F3F5E3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72</w:t>
            </w:r>
          </w:p>
        </w:tc>
        <w:tc>
          <w:tcPr>
            <w:tcW w:w="420" w:type="pct"/>
            <w:vMerge w:val="continue"/>
            <w:tcBorders>
              <w:tl2br w:val="nil"/>
              <w:tr2bl w:val="nil"/>
            </w:tcBorders>
            <w:noWrap w:val="0"/>
            <w:vAlign w:val="center"/>
          </w:tcPr>
          <w:p w14:paraId="71AEDF9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30635D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53D4187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3C98135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斑竹村马鞍桥居民点（3#）</w:t>
            </w:r>
          </w:p>
        </w:tc>
        <w:tc>
          <w:tcPr>
            <w:tcW w:w="402" w:type="pct"/>
            <w:tcBorders>
              <w:tl2br w:val="nil"/>
              <w:tr2bl w:val="nil"/>
            </w:tcBorders>
            <w:noWrap w:val="0"/>
            <w:vAlign w:val="center"/>
          </w:tcPr>
          <w:p w14:paraId="0743494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7900B6E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1C1E736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487" w:type="pct"/>
            <w:tcBorders>
              <w:tl2br w:val="nil"/>
              <w:tr2bl w:val="nil"/>
            </w:tcBorders>
            <w:noWrap w:val="0"/>
            <w:vAlign w:val="center"/>
          </w:tcPr>
          <w:p w14:paraId="33747A1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198</w:t>
            </w:r>
          </w:p>
        </w:tc>
        <w:tc>
          <w:tcPr>
            <w:tcW w:w="415" w:type="pct"/>
            <w:tcBorders>
              <w:tl2br w:val="nil"/>
              <w:tr2bl w:val="nil"/>
            </w:tcBorders>
            <w:noWrap w:val="0"/>
            <w:vAlign w:val="center"/>
          </w:tcPr>
          <w:p w14:paraId="0ADA3D5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7AB5C5C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51410A9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283AE59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81</w:t>
            </w:r>
          </w:p>
        </w:tc>
        <w:tc>
          <w:tcPr>
            <w:tcW w:w="420" w:type="pct"/>
            <w:vMerge w:val="continue"/>
            <w:tcBorders>
              <w:tl2br w:val="nil"/>
              <w:tr2bl w:val="nil"/>
            </w:tcBorders>
            <w:noWrap w:val="0"/>
            <w:vAlign w:val="center"/>
          </w:tcPr>
          <w:p w14:paraId="45FA527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34F866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0B454F4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024820A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66F03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597A191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6ADCEE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w:t>
            </w:r>
          </w:p>
        </w:tc>
        <w:tc>
          <w:tcPr>
            <w:tcW w:w="487" w:type="pct"/>
            <w:tcBorders>
              <w:tl2br w:val="nil"/>
              <w:tr2bl w:val="nil"/>
            </w:tcBorders>
            <w:noWrap w:val="0"/>
            <w:vAlign w:val="center"/>
          </w:tcPr>
          <w:p w14:paraId="2DBF38E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393</w:t>
            </w:r>
          </w:p>
        </w:tc>
        <w:tc>
          <w:tcPr>
            <w:tcW w:w="415" w:type="pct"/>
            <w:tcBorders>
              <w:tl2br w:val="nil"/>
              <w:tr2bl w:val="nil"/>
            </w:tcBorders>
            <w:noWrap w:val="0"/>
            <w:vAlign w:val="center"/>
          </w:tcPr>
          <w:p w14:paraId="0E38D22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77" w:type="pct"/>
            <w:tcBorders>
              <w:tl2br w:val="nil"/>
              <w:tr2bl w:val="nil"/>
            </w:tcBorders>
            <w:noWrap w:val="0"/>
            <w:vAlign w:val="center"/>
          </w:tcPr>
          <w:p w14:paraId="1D26FA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58" w:type="pct"/>
            <w:tcBorders>
              <w:tl2br w:val="nil"/>
              <w:tr2bl w:val="nil"/>
            </w:tcBorders>
            <w:noWrap w:val="0"/>
            <w:vAlign w:val="center"/>
          </w:tcPr>
          <w:p w14:paraId="1BC2682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9</w:t>
            </w:r>
          </w:p>
        </w:tc>
        <w:tc>
          <w:tcPr>
            <w:tcW w:w="478" w:type="pct"/>
            <w:tcBorders>
              <w:tl2br w:val="nil"/>
              <w:tr2bl w:val="nil"/>
            </w:tcBorders>
            <w:noWrap w:val="0"/>
            <w:vAlign w:val="center"/>
          </w:tcPr>
          <w:p w14:paraId="58C13C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420" w:type="pct"/>
            <w:vMerge w:val="continue"/>
            <w:tcBorders>
              <w:tl2br w:val="nil"/>
              <w:tr2bl w:val="nil"/>
            </w:tcBorders>
            <w:noWrap w:val="0"/>
            <w:vAlign w:val="center"/>
          </w:tcPr>
          <w:p w14:paraId="23B0E9F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31932A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4C9D3DE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3177850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斑竹村石梁子居民点（4#）</w:t>
            </w:r>
          </w:p>
        </w:tc>
        <w:tc>
          <w:tcPr>
            <w:tcW w:w="402" w:type="pct"/>
            <w:tcBorders>
              <w:tl2br w:val="nil"/>
              <w:tr2bl w:val="nil"/>
            </w:tcBorders>
            <w:noWrap w:val="0"/>
            <w:vAlign w:val="center"/>
          </w:tcPr>
          <w:p w14:paraId="0CE171C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2" w:type="pct"/>
            <w:tcBorders>
              <w:tl2br w:val="nil"/>
              <w:tr2bl w:val="nil"/>
            </w:tcBorders>
            <w:noWrap w:val="0"/>
            <w:vAlign w:val="center"/>
          </w:tcPr>
          <w:p w14:paraId="69F49A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9" w:type="pct"/>
            <w:tcBorders>
              <w:tl2br w:val="nil"/>
              <w:tr2bl w:val="nil"/>
            </w:tcBorders>
            <w:noWrap w:val="0"/>
            <w:vAlign w:val="center"/>
          </w:tcPr>
          <w:p w14:paraId="1DA482C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3FDF19B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306</w:t>
            </w:r>
          </w:p>
        </w:tc>
        <w:tc>
          <w:tcPr>
            <w:tcW w:w="415" w:type="pct"/>
            <w:tcBorders>
              <w:tl2br w:val="nil"/>
              <w:tr2bl w:val="nil"/>
            </w:tcBorders>
            <w:noWrap w:val="0"/>
            <w:vAlign w:val="center"/>
          </w:tcPr>
          <w:p w14:paraId="695B3F1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77" w:type="pct"/>
            <w:tcBorders>
              <w:tl2br w:val="nil"/>
              <w:tr2bl w:val="nil"/>
            </w:tcBorders>
            <w:noWrap w:val="0"/>
            <w:vAlign w:val="center"/>
          </w:tcPr>
          <w:p w14:paraId="40B2C29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58" w:type="pct"/>
            <w:tcBorders>
              <w:tl2br w:val="nil"/>
              <w:tr2bl w:val="nil"/>
            </w:tcBorders>
            <w:noWrap w:val="0"/>
            <w:vAlign w:val="center"/>
          </w:tcPr>
          <w:p w14:paraId="2DB6DC9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73D1598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420" w:type="pct"/>
            <w:vMerge w:val="continue"/>
            <w:tcBorders>
              <w:tl2br w:val="nil"/>
              <w:tr2bl w:val="nil"/>
            </w:tcBorders>
            <w:noWrap w:val="0"/>
            <w:vAlign w:val="center"/>
          </w:tcPr>
          <w:p w14:paraId="41271A1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16107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10225C6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7288A86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78CB5FB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2" w:type="pct"/>
            <w:tcBorders>
              <w:tl2br w:val="nil"/>
              <w:tr2bl w:val="nil"/>
            </w:tcBorders>
            <w:noWrap w:val="0"/>
            <w:vAlign w:val="center"/>
          </w:tcPr>
          <w:p w14:paraId="133FFC6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9" w:type="pct"/>
            <w:tcBorders>
              <w:tl2br w:val="nil"/>
              <w:tr2bl w:val="nil"/>
            </w:tcBorders>
            <w:noWrap w:val="0"/>
            <w:vAlign w:val="center"/>
          </w:tcPr>
          <w:p w14:paraId="5455AF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69</w:t>
            </w:r>
          </w:p>
        </w:tc>
        <w:tc>
          <w:tcPr>
            <w:tcW w:w="487" w:type="pct"/>
            <w:tcBorders>
              <w:tl2br w:val="nil"/>
              <w:tr2bl w:val="nil"/>
            </w:tcBorders>
            <w:noWrap w:val="0"/>
            <w:vAlign w:val="center"/>
          </w:tcPr>
          <w:p w14:paraId="12D65F7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252</w:t>
            </w:r>
          </w:p>
        </w:tc>
        <w:tc>
          <w:tcPr>
            <w:tcW w:w="415" w:type="pct"/>
            <w:tcBorders>
              <w:tl2br w:val="nil"/>
              <w:tr2bl w:val="nil"/>
            </w:tcBorders>
            <w:noWrap w:val="0"/>
            <w:vAlign w:val="center"/>
          </w:tcPr>
          <w:p w14:paraId="2CE53D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377" w:type="pct"/>
            <w:tcBorders>
              <w:tl2br w:val="nil"/>
              <w:tr2bl w:val="nil"/>
            </w:tcBorders>
            <w:noWrap w:val="0"/>
            <w:vAlign w:val="center"/>
          </w:tcPr>
          <w:p w14:paraId="28776F0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358" w:type="pct"/>
            <w:tcBorders>
              <w:tl2br w:val="nil"/>
              <w:tr2bl w:val="nil"/>
            </w:tcBorders>
            <w:noWrap w:val="0"/>
            <w:vAlign w:val="center"/>
          </w:tcPr>
          <w:p w14:paraId="1F80D7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78" w:type="pct"/>
            <w:tcBorders>
              <w:tl2br w:val="nil"/>
              <w:tr2bl w:val="nil"/>
            </w:tcBorders>
            <w:noWrap w:val="0"/>
            <w:vAlign w:val="center"/>
          </w:tcPr>
          <w:p w14:paraId="74E227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w:t>
            </w:r>
          </w:p>
        </w:tc>
        <w:tc>
          <w:tcPr>
            <w:tcW w:w="420" w:type="pct"/>
            <w:vMerge w:val="continue"/>
            <w:tcBorders>
              <w:tl2br w:val="nil"/>
              <w:tr2bl w:val="nil"/>
            </w:tcBorders>
            <w:noWrap w:val="0"/>
            <w:vAlign w:val="center"/>
          </w:tcPr>
          <w:p w14:paraId="3D33816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63234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405314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5C921F3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斑竹村新竹湾居民点</w:t>
            </w:r>
            <w:r>
              <w:rPr>
                <w:rFonts w:hint="default" w:ascii="Times New Roman" w:hAnsi="Times New Roman" w:eastAsia="宋体" w:cs="Times New Roman"/>
                <w:color w:val="auto"/>
                <w:kern w:val="0"/>
                <w:sz w:val="21"/>
                <w:szCs w:val="21"/>
                <w:lang w:val="en-US" w:eastAsia="zh-CN"/>
              </w:rPr>
              <w:t>（5#）</w:t>
            </w:r>
          </w:p>
        </w:tc>
        <w:tc>
          <w:tcPr>
            <w:tcW w:w="402" w:type="pct"/>
            <w:tcBorders>
              <w:tl2br w:val="nil"/>
              <w:tr2bl w:val="nil"/>
            </w:tcBorders>
            <w:noWrap w:val="0"/>
            <w:vAlign w:val="center"/>
          </w:tcPr>
          <w:p w14:paraId="130F577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5EF1FD3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57AAAC6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55ED001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153</w:t>
            </w:r>
          </w:p>
        </w:tc>
        <w:tc>
          <w:tcPr>
            <w:tcW w:w="415" w:type="pct"/>
            <w:tcBorders>
              <w:tl2br w:val="nil"/>
              <w:tr2bl w:val="nil"/>
            </w:tcBorders>
            <w:noWrap w:val="0"/>
            <w:vAlign w:val="center"/>
          </w:tcPr>
          <w:p w14:paraId="750BCCB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377" w:type="pct"/>
            <w:tcBorders>
              <w:tl2br w:val="nil"/>
              <w:tr2bl w:val="nil"/>
            </w:tcBorders>
            <w:noWrap w:val="0"/>
            <w:vAlign w:val="center"/>
          </w:tcPr>
          <w:p w14:paraId="41C273E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358" w:type="pct"/>
            <w:tcBorders>
              <w:tl2br w:val="nil"/>
              <w:tr2bl w:val="nil"/>
            </w:tcBorders>
            <w:noWrap w:val="0"/>
            <w:vAlign w:val="center"/>
          </w:tcPr>
          <w:p w14:paraId="4D18B9B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w:t>
            </w:r>
          </w:p>
        </w:tc>
        <w:tc>
          <w:tcPr>
            <w:tcW w:w="478" w:type="pct"/>
            <w:tcBorders>
              <w:tl2br w:val="nil"/>
              <w:tr2bl w:val="nil"/>
            </w:tcBorders>
            <w:noWrap w:val="0"/>
            <w:vAlign w:val="center"/>
          </w:tcPr>
          <w:p w14:paraId="6C8C93A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72</w:t>
            </w:r>
          </w:p>
        </w:tc>
        <w:tc>
          <w:tcPr>
            <w:tcW w:w="420" w:type="pct"/>
            <w:vMerge w:val="continue"/>
            <w:tcBorders>
              <w:tl2br w:val="nil"/>
              <w:tr2bl w:val="nil"/>
            </w:tcBorders>
            <w:noWrap w:val="0"/>
            <w:vAlign w:val="center"/>
          </w:tcPr>
          <w:p w14:paraId="3AACE50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40C17E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1372408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7AA1807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AE7459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2" w:type="pct"/>
            <w:tcBorders>
              <w:tl2br w:val="nil"/>
              <w:tr2bl w:val="nil"/>
            </w:tcBorders>
            <w:noWrap w:val="0"/>
            <w:vAlign w:val="center"/>
          </w:tcPr>
          <w:p w14:paraId="05D550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9" w:type="pct"/>
            <w:tcBorders>
              <w:tl2br w:val="nil"/>
              <w:tr2bl w:val="nil"/>
            </w:tcBorders>
            <w:noWrap w:val="0"/>
            <w:vAlign w:val="center"/>
          </w:tcPr>
          <w:p w14:paraId="18A7ABE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30</w:t>
            </w:r>
          </w:p>
        </w:tc>
        <w:tc>
          <w:tcPr>
            <w:tcW w:w="487" w:type="pct"/>
            <w:tcBorders>
              <w:tl2br w:val="nil"/>
              <w:tr2bl w:val="nil"/>
            </w:tcBorders>
            <w:noWrap w:val="0"/>
            <w:vAlign w:val="center"/>
          </w:tcPr>
          <w:p w14:paraId="4B822DD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246</w:t>
            </w:r>
          </w:p>
        </w:tc>
        <w:tc>
          <w:tcPr>
            <w:tcW w:w="415" w:type="pct"/>
            <w:tcBorders>
              <w:tl2br w:val="nil"/>
              <w:tr2bl w:val="nil"/>
            </w:tcBorders>
            <w:noWrap w:val="0"/>
            <w:vAlign w:val="center"/>
          </w:tcPr>
          <w:p w14:paraId="0066B37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77" w:type="pct"/>
            <w:tcBorders>
              <w:tl2br w:val="nil"/>
              <w:tr2bl w:val="nil"/>
            </w:tcBorders>
            <w:noWrap w:val="0"/>
            <w:vAlign w:val="center"/>
          </w:tcPr>
          <w:p w14:paraId="4C5E80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58" w:type="pct"/>
            <w:tcBorders>
              <w:tl2br w:val="nil"/>
              <w:tr2bl w:val="nil"/>
            </w:tcBorders>
            <w:noWrap w:val="0"/>
            <w:vAlign w:val="center"/>
          </w:tcPr>
          <w:p w14:paraId="689AFE4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78" w:type="pct"/>
            <w:tcBorders>
              <w:tl2br w:val="nil"/>
              <w:tr2bl w:val="nil"/>
            </w:tcBorders>
            <w:noWrap w:val="0"/>
            <w:vAlign w:val="center"/>
          </w:tcPr>
          <w:p w14:paraId="056E369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63</w:t>
            </w:r>
          </w:p>
        </w:tc>
        <w:tc>
          <w:tcPr>
            <w:tcW w:w="420" w:type="pct"/>
            <w:vMerge w:val="continue"/>
            <w:tcBorders>
              <w:tl2br w:val="nil"/>
              <w:tr2bl w:val="nil"/>
            </w:tcBorders>
            <w:noWrap w:val="0"/>
            <w:vAlign w:val="center"/>
          </w:tcPr>
          <w:p w14:paraId="401D121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4D7C1D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10FB8F7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5031777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r>
              <w:rPr>
                <w:rFonts w:hint="default" w:ascii="Times New Roman" w:hAnsi="Times New Roman" w:eastAsia="宋体" w:cs="Times New Roman"/>
                <w:color w:val="auto"/>
                <w:kern w:val="0"/>
                <w:sz w:val="21"/>
                <w:szCs w:val="21"/>
                <w:lang w:val="en-US" w:eastAsia="zh-CN"/>
              </w:rPr>
              <w:t>（6#）</w:t>
            </w:r>
          </w:p>
        </w:tc>
        <w:tc>
          <w:tcPr>
            <w:tcW w:w="402" w:type="pct"/>
            <w:tcBorders>
              <w:tl2br w:val="nil"/>
              <w:tr2bl w:val="nil"/>
            </w:tcBorders>
            <w:noWrap w:val="0"/>
            <w:vAlign w:val="center"/>
          </w:tcPr>
          <w:p w14:paraId="228EE74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59</w:t>
            </w:r>
          </w:p>
        </w:tc>
        <w:tc>
          <w:tcPr>
            <w:tcW w:w="402" w:type="pct"/>
            <w:tcBorders>
              <w:tl2br w:val="nil"/>
              <w:tr2bl w:val="nil"/>
            </w:tcBorders>
            <w:noWrap w:val="0"/>
            <w:vAlign w:val="center"/>
          </w:tcPr>
          <w:p w14:paraId="598AEAF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59</w:t>
            </w:r>
          </w:p>
        </w:tc>
        <w:tc>
          <w:tcPr>
            <w:tcW w:w="409" w:type="pct"/>
            <w:tcBorders>
              <w:tl2br w:val="nil"/>
              <w:tr2bl w:val="nil"/>
            </w:tcBorders>
            <w:noWrap w:val="0"/>
            <w:vAlign w:val="center"/>
          </w:tcPr>
          <w:p w14:paraId="3260EA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w:t>
            </w:r>
          </w:p>
        </w:tc>
        <w:tc>
          <w:tcPr>
            <w:tcW w:w="487" w:type="pct"/>
            <w:tcBorders>
              <w:tl2br w:val="nil"/>
              <w:tr2bl w:val="nil"/>
            </w:tcBorders>
            <w:noWrap w:val="0"/>
            <w:vAlign w:val="center"/>
          </w:tcPr>
          <w:p w14:paraId="4091B3D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15" w:type="pct"/>
            <w:tcBorders>
              <w:tl2br w:val="nil"/>
              <w:tr2bl w:val="nil"/>
            </w:tcBorders>
            <w:noWrap w:val="0"/>
            <w:vAlign w:val="center"/>
          </w:tcPr>
          <w:p w14:paraId="3376FA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119D511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3669119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45924C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72</w:t>
            </w:r>
          </w:p>
        </w:tc>
        <w:tc>
          <w:tcPr>
            <w:tcW w:w="420" w:type="pct"/>
            <w:vMerge w:val="continue"/>
            <w:tcBorders>
              <w:tl2br w:val="nil"/>
              <w:tr2bl w:val="nil"/>
            </w:tcBorders>
            <w:noWrap w:val="0"/>
            <w:vAlign w:val="center"/>
          </w:tcPr>
          <w:p w14:paraId="00C32A1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602953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3D3299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5C841DA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p>
        </w:tc>
        <w:tc>
          <w:tcPr>
            <w:tcW w:w="402" w:type="pct"/>
            <w:tcBorders>
              <w:tl2br w:val="nil"/>
              <w:tr2bl w:val="nil"/>
            </w:tcBorders>
            <w:noWrap w:val="0"/>
            <w:vAlign w:val="center"/>
          </w:tcPr>
          <w:p w14:paraId="2B8F97A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073981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01E55F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87" w:type="pct"/>
            <w:tcBorders>
              <w:tl2br w:val="nil"/>
              <w:tr2bl w:val="nil"/>
            </w:tcBorders>
            <w:noWrap w:val="0"/>
            <w:vAlign w:val="center"/>
          </w:tcPr>
          <w:p w14:paraId="0BD89D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72</w:t>
            </w:r>
          </w:p>
        </w:tc>
        <w:tc>
          <w:tcPr>
            <w:tcW w:w="415" w:type="pct"/>
            <w:tcBorders>
              <w:tl2br w:val="nil"/>
              <w:tr2bl w:val="nil"/>
            </w:tcBorders>
            <w:noWrap w:val="0"/>
            <w:vAlign w:val="center"/>
          </w:tcPr>
          <w:p w14:paraId="1EC369E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0D2A51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1F128EB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3056E23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36</w:t>
            </w:r>
          </w:p>
        </w:tc>
        <w:tc>
          <w:tcPr>
            <w:tcW w:w="420" w:type="pct"/>
            <w:vMerge w:val="continue"/>
            <w:tcBorders>
              <w:tl2br w:val="nil"/>
              <w:tr2bl w:val="nil"/>
            </w:tcBorders>
            <w:noWrap w:val="0"/>
            <w:vAlign w:val="center"/>
          </w:tcPr>
          <w:p w14:paraId="5385786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7CD033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57195B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7E195DD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p>
        </w:tc>
        <w:tc>
          <w:tcPr>
            <w:tcW w:w="402" w:type="pct"/>
            <w:tcBorders>
              <w:tl2br w:val="nil"/>
              <w:tr2bl w:val="nil"/>
            </w:tcBorders>
            <w:noWrap w:val="0"/>
            <w:vAlign w:val="center"/>
          </w:tcPr>
          <w:p w14:paraId="158B1E1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02" w:type="pct"/>
            <w:tcBorders>
              <w:tl2br w:val="nil"/>
              <w:tr2bl w:val="nil"/>
            </w:tcBorders>
            <w:noWrap w:val="0"/>
            <w:vAlign w:val="center"/>
          </w:tcPr>
          <w:p w14:paraId="2E68A8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09" w:type="pct"/>
            <w:tcBorders>
              <w:tl2br w:val="nil"/>
              <w:tr2bl w:val="nil"/>
            </w:tcBorders>
            <w:noWrap w:val="0"/>
            <w:vAlign w:val="center"/>
          </w:tcPr>
          <w:p w14:paraId="61BF0D7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87" w:type="pct"/>
            <w:tcBorders>
              <w:tl2br w:val="nil"/>
              <w:tr2bl w:val="nil"/>
            </w:tcBorders>
            <w:noWrap w:val="0"/>
            <w:vAlign w:val="center"/>
          </w:tcPr>
          <w:p w14:paraId="3882E75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415" w:type="pct"/>
            <w:tcBorders>
              <w:tl2br w:val="nil"/>
              <w:tr2bl w:val="nil"/>
            </w:tcBorders>
            <w:noWrap w:val="0"/>
            <w:vAlign w:val="center"/>
          </w:tcPr>
          <w:p w14:paraId="10AD4BB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377" w:type="pct"/>
            <w:tcBorders>
              <w:tl2br w:val="nil"/>
              <w:tr2bl w:val="nil"/>
            </w:tcBorders>
            <w:noWrap w:val="0"/>
            <w:vAlign w:val="center"/>
          </w:tcPr>
          <w:p w14:paraId="1749683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358" w:type="pct"/>
            <w:tcBorders>
              <w:tl2br w:val="nil"/>
              <w:tr2bl w:val="nil"/>
            </w:tcBorders>
            <w:noWrap w:val="0"/>
            <w:vAlign w:val="center"/>
          </w:tcPr>
          <w:p w14:paraId="1A45B29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746EAAB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20" w:type="pct"/>
            <w:vMerge w:val="continue"/>
            <w:tcBorders>
              <w:tl2br w:val="nil"/>
              <w:tr2bl w:val="nil"/>
            </w:tcBorders>
            <w:noWrap w:val="0"/>
            <w:vAlign w:val="center"/>
          </w:tcPr>
          <w:p w14:paraId="096EB7C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0E9EC5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D38ECF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7009F49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8C94C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62</w:t>
            </w:r>
          </w:p>
        </w:tc>
        <w:tc>
          <w:tcPr>
            <w:tcW w:w="402" w:type="pct"/>
            <w:tcBorders>
              <w:tl2br w:val="nil"/>
              <w:tr2bl w:val="nil"/>
            </w:tcBorders>
            <w:noWrap w:val="0"/>
            <w:vAlign w:val="center"/>
          </w:tcPr>
          <w:p w14:paraId="1C30C1A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62</w:t>
            </w:r>
          </w:p>
        </w:tc>
        <w:tc>
          <w:tcPr>
            <w:tcW w:w="409" w:type="pct"/>
            <w:tcBorders>
              <w:tl2br w:val="nil"/>
              <w:tr2bl w:val="nil"/>
            </w:tcBorders>
            <w:noWrap w:val="0"/>
            <w:vAlign w:val="center"/>
          </w:tcPr>
          <w:p w14:paraId="117EBA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87" w:type="pct"/>
            <w:tcBorders>
              <w:tl2br w:val="nil"/>
              <w:tr2bl w:val="nil"/>
            </w:tcBorders>
            <w:noWrap w:val="0"/>
            <w:vAlign w:val="center"/>
          </w:tcPr>
          <w:p w14:paraId="0E28CF1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138</w:t>
            </w:r>
          </w:p>
        </w:tc>
        <w:tc>
          <w:tcPr>
            <w:tcW w:w="415" w:type="pct"/>
            <w:tcBorders>
              <w:tl2br w:val="nil"/>
              <w:tr2bl w:val="nil"/>
            </w:tcBorders>
            <w:noWrap w:val="0"/>
            <w:vAlign w:val="center"/>
          </w:tcPr>
          <w:p w14:paraId="181C04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77" w:type="pct"/>
            <w:tcBorders>
              <w:tl2br w:val="nil"/>
              <w:tr2bl w:val="nil"/>
            </w:tcBorders>
            <w:noWrap w:val="0"/>
            <w:vAlign w:val="center"/>
          </w:tcPr>
          <w:p w14:paraId="340A30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58" w:type="pct"/>
            <w:tcBorders>
              <w:tl2br w:val="nil"/>
              <w:tr2bl w:val="nil"/>
            </w:tcBorders>
            <w:noWrap w:val="0"/>
            <w:vAlign w:val="center"/>
          </w:tcPr>
          <w:p w14:paraId="2878B5E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691273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30</w:t>
            </w:r>
          </w:p>
        </w:tc>
        <w:tc>
          <w:tcPr>
            <w:tcW w:w="420" w:type="pct"/>
            <w:vMerge w:val="continue"/>
            <w:tcBorders>
              <w:tl2br w:val="nil"/>
              <w:tr2bl w:val="nil"/>
            </w:tcBorders>
            <w:noWrap w:val="0"/>
            <w:vAlign w:val="center"/>
          </w:tcPr>
          <w:p w14:paraId="6CC8118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6B9660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1BDA10A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2026.1.20</w:t>
            </w:r>
          </w:p>
        </w:tc>
        <w:tc>
          <w:tcPr>
            <w:tcW w:w="673" w:type="pct"/>
            <w:vMerge w:val="restart"/>
            <w:tcBorders>
              <w:tl2br w:val="nil"/>
              <w:tr2bl w:val="nil"/>
            </w:tcBorders>
            <w:noWrap w:val="0"/>
            <w:vAlign w:val="center"/>
          </w:tcPr>
          <w:p w14:paraId="60F2A9C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1#石窝村八角庙居民点</w:t>
            </w:r>
            <w:r>
              <w:rPr>
                <w:rFonts w:hint="default" w:ascii="Times New Roman" w:hAnsi="Times New Roman" w:eastAsia="宋体" w:cs="Times New Roman"/>
                <w:color w:val="auto"/>
                <w:kern w:val="0"/>
                <w:sz w:val="21"/>
                <w:szCs w:val="21"/>
                <w:lang w:val="en-US" w:eastAsia="zh-CN"/>
              </w:rPr>
              <w:t>（7#）</w:t>
            </w:r>
          </w:p>
        </w:tc>
        <w:tc>
          <w:tcPr>
            <w:tcW w:w="402" w:type="pct"/>
            <w:tcBorders>
              <w:tl2br w:val="nil"/>
              <w:tr2bl w:val="nil"/>
            </w:tcBorders>
            <w:noWrap w:val="0"/>
            <w:vAlign w:val="center"/>
          </w:tcPr>
          <w:p w14:paraId="5F5574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43CD509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4C6D69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87" w:type="pct"/>
            <w:tcBorders>
              <w:tl2br w:val="nil"/>
              <w:tr2bl w:val="nil"/>
            </w:tcBorders>
            <w:noWrap w:val="0"/>
            <w:vAlign w:val="center"/>
          </w:tcPr>
          <w:p w14:paraId="297ADA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415" w:type="pct"/>
            <w:tcBorders>
              <w:tl2br w:val="nil"/>
              <w:tr2bl w:val="nil"/>
            </w:tcBorders>
            <w:noWrap w:val="0"/>
            <w:vAlign w:val="center"/>
          </w:tcPr>
          <w:p w14:paraId="57077E7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377" w:type="pct"/>
            <w:tcBorders>
              <w:tl2br w:val="nil"/>
              <w:tr2bl w:val="nil"/>
            </w:tcBorders>
            <w:noWrap w:val="0"/>
            <w:vAlign w:val="center"/>
          </w:tcPr>
          <w:p w14:paraId="3D88379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358" w:type="pct"/>
            <w:tcBorders>
              <w:tl2br w:val="nil"/>
              <w:tr2bl w:val="nil"/>
            </w:tcBorders>
            <w:noWrap w:val="0"/>
            <w:vAlign w:val="center"/>
          </w:tcPr>
          <w:p w14:paraId="3629608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47CB9A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420" w:type="pct"/>
            <w:vMerge w:val="continue"/>
            <w:tcBorders>
              <w:tl2br w:val="nil"/>
              <w:tr2bl w:val="nil"/>
            </w:tcBorders>
            <w:noWrap w:val="0"/>
            <w:vAlign w:val="center"/>
          </w:tcPr>
          <w:p w14:paraId="12A0C71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324B6B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3CF4B4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4531E3A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p>
        </w:tc>
        <w:tc>
          <w:tcPr>
            <w:tcW w:w="402" w:type="pct"/>
            <w:tcBorders>
              <w:tl2br w:val="nil"/>
              <w:tr2bl w:val="nil"/>
            </w:tcBorders>
            <w:noWrap w:val="0"/>
            <w:vAlign w:val="center"/>
          </w:tcPr>
          <w:p w14:paraId="0A693B1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55</w:t>
            </w:r>
          </w:p>
        </w:tc>
        <w:tc>
          <w:tcPr>
            <w:tcW w:w="402" w:type="pct"/>
            <w:tcBorders>
              <w:tl2br w:val="nil"/>
              <w:tr2bl w:val="nil"/>
            </w:tcBorders>
            <w:noWrap w:val="0"/>
            <w:vAlign w:val="center"/>
          </w:tcPr>
          <w:p w14:paraId="2E18DD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55</w:t>
            </w:r>
          </w:p>
        </w:tc>
        <w:tc>
          <w:tcPr>
            <w:tcW w:w="409" w:type="pct"/>
            <w:tcBorders>
              <w:tl2br w:val="nil"/>
              <w:tr2bl w:val="nil"/>
            </w:tcBorders>
            <w:noWrap w:val="0"/>
            <w:vAlign w:val="center"/>
          </w:tcPr>
          <w:p w14:paraId="0D0BF33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87" w:type="pct"/>
            <w:tcBorders>
              <w:tl2br w:val="nil"/>
              <w:tr2bl w:val="nil"/>
            </w:tcBorders>
            <w:noWrap w:val="0"/>
            <w:vAlign w:val="center"/>
          </w:tcPr>
          <w:p w14:paraId="4924490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156</w:t>
            </w:r>
          </w:p>
        </w:tc>
        <w:tc>
          <w:tcPr>
            <w:tcW w:w="415" w:type="pct"/>
            <w:tcBorders>
              <w:tl2br w:val="nil"/>
              <w:tr2bl w:val="nil"/>
            </w:tcBorders>
            <w:noWrap w:val="0"/>
            <w:vAlign w:val="center"/>
          </w:tcPr>
          <w:p w14:paraId="6FA7788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77" w:type="pct"/>
            <w:tcBorders>
              <w:tl2br w:val="nil"/>
              <w:tr2bl w:val="nil"/>
            </w:tcBorders>
            <w:noWrap w:val="0"/>
            <w:vAlign w:val="center"/>
          </w:tcPr>
          <w:p w14:paraId="37EBF9E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58" w:type="pct"/>
            <w:tcBorders>
              <w:tl2br w:val="nil"/>
              <w:tr2bl w:val="nil"/>
            </w:tcBorders>
            <w:noWrap w:val="0"/>
            <w:vAlign w:val="center"/>
          </w:tcPr>
          <w:p w14:paraId="4D6611F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2D37E52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30</w:t>
            </w:r>
          </w:p>
        </w:tc>
        <w:tc>
          <w:tcPr>
            <w:tcW w:w="420" w:type="pct"/>
            <w:vMerge w:val="continue"/>
            <w:tcBorders>
              <w:tl2br w:val="nil"/>
              <w:tr2bl w:val="nil"/>
            </w:tcBorders>
            <w:noWrap w:val="0"/>
            <w:vAlign w:val="center"/>
          </w:tcPr>
          <w:p w14:paraId="46BA160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7E04DD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52FAC3A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2026.1.21</w:t>
            </w:r>
          </w:p>
        </w:tc>
        <w:tc>
          <w:tcPr>
            <w:tcW w:w="673" w:type="pct"/>
            <w:vMerge w:val="continue"/>
            <w:tcBorders>
              <w:tl2br w:val="nil"/>
              <w:tr2bl w:val="nil"/>
            </w:tcBorders>
            <w:noWrap w:val="0"/>
            <w:vAlign w:val="center"/>
          </w:tcPr>
          <w:p w14:paraId="181FEBD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p>
        </w:tc>
        <w:tc>
          <w:tcPr>
            <w:tcW w:w="402" w:type="pct"/>
            <w:tcBorders>
              <w:tl2br w:val="nil"/>
              <w:tr2bl w:val="nil"/>
            </w:tcBorders>
            <w:noWrap w:val="0"/>
            <w:vAlign w:val="center"/>
          </w:tcPr>
          <w:p w14:paraId="0905F0B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2" w:type="pct"/>
            <w:tcBorders>
              <w:tl2br w:val="nil"/>
              <w:tr2bl w:val="nil"/>
            </w:tcBorders>
            <w:noWrap w:val="0"/>
            <w:vAlign w:val="center"/>
          </w:tcPr>
          <w:p w14:paraId="113FD3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9" w:type="pct"/>
            <w:tcBorders>
              <w:tl2br w:val="nil"/>
              <w:tr2bl w:val="nil"/>
            </w:tcBorders>
            <w:noWrap w:val="0"/>
            <w:vAlign w:val="center"/>
          </w:tcPr>
          <w:p w14:paraId="116BDDE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87" w:type="pct"/>
            <w:tcBorders>
              <w:tl2br w:val="nil"/>
              <w:tr2bl w:val="nil"/>
            </w:tcBorders>
            <w:noWrap w:val="0"/>
            <w:vAlign w:val="center"/>
          </w:tcPr>
          <w:p w14:paraId="2CB6BF1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15" w:type="pct"/>
            <w:tcBorders>
              <w:tl2br w:val="nil"/>
              <w:tr2bl w:val="nil"/>
            </w:tcBorders>
            <w:noWrap w:val="0"/>
            <w:vAlign w:val="center"/>
          </w:tcPr>
          <w:p w14:paraId="4FB9D3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3FF5C98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331717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724999D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420" w:type="pct"/>
            <w:vMerge w:val="continue"/>
            <w:tcBorders>
              <w:tl2br w:val="nil"/>
              <w:tr2bl w:val="nil"/>
            </w:tcBorders>
            <w:noWrap w:val="0"/>
            <w:vAlign w:val="center"/>
          </w:tcPr>
          <w:p w14:paraId="5C359ED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0E326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3C7547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589322B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F09B3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754A26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1E6554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87" w:type="pct"/>
            <w:tcBorders>
              <w:tl2br w:val="nil"/>
              <w:tr2bl w:val="nil"/>
            </w:tcBorders>
            <w:noWrap w:val="0"/>
            <w:vAlign w:val="center"/>
          </w:tcPr>
          <w:p w14:paraId="4B865A0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96</w:t>
            </w:r>
          </w:p>
        </w:tc>
        <w:tc>
          <w:tcPr>
            <w:tcW w:w="415" w:type="pct"/>
            <w:tcBorders>
              <w:tl2br w:val="nil"/>
              <w:tr2bl w:val="nil"/>
            </w:tcBorders>
            <w:noWrap w:val="0"/>
            <w:vAlign w:val="center"/>
          </w:tcPr>
          <w:p w14:paraId="1802D1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77" w:type="pct"/>
            <w:tcBorders>
              <w:tl2br w:val="nil"/>
              <w:tr2bl w:val="nil"/>
            </w:tcBorders>
            <w:noWrap w:val="0"/>
            <w:vAlign w:val="center"/>
          </w:tcPr>
          <w:p w14:paraId="0AFFB84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58" w:type="pct"/>
            <w:tcBorders>
              <w:tl2br w:val="nil"/>
              <w:tr2bl w:val="nil"/>
            </w:tcBorders>
            <w:noWrap w:val="0"/>
            <w:vAlign w:val="center"/>
          </w:tcPr>
          <w:p w14:paraId="0A1D1A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16187EB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30</w:t>
            </w:r>
          </w:p>
        </w:tc>
        <w:tc>
          <w:tcPr>
            <w:tcW w:w="420" w:type="pct"/>
            <w:vMerge w:val="continue"/>
            <w:tcBorders>
              <w:tl2br w:val="nil"/>
              <w:tr2bl w:val="nil"/>
            </w:tcBorders>
            <w:noWrap w:val="0"/>
            <w:vAlign w:val="center"/>
          </w:tcPr>
          <w:p w14:paraId="751BA47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086E88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7A548E8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eastAsia="zh-CN"/>
              </w:rPr>
              <w:t>评价标准值</w:t>
            </w:r>
          </w:p>
        </w:tc>
        <w:tc>
          <w:tcPr>
            <w:tcW w:w="3752" w:type="pct"/>
            <w:gridSpan w:val="9"/>
            <w:tcBorders>
              <w:tl2br w:val="nil"/>
              <w:tr2bl w:val="nil"/>
            </w:tcBorders>
            <w:noWrap w:val="0"/>
            <w:vAlign w:val="center"/>
          </w:tcPr>
          <w:p w14:paraId="7EBF436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eastAsia="zh-CN"/>
              </w:rPr>
              <w:t>C20、C26、C28、C30、</w:t>
            </w:r>
            <w:r>
              <w:rPr>
                <w:rFonts w:hint="default" w:ascii="Times New Roman" w:hAnsi="Times New Roman" w:eastAsia="宋体" w:cs="Times New Roman"/>
                <w:snapToGrid w:val="0"/>
                <w:color w:val="auto"/>
                <w:kern w:val="0"/>
                <w:sz w:val="21"/>
                <w:szCs w:val="21"/>
                <w:highlight w:val="none"/>
                <w:lang w:val="en-US" w:eastAsia="zh-CN" w:bidi="ar-SA"/>
              </w:rPr>
              <w:t>1#石窝村八角庙居民点</w:t>
            </w:r>
            <w:r>
              <w:rPr>
                <w:rFonts w:hint="default" w:ascii="Times New Roman" w:hAnsi="Times New Roman" w:eastAsia="宋体" w:cs="Times New Roman"/>
                <w:color w:val="auto"/>
                <w:sz w:val="21"/>
                <w:szCs w:val="21"/>
                <w:lang w:eastAsia="zh-CN"/>
              </w:rPr>
              <w:t>：昼间≤70dB：夜间≤55dB，C22、C24：昼间≤60dB：夜间≤50dB。</w:t>
            </w:r>
          </w:p>
        </w:tc>
      </w:tr>
      <w:tr w14:paraId="1EFDEB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67AC891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eastAsia="zh-CN"/>
              </w:rPr>
              <w:t>评价依据</w:t>
            </w:r>
          </w:p>
        </w:tc>
        <w:tc>
          <w:tcPr>
            <w:tcW w:w="3752" w:type="pct"/>
            <w:gridSpan w:val="9"/>
            <w:tcBorders>
              <w:tl2br w:val="nil"/>
              <w:tr2bl w:val="nil"/>
            </w:tcBorders>
            <w:noWrap w:val="0"/>
            <w:vAlign w:val="center"/>
          </w:tcPr>
          <w:p w14:paraId="0AC6AE0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pacing w:val="0"/>
                <w:w w:val="100"/>
                <w:kern w:val="2"/>
                <w:sz w:val="21"/>
                <w:szCs w:val="21"/>
                <w:lang w:val="en-US" w:eastAsia="zh-CN" w:bidi="ar-SA"/>
              </w:rPr>
              <w:t>《声环境质量标准》（GB 3096-2008）中2类、4a类标准。</w:t>
            </w:r>
          </w:p>
        </w:tc>
      </w:tr>
      <w:tr w14:paraId="7BC95B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39FC72F8">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检测结论</w:t>
            </w:r>
          </w:p>
        </w:tc>
        <w:tc>
          <w:tcPr>
            <w:tcW w:w="3752" w:type="pct"/>
            <w:gridSpan w:val="9"/>
            <w:tcBorders>
              <w:tl2br w:val="nil"/>
              <w:tr2bl w:val="nil"/>
            </w:tcBorders>
            <w:noWrap w:val="0"/>
            <w:vAlign w:val="center"/>
          </w:tcPr>
          <w:p w14:paraId="44978FB6">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highlight w:val="none"/>
                <w:lang w:val="en-US" w:eastAsia="zh-CN"/>
              </w:rPr>
              <w:t>本次检测，城市区域环境噪声检测点</w:t>
            </w:r>
            <w:r>
              <w:rPr>
                <w:rFonts w:hint="default" w:ascii="Times New Roman" w:hAnsi="Times New Roman" w:eastAsia="宋体" w:cs="Times New Roman"/>
                <w:color w:val="auto"/>
                <w:kern w:val="0"/>
                <w:sz w:val="21"/>
                <w:szCs w:val="21"/>
                <w:lang w:val="en-US" w:eastAsia="zh-CN"/>
              </w:rPr>
              <w:t>斑竹村马鞍桥居民点（3#）</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lang w:val="en-US" w:eastAsia="zh-CN"/>
              </w:rPr>
              <w:t>斑竹村石梁子居民点（4#）</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SA"/>
              </w:rPr>
              <w:t>斑竹村新竹湾居民点</w:t>
            </w:r>
            <w:r>
              <w:rPr>
                <w:rFonts w:hint="default" w:ascii="Times New Roman" w:hAnsi="Times New Roman" w:eastAsia="宋体" w:cs="Times New Roman"/>
                <w:color w:val="auto"/>
                <w:kern w:val="0"/>
                <w:sz w:val="21"/>
                <w:szCs w:val="21"/>
                <w:lang w:val="en-US" w:eastAsia="zh-CN"/>
              </w:rPr>
              <w:t>（5#）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SA"/>
              </w:rPr>
              <w:t>2#斑竹村长五间居民点</w:t>
            </w:r>
            <w:r>
              <w:rPr>
                <w:rFonts w:hint="default" w:ascii="Times New Roman" w:hAnsi="Times New Roman" w:eastAsia="宋体" w:cs="Times New Roman"/>
                <w:color w:val="auto"/>
                <w:kern w:val="0"/>
                <w:sz w:val="21"/>
                <w:szCs w:val="21"/>
                <w:lang w:val="en-US" w:eastAsia="zh-CN"/>
              </w:rPr>
              <w:t>（6#）</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SA"/>
              </w:rPr>
              <w:t>1#石窝村八角庙居民点</w:t>
            </w:r>
            <w:r>
              <w:rPr>
                <w:rFonts w:hint="default" w:ascii="Times New Roman" w:hAnsi="Times New Roman" w:eastAsia="宋体" w:cs="Times New Roman"/>
                <w:color w:val="auto"/>
                <w:sz w:val="21"/>
                <w:szCs w:val="21"/>
                <w:highlight w:val="none"/>
                <w:lang w:val="en-US" w:eastAsia="zh-CN"/>
              </w:rPr>
              <w:t>处昼间、夜间检测结果均满足《声环境质量标准》（GB3096-2008）4a类标准要求，</w:t>
            </w:r>
            <w:r>
              <w:rPr>
                <w:rFonts w:hint="default" w:ascii="Times New Roman" w:hAnsi="Times New Roman" w:eastAsia="宋体" w:cs="Times New Roman"/>
                <w:color w:val="auto"/>
                <w:kern w:val="0"/>
                <w:sz w:val="21"/>
                <w:szCs w:val="21"/>
                <w:lang w:val="en-US" w:eastAsia="zh-CN"/>
              </w:rPr>
              <w:t>大田村华家屋基居民点（2#）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lang w:val="en-US" w:eastAsia="zh-CN"/>
              </w:rPr>
              <w:t>斑竹村马鞍桥居民点（3#）</w:t>
            </w:r>
            <w:r>
              <w:rPr>
                <w:rFonts w:hint="default" w:ascii="Times New Roman" w:hAnsi="Times New Roman" w:eastAsia="宋体" w:cs="Times New Roman"/>
                <w:color w:val="auto"/>
                <w:sz w:val="21"/>
                <w:szCs w:val="21"/>
                <w:highlight w:val="none"/>
                <w:lang w:val="en-US" w:eastAsia="zh-CN"/>
              </w:rPr>
              <w:t>处昼间、夜间检测结果均满足《声环境质量标准》（GB3096-2008）2类标准要求。</w:t>
            </w:r>
          </w:p>
        </w:tc>
      </w:tr>
      <w:tr w14:paraId="01322F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1E250701">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b w:val="0"/>
                <w:bCs w:val="0"/>
                <w:color w:val="auto"/>
                <w:kern w:val="0"/>
                <w:sz w:val="21"/>
                <w:szCs w:val="21"/>
                <w:highlight w:val="none"/>
                <w:lang w:val="en-US" w:eastAsia="zh-CN"/>
              </w:rPr>
              <w:t>备注</w:t>
            </w:r>
          </w:p>
        </w:tc>
        <w:tc>
          <w:tcPr>
            <w:tcW w:w="3752" w:type="pct"/>
            <w:gridSpan w:val="9"/>
            <w:tcBorders>
              <w:tl2br w:val="nil"/>
              <w:tr2bl w:val="nil"/>
            </w:tcBorders>
            <w:noWrap w:val="0"/>
            <w:vAlign w:val="center"/>
          </w:tcPr>
          <w:p w14:paraId="38A4E5D8">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检测路段名称：S47渝广高速。</w:t>
            </w:r>
          </w:p>
        </w:tc>
      </w:tr>
    </w:tbl>
    <w:p w14:paraId="565CC38D">
      <w:pPr>
        <w:rPr>
          <w:rFonts w:hint="default" w:ascii="Times New Roman" w:hAnsi="Times New Roman" w:cs="Times New Roman"/>
          <w:color w:val="auto"/>
        </w:rPr>
      </w:pPr>
    </w:p>
    <w:p w14:paraId="023BBF12">
      <w:pPr>
        <w:pStyle w:val="9"/>
        <w:rPr>
          <w:rFonts w:hint="default" w:ascii="Times New Roman" w:hAnsi="Times New Roman" w:eastAsia="宋体" w:cs="Times New Roman"/>
          <w:color w:val="auto"/>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eastAsia" w:ascii="Times New Roman" w:hAnsi="Times New Roman" w:cs="Times New Roman"/>
          <w:color w:val="auto"/>
          <w:lang w:val="en-US" w:eastAsia="zh-CN"/>
        </w:rPr>
        <w:t xml:space="preserve">6  </w:t>
      </w:r>
      <w:r>
        <w:rPr>
          <w:rFonts w:hint="default" w:ascii="Times New Roman" w:hAnsi="Times New Roman" w:cs="Times New Roman"/>
          <w:color w:val="auto"/>
        </w:rPr>
        <w:t>一般敏感点监测情况统计表</w:t>
      </w:r>
      <w:r>
        <w:rPr>
          <w:rFonts w:hint="default" w:ascii="Times New Roman" w:hAnsi="Times New Roman" w:cs="Times New Roman"/>
          <w:color w:val="auto"/>
          <w:lang w:val="en-US" w:eastAsia="zh-CN"/>
        </w:rPr>
        <w:t>2</w:t>
      </w:r>
    </w:p>
    <w:tbl>
      <w:tblPr>
        <w:tblStyle w:val="20"/>
        <w:tblW w:w="513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178"/>
        <w:gridCol w:w="705"/>
        <w:gridCol w:w="705"/>
        <w:gridCol w:w="716"/>
        <w:gridCol w:w="854"/>
        <w:gridCol w:w="727"/>
        <w:gridCol w:w="661"/>
        <w:gridCol w:w="627"/>
        <w:gridCol w:w="837"/>
        <w:gridCol w:w="736"/>
      </w:tblGrid>
      <w:tr w14:paraId="1C34D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restart"/>
            <w:tcBorders>
              <w:tl2br w:val="nil"/>
              <w:tr2bl w:val="nil"/>
            </w:tcBorders>
            <w:noWrap w:val="0"/>
            <w:vAlign w:val="center"/>
          </w:tcPr>
          <w:p w14:paraId="63ED072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w:t>
            </w:r>
          </w:p>
          <w:p w14:paraId="0349BA0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时间</w:t>
            </w:r>
          </w:p>
        </w:tc>
        <w:tc>
          <w:tcPr>
            <w:tcW w:w="673" w:type="pct"/>
            <w:vMerge w:val="restart"/>
            <w:tcBorders>
              <w:tl2br w:val="nil"/>
              <w:tr2bl w:val="nil"/>
            </w:tcBorders>
            <w:noWrap w:val="0"/>
            <w:vAlign w:val="center"/>
          </w:tcPr>
          <w:p w14:paraId="3CA88D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采样位置及编号</w:t>
            </w:r>
          </w:p>
        </w:tc>
        <w:tc>
          <w:tcPr>
            <w:tcW w:w="805" w:type="pct"/>
            <w:gridSpan w:val="2"/>
            <w:tcBorders>
              <w:tl2br w:val="nil"/>
              <w:tr2bl w:val="nil"/>
            </w:tcBorders>
            <w:noWrap w:val="0"/>
            <w:vAlign w:val="center"/>
          </w:tcPr>
          <w:p w14:paraId="60F0D96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53847D6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97" w:type="pct"/>
            <w:gridSpan w:val="2"/>
            <w:tcBorders>
              <w:tl2br w:val="nil"/>
              <w:tr2bl w:val="nil"/>
            </w:tcBorders>
            <w:noWrap w:val="0"/>
            <w:vAlign w:val="center"/>
          </w:tcPr>
          <w:p w14:paraId="034B65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75553FF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793" w:type="pct"/>
            <w:gridSpan w:val="2"/>
            <w:tcBorders>
              <w:tl2br w:val="nil"/>
              <w:tr2bl w:val="nil"/>
            </w:tcBorders>
            <w:noWrap w:val="0"/>
            <w:vAlign w:val="center"/>
          </w:tcPr>
          <w:p w14:paraId="529489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5B9B371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36" w:type="pct"/>
            <w:gridSpan w:val="2"/>
            <w:tcBorders>
              <w:tl2br w:val="nil"/>
              <w:tr2bl w:val="nil"/>
            </w:tcBorders>
            <w:noWrap w:val="0"/>
            <w:vAlign w:val="center"/>
          </w:tcPr>
          <w:p w14:paraId="76E0384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493AD0C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420" w:type="pct"/>
            <w:vMerge w:val="restart"/>
            <w:tcBorders>
              <w:tl2br w:val="nil"/>
              <w:tr2bl w:val="nil"/>
            </w:tcBorders>
            <w:noWrap w:val="0"/>
            <w:vAlign w:val="center"/>
          </w:tcPr>
          <w:p w14:paraId="0F0D6EB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主要</w:t>
            </w:r>
          </w:p>
          <w:p w14:paraId="1E3484C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color w:val="auto"/>
                <w:w w:val="100"/>
                <w:kern w:val="0"/>
                <w:sz w:val="21"/>
                <w:szCs w:val="21"/>
              </w:rPr>
              <w:t>声源</w:t>
            </w:r>
          </w:p>
        </w:tc>
      </w:tr>
      <w:tr w14:paraId="75B108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continue"/>
            <w:tcBorders>
              <w:tl2br w:val="nil"/>
              <w:tr2bl w:val="nil"/>
            </w:tcBorders>
            <w:noWrap w:val="0"/>
            <w:vAlign w:val="center"/>
          </w:tcPr>
          <w:p w14:paraId="228CC9A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673" w:type="pct"/>
            <w:vMerge w:val="continue"/>
            <w:tcBorders>
              <w:tl2br w:val="nil"/>
              <w:tr2bl w:val="nil"/>
            </w:tcBorders>
            <w:noWrap w:val="0"/>
            <w:vAlign w:val="center"/>
          </w:tcPr>
          <w:p w14:paraId="40AFA98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402" w:type="pct"/>
            <w:tcBorders>
              <w:tl2br w:val="nil"/>
              <w:tr2bl w:val="nil"/>
            </w:tcBorders>
            <w:noWrap w:val="0"/>
            <w:vAlign w:val="center"/>
          </w:tcPr>
          <w:p w14:paraId="15812FF0">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昼间</w:t>
            </w:r>
            <w:r>
              <w:rPr>
                <w:rFonts w:hint="default" w:ascii="Times New Roman" w:hAnsi="Times New Roman" w:eastAsia="宋体" w:cs="Times New Roman"/>
                <w:b/>
                <w:color w:val="auto"/>
                <w:w w:val="100"/>
                <w:kern w:val="0"/>
                <w:sz w:val="21"/>
                <w:szCs w:val="21"/>
              </w:rPr>
              <w:t>等效声级</w:t>
            </w:r>
          </w:p>
        </w:tc>
        <w:tc>
          <w:tcPr>
            <w:tcW w:w="402" w:type="pct"/>
            <w:tcBorders>
              <w:tl2br w:val="nil"/>
              <w:tr2bl w:val="nil"/>
            </w:tcBorders>
            <w:noWrap w:val="0"/>
            <w:vAlign w:val="center"/>
          </w:tcPr>
          <w:p w14:paraId="0D2A03C5">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409" w:type="pct"/>
            <w:tcBorders>
              <w:tl2br w:val="nil"/>
              <w:tr2bl w:val="nil"/>
            </w:tcBorders>
            <w:noWrap w:val="0"/>
            <w:vAlign w:val="center"/>
          </w:tcPr>
          <w:p w14:paraId="02D64ACA">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大型车</w:t>
            </w:r>
          </w:p>
        </w:tc>
        <w:tc>
          <w:tcPr>
            <w:tcW w:w="487" w:type="pct"/>
            <w:tcBorders>
              <w:tl2br w:val="nil"/>
              <w:tr2bl w:val="nil"/>
            </w:tcBorders>
            <w:noWrap w:val="0"/>
            <w:vAlign w:val="center"/>
          </w:tcPr>
          <w:p w14:paraId="3FBB23FC">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中小型车</w:t>
            </w:r>
          </w:p>
        </w:tc>
        <w:tc>
          <w:tcPr>
            <w:tcW w:w="415" w:type="pct"/>
            <w:tcBorders>
              <w:tl2br w:val="nil"/>
              <w:tr2bl w:val="nil"/>
            </w:tcBorders>
            <w:noWrap w:val="0"/>
            <w:vAlign w:val="center"/>
          </w:tcPr>
          <w:p w14:paraId="465222D3">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夜间</w:t>
            </w:r>
            <w:r>
              <w:rPr>
                <w:rFonts w:hint="default" w:ascii="Times New Roman" w:hAnsi="Times New Roman" w:eastAsia="宋体" w:cs="Times New Roman"/>
                <w:b/>
                <w:color w:val="auto"/>
                <w:w w:val="100"/>
                <w:kern w:val="0"/>
                <w:sz w:val="21"/>
                <w:szCs w:val="21"/>
              </w:rPr>
              <w:t>等效声级</w:t>
            </w:r>
          </w:p>
        </w:tc>
        <w:tc>
          <w:tcPr>
            <w:tcW w:w="377" w:type="pct"/>
            <w:tcBorders>
              <w:tl2br w:val="nil"/>
              <w:tr2bl w:val="nil"/>
            </w:tcBorders>
            <w:noWrap w:val="0"/>
            <w:vAlign w:val="center"/>
          </w:tcPr>
          <w:p w14:paraId="6510D33C">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358" w:type="pct"/>
            <w:tcBorders>
              <w:tl2br w:val="nil"/>
              <w:tr2bl w:val="nil"/>
            </w:tcBorders>
            <w:noWrap w:val="0"/>
            <w:vAlign w:val="center"/>
          </w:tcPr>
          <w:p w14:paraId="7A7926BD">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大型车</w:t>
            </w:r>
          </w:p>
        </w:tc>
        <w:tc>
          <w:tcPr>
            <w:tcW w:w="478" w:type="pct"/>
            <w:tcBorders>
              <w:tl2br w:val="nil"/>
              <w:tr2bl w:val="nil"/>
            </w:tcBorders>
            <w:noWrap w:val="0"/>
            <w:vAlign w:val="center"/>
          </w:tcPr>
          <w:p w14:paraId="183F099F">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中小型车</w:t>
            </w:r>
          </w:p>
        </w:tc>
        <w:tc>
          <w:tcPr>
            <w:tcW w:w="420" w:type="pct"/>
            <w:vMerge w:val="continue"/>
            <w:tcBorders>
              <w:tl2br w:val="nil"/>
              <w:tr2bl w:val="nil"/>
            </w:tcBorders>
            <w:noWrap w:val="0"/>
            <w:vAlign w:val="center"/>
          </w:tcPr>
          <w:p w14:paraId="4CF8F74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lang w:eastAsia="zh-CN"/>
              </w:rPr>
            </w:pPr>
          </w:p>
        </w:tc>
      </w:tr>
      <w:tr w14:paraId="096051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4793FB6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w:t>
            </w:r>
          </w:p>
        </w:tc>
        <w:tc>
          <w:tcPr>
            <w:tcW w:w="673" w:type="pct"/>
            <w:vMerge w:val="restart"/>
            <w:tcBorders>
              <w:tl2br w:val="nil"/>
              <w:tr2bl w:val="nil"/>
            </w:tcBorders>
            <w:noWrap w:val="0"/>
            <w:vAlign w:val="center"/>
          </w:tcPr>
          <w:p w14:paraId="0171C4B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lang w:val="en-US" w:eastAsia="zh-CN"/>
              </w:rPr>
              <w:t>石窝村八角庙居民点（7#）</w:t>
            </w:r>
          </w:p>
        </w:tc>
        <w:tc>
          <w:tcPr>
            <w:tcW w:w="402" w:type="pct"/>
            <w:tcBorders>
              <w:tl2br w:val="nil"/>
              <w:tr2bl w:val="nil"/>
            </w:tcBorders>
            <w:noWrap w:val="0"/>
            <w:vAlign w:val="center"/>
          </w:tcPr>
          <w:p w14:paraId="2A320AB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402" w:type="pct"/>
            <w:tcBorders>
              <w:tl2br w:val="nil"/>
              <w:tr2bl w:val="nil"/>
            </w:tcBorders>
            <w:noWrap w:val="0"/>
            <w:vAlign w:val="center"/>
          </w:tcPr>
          <w:p w14:paraId="3E08B5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409" w:type="pct"/>
            <w:tcBorders>
              <w:tl2br w:val="nil"/>
              <w:tr2bl w:val="nil"/>
            </w:tcBorders>
            <w:noWrap w:val="0"/>
            <w:vAlign w:val="center"/>
          </w:tcPr>
          <w:p w14:paraId="3980E67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87" w:type="pct"/>
            <w:tcBorders>
              <w:tl2br w:val="nil"/>
              <w:tr2bl w:val="nil"/>
            </w:tcBorders>
            <w:noWrap w:val="0"/>
            <w:vAlign w:val="center"/>
          </w:tcPr>
          <w:p w14:paraId="5000DF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w:t>
            </w:r>
          </w:p>
        </w:tc>
        <w:tc>
          <w:tcPr>
            <w:tcW w:w="415" w:type="pct"/>
            <w:tcBorders>
              <w:tl2br w:val="nil"/>
              <w:tr2bl w:val="nil"/>
            </w:tcBorders>
            <w:noWrap w:val="0"/>
            <w:vAlign w:val="center"/>
          </w:tcPr>
          <w:p w14:paraId="3B93E2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77" w:type="pct"/>
            <w:tcBorders>
              <w:tl2br w:val="nil"/>
              <w:tr2bl w:val="nil"/>
            </w:tcBorders>
            <w:noWrap w:val="0"/>
            <w:vAlign w:val="center"/>
          </w:tcPr>
          <w:p w14:paraId="1D79B6B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358" w:type="pct"/>
            <w:tcBorders>
              <w:tl2br w:val="nil"/>
              <w:tr2bl w:val="nil"/>
            </w:tcBorders>
            <w:noWrap w:val="0"/>
            <w:vAlign w:val="center"/>
          </w:tcPr>
          <w:p w14:paraId="0C82383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6C02A1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20" w:type="pct"/>
            <w:vMerge w:val="restart"/>
            <w:tcBorders>
              <w:tl2br w:val="nil"/>
              <w:tr2bl w:val="nil"/>
            </w:tcBorders>
            <w:noWrap w:val="0"/>
            <w:vAlign w:val="center"/>
          </w:tcPr>
          <w:p w14:paraId="5B55586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交通</w:t>
            </w:r>
          </w:p>
          <w:p w14:paraId="60E234E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噪声</w:t>
            </w:r>
          </w:p>
        </w:tc>
      </w:tr>
      <w:tr w14:paraId="740AA4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1C46B8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0BB446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CF24B3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402" w:type="pct"/>
            <w:tcBorders>
              <w:tl2br w:val="nil"/>
              <w:tr2bl w:val="nil"/>
            </w:tcBorders>
            <w:noWrap w:val="0"/>
            <w:vAlign w:val="center"/>
          </w:tcPr>
          <w:p w14:paraId="589416F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409" w:type="pct"/>
            <w:tcBorders>
              <w:tl2br w:val="nil"/>
              <w:tr2bl w:val="nil"/>
            </w:tcBorders>
            <w:noWrap w:val="0"/>
            <w:vAlign w:val="center"/>
          </w:tcPr>
          <w:p w14:paraId="33ECD34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76</w:t>
            </w:r>
          </w:p>
        </w:tc>
        <w:tc>
          <w:tcPr>
            <w:tcW w:w="487" w:type="pct"/>
            <w:tcBorders>
              <w:tl2br w:val="nil"/>
              <w:tr2bl w:val="nil"/>
            </w:tcBorders>
            <w:noWrap w:val="0"/>
            <w:vAlign w:val="center"/>
          </w:tcPr>
          <w:p w14:paraId="7EA46A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284</w:t>
            </w:r>
          </w:p>
        </w:tc>
        <w:tc>
          <w:tcPr>
            <w:tcW w:w="415" w:type="pct"/>
            <w:tcBorders>
              <w:tl2br w:val="nil"/>
              <w:tr2bl w:val="nil"/>
            </w:tcBorders>
            <w:noWrap w:val="0"/>
            <w:vAlign w:val="center"/>
          </w:tcPr>
          <w:p w14:paraId="1029C2C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38</w:t>
            </w:r>
          </w:p>
        </w:tc>
        <w:tc>
          <w:tcPr>
            <w:tcW w:w="377" w:type="pct"/>
            <w:tcBorders>
              <w:tl2br w:val="nil"/>
              <w:tr2bl w:val="nil"/>
            </w:tcBorders>
            <w:noWrap w:val="0"/>
            <w:vAlign w:val="center"/>
          </w:tcPr>
          <w:p w14:paraId="559EF90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38</w:t>
            </w:r>
          </w:p>
        </w:tc>
        <w:tc>
          <w:tcPr>
            <w:tcW w:w="358" w:type="pct"/>
            <w:tcBorders>
              <w:tl2br w:val="nil"/>
              <w:tr2bl w:val="nil"/>
            </w:tcBorders>
            <w:noWrap w:val="0"/>
            <w:vAlign w:val="center"/>
          </w:tcPr>
          <w:p w14:paraId="7BB4FE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8</w:t>
            </w:r>
          </w:p>
        </w:tc>
        <w:tc>
          <w:tcPr>
            <w:tcW w:w="478" w:type="pct"/>
            <w:tcBorders>
              <w:tl2br w:val="nil"/>
              <w:tr2bl w:val="nil"/>
            </w:tcBorders>
            <w:noWrap w:val="0"/>
            <w:vAlign w:val="center"/>
          </w:tcPr>
          <w:p w14:paraId="3CD643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40</w:t>
            </w:r>
          </w:p>
        </w:tc>
        <w:tc>
          <w:tcPr>
            <w:tcW w:w="420" w:type="pct"/>
            <w:vMerge w:val="continue"/>
            <w:tcBorders>
              <w:tl2br w:val="nil"/>
              <w:tr2bl w:val="nil"/>
            </w:tcBorders>
            <w:noWrap w:val="0"/>
            <w:vAlign w:val="center"/>
          </w:tcPr>
          <w:p w14:paraId="71C2EEC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6022B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4B892A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2026.4.2</w:t>
            </w:r>
          </w:p>
        </w:tc>
        <w:tc>
          <w:tcPr>
            <w:tcW w:w="673" w:type="pct"/>
            <w:vMerge w:val="continue"/>
            <w:tcBorders>
              <w:tl2br w:val="nil"/>
              <w:tr2bl w:val="nil"/>
            </w:tcBorders>
            <w:noWrap w:val="0"/>
            <w:vAlign w:val="center"/>
          </w:tcPr>
          <w:p w14:paraId="04E9C54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7EA194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4E0D68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089376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w:t>
            </w:r>
          </w:p>
        </w:tc>
        <w:tc>
          <w:tcPr>
            <w:tcW w:w="487" w:type="pct"/>
            <w:tcBorders>
              <w:tl2br w:val="nil"/>
              <w:tr2bl w:val="nil"/>
            </w:tcBorders>
            <w:noWrap w:val="0"/>
            <w:vAlign w:val="center"/>
          </w:tcPr>
          <w:p w14:paraId="2F112F3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212</w:t>
            </w:r>
          </w:p>
        </w:tc>
        <w:tc>
          <w:tcPr>
            <w:tcW w:w="415" w:type="pct"/>
            <w:tcBorders>
              <w:tl2br w:val="nil"/>
              <w:tr2bl w:val="nil"/>
            </w:tcBorders>
            <w:noWrap w:val="0"/>
            <w:vAlign w:val="center"/>
          </w:tcPr>
          <w:p w14:paraId="6C2DEB5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39</w:t>
            </w:r>
          </w:p>
        </w:tc>
        <w:tc>
          <w:tcPr>
            <w:tcW w:w="377" w:type="pct"/>
            <w:tcBorders>
              <w:tl2br w:val="nil"/>
              <w:tr2bl w:val="nil"/>
            </w:tcBorders>
            <w:noWrap w:val="0"/>
            <w:vAlign w:val="center"/>
          </w:tcPr>
          <w:p w14:paraId="45EE63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39</w:t>
            </w:r>
          </w:p>
        </w:tc>
        <w:tc>
          <w:tcPr>
            <w:tcW w:w="358" w:type="pct"/>
            <w:tcBorders>
              <w:tl2br w:val="nil"/>
              <w:tr2bl w:val="nil"/>
            </w:tcBorders>
            <w:noWrap w:val="0"/>
            <w:vAlign w:val="center"/>
          </w:tcPr>
          <w:p w14:paraId="0DD481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6EB7534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62</w:t>
            </w:r>
          </w:p>
        </w:tc>
        <w:tc>
          <w:tcPr>
            <w:tcW w:w="420" w:type="pct"/>
            <w:vMerge w:val="continue"/>
            <w:tcBorders>
              <w:tl2br w:val="nil"/>
              <w:tr2bl w:val="nil"/>
            </w:tcBorders>
            <w:noWrap w:val="0"/>
            <w:vAlign w:val="center"/>
          </w:tcPr>
          <w:p w14:paraId="7F47155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76A3D9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676212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2A91AB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92EB9C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7A3963B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55BD5C0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82</w:t>
            </w:r>
          </w:p>
        </w:tc>
        <w:tc>
          <w:tcPr>
            <w:tcW w:w="487" w:type="pct"/>
            <w:tcBorders>
              <w:tl2br w:val="nil"/>
              <w:tr2bl w:val="nil"/>
            </w:tcBorders>
            <w:noWrap w:val="0"/>
            <w:vAlign w:val="center"/>
          </w:tcPr>
          <w:p w14:paraId="574BD5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296</w:t>
            </w:r>
          </w:p>
        </w:tc>
        <w:tc>
          <w:tcPr>
            <w:tcW w:w="415" w:type="pct"/>
            <w:tcBorders>
              <w:tl2br w:val="nil"/>
              <w:tr2bl w:val="nil"/>
            </w:tcBorders>
            <w:noWrap w:val="0"/>
            <w:vAlign w:val="center"/>
          </w:tcPr>
          <w:p w14:paraId="3B35A99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77" w:type="pct"/>
            <w:tcBorders>
              <w:tl2br w:val="nil"/>
              <w:tr2bl w:val="nil"/>
            </w:tcBorders>
            <w:noWrap w:val="0"/>
            <w:vAlign w:val="center"/>
          </w:tcPr>
          <w:p w14:paraId="2F0AA79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58" w:type="pct"/>
            <w:tcBorders>
              <w:tl2br w:val="nil"/>
              <w:tr2bl w:val="nil"/>
            </w:tcBorders>
            <w:noWrap w:val="0"/>
            <w:vAlign w:val="center"/>
          </w:tcPr>
          <w:p w14:paraId="1556DD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w:t>
            </w:r>
          </w:p>
        </w:tc>
        <w:tc>
          <w:tcPr>
            <w:tcW w:w="478" w:type="pct"/>
            <w:tcBorders>
              <w:tl2br w:val="nil"/>
              <w:tr2bl w:val="nil"/>
            </w:tcBorders>
            <w:noWrap w:val="0"/>
            <w:vAlign w:val="center"/>
          </w:tcPr>
          <w:p w14:paraId="17A87B5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36</w:t>
            </w:r>
          </w:p>
        </w:tc>
        <w:tc>
          <w:tcPr>
            <w:tcW w:w="420" w:type="pct"/>
            <w:vMerge w:val="continue"/>
            <w:tcBorders>
              <w:tl2br w:val="nil"/>
              <w:tr2bl w:val="nil"/>
            </w:tcBorders>
            <w:noWrap w:val="0"/>
            <w:vAlign w:val="center"/>
          </w:tcPr>
          <w:p w14:paraId="540C45D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713ED0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4D8053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w:t>
            </w:r>
          </w:p>
        </w:tc>
        <w:tc>
          <w:tcPr>
            <w:tcW w:w="673" w:type="pct"/>
            <w:vMerge w:val="restart"/>
            <w:tcBorders>
              <w:tl2br w:val="nil"/>
              <w:tr2bl w:val="nil"/>
            </w:tcBorders>
            <w:noWrap w:val="0"/>
            <w:vAlign w:val="center"/>
          </w:tcPr>
          <w:p w14:paraId="796C477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rPr>
              <w:t>斑竹村长五间居民点</w:t>
            </w:r>
            <w:r>
              <w:rPr>
                <w:rFonts w:hint="default" w:ascii="Times New Roman" w:hAnsi="Times New Roman" w:eastAsia="宋体" w:cs="Times New Roman"/>
                <w:color w:val="auto"/>
                <w:kern w:val="0"/>
                <w:sz w:val="21"/>
                <w:szCs w:val="21"/>
                <w:lang w:val="en-US" w:eastAsia="zh-CN"/>
              </w:rPr>
              <w:t>（6#）</w:t>
            </w:r>
          </w:p>
        </w:tc>
        <w:tc>
          <w:tcPr>
            <w:tcW w:w="402" w:type="pct"/>
            <w:tcBorders>
              <w:tl2br w:val="nil"/>
              <w:tr2bl w:val="nil"/>
            </w:tcBorders>
            <w:noWrap w:val="0"/>
            <w:vAlign w:val="center"/>
          </w:tcPr>
          <w:p w14:paraId="1950645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402" w:type="pct"/>
            <w:tcBorders>
              <w:tl2br w:val="nil"/>
              <w:tr2bl w:val="nil"/>
            </w:tcBorders>
            <w:noWrap w:val="0"/>
            <w:vAlign w:val="center"/>
          </w:tcPr>
          <w:p w14:paraId="2DEF30E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45</w:t>
            </w:r>
          </w:p>
        </w:tc>
        <w:tc>
          <w:tcPr>
            <w:tcW w:w="409" w:type="pct"/>
            <w:tcBorders>
              <w:tl2br w:val="nil"/>
              <w:tr2bl w:val="nil"/>
            </w:tcBorders>
            <w:noWrap w:val="0"/>
            <w:vAlign w:val="center"/>
          </w:tcPr>
          <w:p w14:paraId="009595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22</w:t>
            </w:r>
          </w:p>
        </w:tc>
        <w:tc>
          <w:tcPr>
            <w:tcW w:w="487" w:type="pct"/>
            <w:tcBorders>
              <w:tl2br w:val="nil"/>
              <w:tr2bl w:val="nil"/>
            </w:tcBorders>
            <w:noWrap w:val="0"/>
            <w:vAlign w:val="center"/>
          </w:tcPr>
          <w:p w14:paraId="53B5B2C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188</w:t>
            </w:r>
          </w:p>
        </w:tc>
        <w:tc>
          <w:tcPr>
            <w:tcW w:w="415" w:type="pct"/>
            <w:tcBorders>
              <w:tl2br w:val="nil"/>
              <w:tr2bl w:val="nil"/>
            </w:tcBorders>
            <w:noWrap w:val="0"/>
            <w:vAlign w:val="center"/>
          </w:tcPr>
          <w:p w14:paraId="336F1F9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77" w:type="pct"/>
            <w:tcBorders>
              <w:tl2br w:val="nil"/>
              <w:tr2bl w:val="nil"/>
            </w:tcBorders>
            <w:noWrap w:val="0"/>
            <w:vAlign w:val="center"/>
          </w:tcPr>
          <w:p w14:paraId="04D01D7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58" w:type="pct"/>
            <w:tcBorders>
              <w:tl2br w:val="nil"/>
              <w:tr2bl w:val="nil"/>
            </w:tcBorders>
            <w:noWrap w:val="0"/>
            <w:vAlign w:val="center"/>
          </w:tcPr>
          <w:p w14:paraId="612A8A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21725C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62</w:t>
            </w:r>
          </w:p>
        </w:tc>
        <w:tc>
          <w:tcPr>
            <w:tcW w:w="420" w:type="pct"/>
            <w:vMerge w:val="continue"/>
            <w:tcBorders>
              <w:tl2br w:val="nil"/>
              <w:tr2bl w:val="nil"/>
            </w:tcBorders>
            <w:noWrap w:val="0"/>
            <w:vAlign w:val="center"/>
          </w:tcPr>
          <w:p w14:paraId="0846180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671DB3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18F5D5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603C5EB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5C4944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45634E6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67A40A8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66</w:t>
            </w:r>
          </w:p>
        </w:tc>
        <w:tc>
          <w:tcPr>
            <w:tcW w:w="487" w:type="pct"/>
            <w:tcBorders>
              <w:tl2br w:val="nil"/>
              <w:tr2bl w:val="nil"/>
            </w:tcBorders>
            <w:noWrap w:val="0"/>
            <w:vAlign w:val="center"/>
          </w:tcPr>
          <w:p w14:paraId="7610A0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266</w:t>
            </w:r>
          </w:p>
        </w:tc>
        <w:tc>
          <w:tcPr>
            <w:tcW w:w="415" w:type="pct"/>
            <w:tcBorders>
              <w:tl2br w:val="nil"/>
              <w:tr2bl w:val="nil"/>
            </w:tcBorders>
            <w:noWrap w:val="0"/>
            <w:vAlign w:val="center"/>
          </w:tcPr>
          <w:p w14:paraId="00EB64D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77" w:type="pct"/>
            <w:tcBorders>
              <w:tl2br w:val="nil"/>
              <w:tr2bl w:val="nil"/>
            </w:tcBorders>
            <w:noWrap w:val="0"/>
            <w:vAlign w:val="center"/>
          </w:tcPr>
          <w:p w14:paraId="034FA13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58" w:type="pct"/>
            <w:tcBorders>
              <w:tl2br w:val="nil"/>
              <w:tr2bl w:val="nil"/>
            </w:tcBorders>
            <w:noWrap w:val="0"/>
            <w:vAlign w:val="center"/>
          </w:tcPr>
          <w:p w14:paraId="387906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w:t>
            </w:r>
          </w:p>
        </w:tc>
        <w:tc>
          <w:tcPr>
            <w:tcW w:w="478" w:type="pct"/>
            <w:tcBorders>
              <w:tl2br w:val="nil"/>
              <w:tr2bl w:val="nil"/>
            </w:tcBorders>
            <w:noWrap w:val="0"/>
            <w:vAlign w:val="center"/>
          </w:tcPr>
          <w:p w14:paraId="4787731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420" w:type="pct"/>
            <w:vMerge w:val="continue"/>
            <w:tcBorders>
              <w:tl2br w:val="nil"/>
              <w:tr2bl w:val="nil"/>
            </w:tcBorders>
            <w:noWrap w:val="0"/>
            <w:vAlign w:val="center"/>
          </w:tcPr>
          <w:p w14:paraId="7024026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22CEE1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1863D62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2026.4.2</w:t>
            </w:r>
          </w:p>
        </w:tc>
        <w:tc>
          <w:tcPr>
            <w:tcW w:w="673" w:type="pct"/>
            <w:vMerge w:val="continue"/>
            <w:tcBorders>
              <w:tl2br w:val="nil"/>
              <w:tr2bl w:val="nil"/>
            </w:tcBorders>
            <w:noWrap w:val="0"/>
            <w:vAlign w:val="center"/>
          </w:tcPr>
          <w:p w14:paraId="46A30F6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31721E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786E246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2E642F6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3141C5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192</w:t>
            </w:r>
          </w:p>
        </w:tc>
        <w:tc>
          <w:tcPr>
            <w:tcW w:w="415" w:type="pct"/>
            <w:tcBorders>
              <w:tl2br w:val="nil"/>
              <w:tr2bl w:val="nil"/>
            </w:tcBorders>
            <w:noWrap w:val="0"/>
            <w:vAlign w:val="center"/>
          </w:tcPr>
          <w:p w14:paraId="51EF86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77" w:type="pct"/>
            <w:tcBorders>
              <w:tl2br w:val="nil"/>
              <w:tr2bl w:val="nil"/>
            </w:tcBorders>
            <w:noWrap w:val="0"/>
            <w:vAlign w:val="center"/>
          </w:tcPr>
          <w:p w14:paraId="0F91022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58" w:type="pct"/>
            <w:tcBorders>
              <w:tl2br w:val="nil"/>
              <w:tr2bl w:val="nil"/>
            </w:tcBorders>
            <w:noWrap w:val="0"/>
            <w:vAlign w:val="center"/>
          </w:tcPr>
          <w:p w14:paraId="3DD6ED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22</w:t>
            </w:r>
          </w:p>
        </w:tc>
        <w:tc>
          <w:tcPr>
            <w:tcW w:w="478" w:type="pct"/>
            <w:tcBorders>
              <w:tl2br w:val="nil"/>
              <w:tr2bl w:val="nil"/>
            </w:tcBorders>
            <w:noWrap w:val="0"/>
            <w:vAlign w:val="center"/>
          </w:tcPr>
          <w:p w14:paraId="2CE2748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68</w:t>
            </w:r>
          </w:p>
        </w:tc>
        <w:tc>
          <w:tcPr>
            <w:tcW w:w="420" w:type="pct"/>
            <w:vMerge w:val="continue"/>
            <w:tcBorders>
              <w:tl2br w:val="nil"/>
              <w:tr2bl w:val="nil"/>
            </w:tcBorders>
            <w:noWrap w:val="0"/>
            <w:vAlign w:val="center"/>
          </w:tcPr>
          <w:p w14:paraId="177D973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11CD3F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7B47361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3AC283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3E0FD4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4FD761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1ECC907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72</w:t>
            </w:r>
          </w:p>
        </w:tc>
        <w:tc>
          <w:tcPr>
            <w:tcW w:w="487" w:type="pct"/>
            <w:tcBorders>
              <w:tl2br w:val="nil"/>
              <w:tr2bl w:val="nil"/>
            </w:tcBorders>
            <w:noWrap w:val="0"/>
            <w:vAlign w:val="center"/>
          </w:tcPr>
          <w:p w14:paraId="5313FF5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278</w:t>
            </w:r>
          </w:p>
        </w:tc>
        <w:tc>
          <w:tcPr>
            <w:tcW w:w="415" w:type="pct"/>
            <w:tcBorders>
              <w:tl2br w:val="nil"/>
              <w:tr2bl w:val="nil"/>
            </w:tcBorders>
            <w:noWrap w:val="0"/>
            <w:vAlign w:val="center"/>
          </w:tcPr>
          <w:p w14:paraId="57B7487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77" w:type="pct"/>
            <w:tcBorders>
              <w:tl2br w:val="nil"/>
              <w:tr2bl w:val="nil"/>
            </w:tcBorders>
            <w:noWrap w:val="0"/>
            <w:vAlign w:val="center"/>
          </w:tcPr>
          <w:p w14:paraId="1CE8CD1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58" w:type="pct"/>
            <w:tcBorders>
              <w:tl2br w:val="nil"/>
              <w:tr2bl w:val="nil"/>
            </w:tcBorders>
            <w:noWrap w:val="0"/>
            <w:vAlign w:val="center"/>
          </w:tcPr>
          <w:p w14:paraId="2F4584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8</w:t>
            </w:r>
          </w:p>
        </w:tc>
        <w:tc>
          <w:tcPr>
            <w:tcW w:w="478" w:type="pct"/>
            <w:tcBorders>
              <w:tl2br w:val="nil"/>
              <w:tr2bl w:val="nil"/>
            </w:tcBorders>
            <w:noWrap w:val="0"/>
            <w:vAlign w:val="center"/>
          </w:tcPr>
          <w:p w14:paraId="1975EA6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420" w:type="pct"/>
            <w:vMerge w:val="continue"/>
            <w:tcBorders>
              <w:tl2br w:val="nil"/>
              <w:tr2bl w:val="nil"/>
            </w:tcBorders>
            <w:noWrap w:val="0"/>
            <w:vAlign w:val="center"/>
          </w:tcPr>
          <w:p w14:paraId="7D4C87C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15C6D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46E9DB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w:t>
            </w:r>
          </w:p>
        </w:tc>
        <w:tc>
          <w:tcPr>
            <w:tcW w:w="673" w:type="pct"/>
            <w:vMerge w:val="restart"/>
            <w:tcBorders>
              <w:tl2br w:val="nil"/>
              <w:tr2bl w:val="nil"/>
            </w:tcBorders>
            <w:noWrap w:val="0"/>
            <w:vAlign w:val="center"/>
          </w:tcPr>
          <w:p w14:paraId="49DF80F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highlight w:val="none"/>
                <w:lang w:val="en-US" w:eastAsia="zh-CN"/>
              </w:rPr>
              <w:t>斑竹村石梁子居民点</w:t>
            </w:r>
            <w:r>
              <w:rPr>
                <w:rFonts w:hint="default" w:ascii="Times New Roman" w:hAnsi="Times New Roman" w:eastAsia="宋体" w:cs="Times New Roman"/>
                <w:color w:val="auto"/>
                <w:kern w:val="0"/>
                <w:sz w:val="21"/>
                <w:szCs w:val="21"/>
                <w:lang w:val="en-US" w:eastAsia="zh-CN"/>
              </w:rPr>
              <w:t>（4#）</w:t>
            </w:r>
          </w:p>
        </w:tc>
        <w:tc>
          <w:tcPr>
            <w:tcW w:w="402" w:type="pct"/>
            <w:tcBorders>
              <w:tl2br w:val="nil"/>
              <w:tr2bl w:val="nil"/>
            </w:tcBorders>
            <w:noWrap w:val="0"/>
            <w:vAlign w:val="center"/>
          </w:tcPr>
          <w:p w14:paraId="277AB5D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2" w:type="pct"/>
            <w:tcBorders>
              <w:tl2br w:val="nil"/>
              <w:tr2bl w:val="nil"/>
            </w:tcBorders>
            <w:noWrap w:val="0"/>
            <w:vAlign w:val="center"/>
          </w:tcPr>
          <w:p w14:paraId="658486D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9" w:type="pct"/>
            <w:tcBorders>
              <w:tl2br w:val="nil"/>
              <w:tr2bl w:val="nil"/>
            </w:tcBorders>
            <w:noWrap w:val="0"/>
            <w:vAlign w:val="center"/>
          </w:tcPr>
          <w:p w14:paraId="0970C1A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w:t>
            </w:r>
          </w:p>
        </w:tc>
        <w:tc>
          <w:tcPr>
            <w:tcW w:w="487" w:type="pct"/>
            <w:tcBorders>
              <w:tl2br w:val="nil"/>
              <w:tr2bl w:val="nil"/>
            </w:tcBorders>
            <w:noWrap w:val="0"/>
            <w:vAlign w:val="center"/>
          </w:tcPr>
          <w:p w14:paraId="4CA3D47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162</w:t>
            </w:r>
          </w:p>
        </w:tc>
        <w:tc>
          <w:tcPr>
            <w:tcW w:w="415" w:type="pct"/>
            <w:tcBorders>
              <w:tl2br w:val="nil"/>
              <w:tr2bl w:val="nil"/>
            </w:tcBorders>
            <w:noWrap w:val="0"/>
            <w:vAlign w:val="center"/>
          </w:tcPr>
          <w:p w14:paraId="4227F8B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49</w:t>
            </w:r>
          </w:p>
        </w:tc>
        <w:tc>
          <w:tcPr>
            <w:tcW w:w="377" w:type="pct"/>
            <w:tcBorders>
              <w:tl2br w:val="nil"/>
              <w:tr2bl w:val="nil"/>
            </w:tcBorders>
            <w:noWrap w:val="0"/>
            <w:vAlign w:val="center"/>
          </w:tcPr>
          <w:p w14:paraId="2741AD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49</w:t>
            </w:r>
          </w:p>
        </w:tc>
        <w:tc>
          <w:tcPr>
            <w:tcW w:w="358" w:type="pct"/>
            <w:tcBorders>
              <w:tl2br w:val="nil"/>
              <w:tr2bl w:val="nil"/>
            </w:tcBorders>
            <w:noWrap w:val="0"/>
            <w:vAlign w:val="center"/>
          </w:tcPr>
          <w:p w14:paraId="49997FE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22</w:t>
            </w:r>
          </w:p>
        </w:tc>
        <w:tc>
          <w:tcPr>
            <w:tcW w:w="478" w:type="pct"/>
            <w:tcBorders>
              <w:tl2br w:val="nil"/>
              <w:tr2bl w:val="nil"/>
            </w:tcBorders>
            <w:noWrap w:val="0"/>
            <w:vAlign w:val="center"/>
          </w:tcPr>
          <w:p w14:paraId="3DFB54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60</w:t>
            </w:r>
          </w:p>
        </w:tc>
        <w:tc>
          <w:tcPr>
            <w:tcW w:w="420" w:type="pct"/>
            <w:vMerge w:val="restart"/>
            <w:tcBorders>
              <w:tl2br w:val="nil"/>
              <w:tr2bl w:val="nil"/>
            </w:tcBorders>
            <w:noWrap w:val="0"/>
            <w:vAlign w:val="center"/>
          </w:tcPr>
          <w:p w14:paraId="2723C79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交通</w:t>
            </w:r>
          </w:p>
          <w:p w14:paraId="2A7CBDC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噪声</w:t>
            </w:r>
          </w:p>
        </w:tc>
      </w:tr>
      <w:tr w14:paraId="46B5A6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1D305D9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2026.4.1、2026.4.2</w:t>
            </w:r>
          </w:p>
        </w:tc>
        <w:tc>
          <w:tcPr>
            <w:tcW w:w="673" w:type="pct"/>
            <w:vMerge w:val="continue"/>
            <w:tcBorders>
              <w:tl2br w:val="nil"/>
              <w:tr2bl w:val="nil"/>
            </w:tcBorders>
            <w:noWrap w:val="0"/>
            <w:vAlign w:val="center"/>
          </w:tcPr>
          <w:p w14:paraId="7EBA5C7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2FE88C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57</w:t>
            </w:r>
          </w:p>
        </w:tc>
        <w:tc>
          <w:tcPr>
            <w:tcW w:w="402" w:type="pct"/>
            <w:tcBorders>
              <w:tl2br w:val="nil"/>
              <w:tr2bl w:val="nil"/>
            </w:tcBorders>
            <w:noWrap w:val="0"/>
            <w:vAlign w:val="center"/>
          </w:tcPr>
          <w:p w14:paraId="7912A1F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57</w:t>
            </w:r>
          </w:p>
        </w:tc>
        <w:tc>
          <w:tcPr>
            <w:tcW w:w="409" w:type="pct"/>
            <w:tcBorders>
              <w:tl2br w:val="nil"/>
              <w:tr2bl w:val="nil"/>
            </w:tcBorders>
            <w:noWrap w:val="0"/>
            <w:vAlign w:val="center"/>
          </w:tcPr>
          <w:p w14:paraId="09892C7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92</w:t>
            </w:r>
          </w:p>
        </w:tc>
        <w:tc>
          <w:tcPr>
            <w:tcW w:w="487" w:type="pct"/>
            <w:tcBorders>
              <w:tl2br w:val="nil"/>
              <w:tr2bl w:val="nil"/>
            </w:tcBorders>
            <w:noWrap w:val="0"/>
            <w:vAlign w:val="center"/>
          </w:tcPr>
          <w:p w14:paraId="0978EF2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276</w:t>
            </w:r>
          </w:p>
        </w:tc>
        <w:tc>
          <w:tcPr>
            <w:tcW w:w="415" w:type="pct"/>
            <w:tcBorders>
              <w:tl2br w:val="nil"/>
              <w:tr2bl w:val="nil"/>
            </w:tcBorders>
            <w:noWrap w:val="0"/>
            <w:vAlign w:val="center"/>
          </w:tcPr>
          <w:p w14:paraId="14E3963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07E3C99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2A56CC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10</w:t>
            </w:r>
          </w:p>
        </w:tc>
        <w:tc>
          <w:tcPr>
            <w:tcW w:w="478" w:type="pct"/>
            <w:tcBorders>
              <w:tl2br w:val="nil"/>
              <w:tr2bl w:val="nil"/>
            </w:tcBorders>
            <w:noWrap w:val="0"/>
            <w:vAlign w:val="center"/>
          </w:tcPr>
          <w:p w14:paraId="7928A4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w:t>
            </w:r>
          </w:p>
        </w:tc>
        <w:tc>
          <w:tcPr>
            <w:tcW w:w="420" w:type="pct"/>
            <w:vMerge w:val="continue"/>
            <w:tcBorders>
              <w:tl2br w:val="nil"/>
              <w:tr2bl w:val="nil"/>
            </w:tcBorders>
            <w:noWrap w:val="0"/>
            <w:vAlign w:val="center"/>
          </w:tcPr>
          <w:p w14:paraId="312ABB0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507D66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0061C2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2026.4.2</w:t>
            </w:r>
          </w:p>
        </w:tc>
        <w:tc>
          <w:tcPr>
            <w:tcW w:w="673" w:type="pct"/>
            <w:vMerge w:val="continue"/>
            <w:tcBorders>
              <w:tl2br w:val="nil"/>
              <w:tr2bl w:val="nil"/>
            </w:tcBorders>
            <w:noWrap w:val="0"/>
            <w:vAlign w:val="center"/>
          </w:tcPr>
          <w:p w14:paraId="58B719C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0DEF38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2" w:type="pct"/>
            <w:tcBorders>
              <w:tl2br w:val="nil"/>
              <w:tr2bl w:val="nil"/>
            </w:tcBorders>
            <w:noWrap w:val="0"/>
            <w:vAlign w:val="center"/>
          </w:tcPr>
          <w:p w14:paraId="147DD9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56</w:t>
            </w:r>
          </w:p>
        </w:tc>
        <w:tc>
          <w:tcPr>
            <w:tcW w:w="409" w:type="pct"/>
            <w:tcBorders>
              <w:tl2br w:val="nil"/>
              <w:tr2bl w:val="nil"/>
            </w:tcBorders>
            <w:noWrap w:val="0"/>
            <w:vAlign w:val="center"/>
          </w:tcPr>
          <w:p w14:paraId="6F33F2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22</w:t>
            </w:r>
          </w:p>
        </w:tc>
        <w:tc>
          <w:tcPr>
            <w:tcW w:w="487" w:type="pct"/>
            <w:tcBorders>
              <w:tl2br w:val="nil"/>
              <w:tr2bl w:val="nil"/>
            </w:tcBorders>
            <w:noWrap w:val="0"/>
            <w:vAlign w:val="center"/>
          </w:tcPr>
          <w:p w14:paraId="7259FD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166</w:t>
            </w:r>
          </w:p>
        </w:tc>
        <w:tc>
          <w:tcPr>
            <w:tcW w:w="415" w:type="pct"/>
            <w:tcBorders>
              <w:tl2br w:val="nil"/>
              <w:tr2bl w:val="nil"/>
            </w:tcBorders>
            <w:noWrap w:val="0"/>
            <w:vAlign w:val="center"/>
          </w:tcPr>
          <w:p w14:paraId="58CFBA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181399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4CA9253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16</w:t>
            </w:r>
          </w:p>
        </w:tc>
        <w:tc>
          <w:tcPr>
            <w:tcW w:w="478" w:type="pct"/>
            <w:tcBorders>
              <w:tl2br w:val="nil"/>
              <w:tr2bl w:val="nil"/>
            </w:tcBorders>
            <w:noWrap w:val="0"/>
            <w:vAlign w:val="center"/>
          </w:tcPr>
          <w:p w14:paraId="6B27D69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58</w:t>
            </w:r>
          </w:p>
        </w:tc>
        <w:tc>
          <w:tcPr>
            <w:tcW w:w="420" w:type="pct"/>
            <w:vMerge w:val="continue"/>
            <w:tcBorders>
              <w:tl2br w:val="nil"/>
              <w:tr2bl w:val="nil"/>
            </w:tcBorders>
            <w:noWrap w:val="0"/>
            <w:vAlign w:val="center"/>
          </w:tcPr>
          <w:p w14:paraId="2575C11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6C7A23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2A1E0BE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2026.4.2、2026.4.3</w:t>
            </w:r>
          </w:p>
        </w:tc>
        <w:tc>
          <w:tcPr>
            <w:tcW w:w="673" w:type="pct"/>
            <w:vMerge w:val="continue"/>
            <w:tcBorders>
              <w:tl2br w:val="nil"/>
              <w:tr2bl w:val="nil"/>
            </w:tcBorders>
            <w:noWrap w:val="0"/>
            <w:vAlign w:val="center"/>
          </w:tcPr>
          <w:p w14:paraId="4504797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0C1023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57</w:t>
            </w:r>
          </w:p>
        </w:tc>
        <w:tc>
          <w:tcPr>
            <w:tcW w:w="402" w:type="pct"/>
            <w:tcBorders>
              <w:tl2br w:val="nil"/>
              <w:tr2bl w:val="nil"/>
            </w:tcBorders>
            <w:noWrap w:val="0"/>
            <w:vAlign w:val="center"/>
          </w:tcPr>
          <w:p w14:paraId="673D1ED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57</w:t>
            </w:r>
          </w:p>
        </w:tc>
        <w:tc>
          <w:tcPr>
            <w:tcW w:w="409" w:type="pct"/>
            <w:tcBorders>
              <w:tl2br w:val="nil"/>
              <w:tr2bl w:val="nil"/>
            </w:tcBorders>
            <w:noWrap w:val="0"/>
            <w:vAlign w:val="center"/>
          </w:tcPr>
          <w:p w14:paraId="2FB88BB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96</w:t>
            </w:r>
          </w:p>
        </w:tc>
        <w:tc>
          <w:tcPr>
            <w:tcW w:w="487" w:type="pct"/>
            <w:tcBorders>
              <w:tl2br w:val="nil"/>
              <w:tr2bl w:val="nil"/>
            </w:tcBorders>
            <w:noWrap w:val="0"/>
            <w:vAlign w:val="center"/>
          </w:tcPr>
          <w:p w14:paraId="083C425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270</w:t>
            </w:r>
          </w:p>
        </w:tc>
        <w:tc>
          <w:tcPr>
            <w:tcW w:w="415" w:type="pct"/>
            <w:tcBorders>
              <w:tl2br w:val="nil"/>
              <w:tr2bl w:val="nil"/>
            </w:tcBorders>
            <w:noWrap w:val="0"/>
            <w:vAlign w:val="center"/>
          </w:tcPr>
          <w:p w14:paraId="2207E7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6C2231E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7F745F5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w:t>
            </w:r>
          </w:p>
        </w:tc>
        <w:tc>
          <w:tcPr>
            <w:tcW w:w="478" w:type="pct"/>
            <w:tcBorders>
              <w:tl2br w:val="nil"/>
              <w:tr2bl w:val="nil"/>
            </w:tcBorders>
            <w:noWrap w:val="0"/>
            <w:vAlign w:val="center"/>
          </w:tcPr>
          <w:p w14:paraId="0E66C1F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24</w:t>
            </w:r>
          </w:p>
        </w:tc>
        <w:tc>
          <w:tcPr>
            <w:tcW w:w="420" w:type="pct"/>
            <w:vMerge w:val="continue"/>
            <w:tcBorders>
              <w:tl2br w:val="nil"/>
              <w:tr2bl w:val="nil"/>
            </w:tcBorders>
            <w:noWrap w:val="0"/>
            <w:vAlign w:val="center"/>
          </w:tcPr>
          <w:p w14:paraId="7983A73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5DB94D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672A035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w:t>
            </w:r>
          </w:p>
        </w:tc>
        <w:tc>
          <w:tcPr>
            <w:tcW w:w="673" w:type="pct"/>
            <w:vMerge w:val="restart"/>
            <w:tcBorders>
              <w:tl2br w:val="nil"/>
              <w:tr2bl w:val="nil"/>
            </w:tcBorders>
            <w:noWrap w:val="0"/>
            <w:vAlign w:val="center"/>
          </w:tcPr>
          <w:p w14:paraId="06A6AE6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highlight w:val="none"/>
                <w:lang w:val="en-US" w:eastAsia="zh-CN"/>
              </w:rPr>
              <w:t>斑竹村新竹湾居民点（</w:t>
            </w:r>
            <w:r>
              <w:rPr>
                <w:rFonts w:hint="default" w:ascii="Times New Roman" w:hAnsi="Times New Roman" w:cs="Times New Roman"/>
                <w:color w:val="auto"/>
                <w:sz w:val="21"/>
                <w:szCs w:val="21"/>
                <w:lang w:val="en-US" w:eastAsia="zh-CN"/>
              </w:rPr>
              <w:t>5#</w:t>
            </w:r>
            <w:r>
              <w:rPr>
                <w:rFonts w:hint="default" w:ascii="Times New Roman" w:hAnsi="Times New Roman" w:eastAsia="宋体" w:cs="Times New Roman"/>
                <w:color w:val="auto"/>
                <w:kern w:val="0"/>
                <w:sz w:val="21"/>
                <w:szCs w:val="21"/>
                <w:highlight w:val="none"/>
                <w:lang w:val="en-US" w:eastAsia="zh-CN"/>
              </w:rPr>
              <w:t>）</w:t>
            </w:r>
          </w:p>
        </w:tc>
        <w:tc>
          <w:tcPr>
            <w:tcW w:w="402" w:type="pct"/>
            <w:tcBorders>
              <w:tl2br w:val="nil"/>
              <w:tr2bl w:val="nil"/>
            </w:tcBorders>
            <w:noWrap w:val="0"/>
            <w:vAlign w:val="center"/>
          </w:tcPr>
          <w:p w14:paraId="1F8032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5601D09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66D9D97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88</w:t>
            </w:r>
          </w:p>
        </w:tc>
        <w:tc>
          <w:tcPr>
            <w:tcW w:w="487" w:type="pct"/>
            <w:tcBorders>
              <w:tl2br w:val="nil"/>
              <w:tr2bl w:val="nil"/>
            </w:tcBorders>
            <w:noWrap w:val="0"/>
            <w:vAlign w:val="center"/>
          </w:tcPr>
          <w:p w14:paraId="23EA37B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294</w:t>
            </w:r>
          </w:p>
        </w:tc>
        <w:tc>
          <w:tcPr>
            <w:tcW w:w="415" w:type="pct"/>
            <w:tcBorders>
              <w:tl2br w:val="nil"/>
              <w:tr2bl w:val="nil"/>
            </w:tcBorders>
            <w:noWrap w:val="0"/>
            <w:vAlign w:val="center"/>
          </w:tcPr>
          <w:p w14:paraId="36C5C01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377" w:type="pct"/>
            <w:tcBorders>
              <w:tl2br w:val="nil"/>
              <w:tr2bl w:val="nil"/>
            </w:tcBorders>
            <w:noWrap w:val="0"/>
            <w:vAlign w:val="center"/>
          </w:tcPr>
          <w:p w14:paraId="289F62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358" w:type="pct"/>
            <w:tcBorders>
              <w:tl2br w:val="nil"/>
              <w:tr2bl w:val="nil"/>
            </w:tcBorders>
            <w:noWrap w:val="0"/>
            <w:vAlign w:val="center"/>
          </w:tcPr>
          <w:p w14:paraId="05FCA66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5AB2217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76</w:t>
            </w:r>
          </w:p>
        </w:tc>
        <w:tc>
          <w:tcPr>
            <w:tcW w:w="420" w:type="pct"/>
            <w:vMerge w:val="continue"/>
            <w:tcBorders>
              <w:tl2br w:val="nil"/>
              <w:tr2bl w:val="nil"/>
            </w:tcBorders>
            <w:noWrap w:val="0"/>
            <w:vAlign w:val="center"/>
          </w:tcPr>
          <w:p w14:paraId="7617255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42E7B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tcBorders>
              <w:tl2br w:val="nil"/>
              <w:tr2bl w:val="nil"/>
            </w:tcBorders>
            <w:noWrap w:val="0"/>
            <w:vAlign w:val="center"/>
          </w:tcPr>
          <w:p w14:paraId="1E73BC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2026.4.1、2026.4.2</w:t>
            </w:r>
          </w:p>
        </w:tc>
        <w:tc>
          <w:tcPr>
            <w:tcW w:w="673" w:type="pct"/>
            <w:vMerge w:val="continue"/>
            <w:tcBorders>
              <w:tl2br w:val="nil"/>
              <w:tr2bl w:val="nil"/>
            </w:tcBorders>
            <w:noWrap w:val="0"/>
            <w:vAlign w:val="center"/>
          </w:tcPr>
          <w:p w14:paraId="677CFA7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51275E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02" w:type="pct"/>
            <w:tcBorders>
              <w:tl2br w:val="nil"/>
              <w:tr2bl w:val="nil"/>
            </w:tcBorders>
            <w:noWrap w:val="0"/>
            <w:vAlign w:val="center"/>
          </w:tcPr>
          <w:p w14:paraId="6A88B00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54</w:t>
            </w:r>
          </w:p>
        </w:tc>
        <w:tc>
          <w:tcPr>
            <w:tcW w:w="409" w:type="pct"/>
            <w:tcBorders>
              <w:tl2br w:val="nil"/>
              <w:tr2bl w:val="nil"/>
            </w:tcBorders>
            <w:noWrap w:val="0"/>
            <w:vAlign w:val="center"/>
          </w:tcPr>
          <w:p w14:paraId="0FF753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92</w:t>
            </w:r>
          </w:p>
        </w:tc>
        <w:tc>
          <w:tcPr>
            <w:tcW w:w="487" w:type="pct"/>
            <w:tcBorders>
              <w:tl2br w:val="nil"/>
              <w:tr2bl w:val="nil"/>
            </w:tcBorders>
            <w:noWrap w:val="0"/>
            <w:vAlign w:val="center"/>
          </w:tcPr>
          <w:p w14:paraId="58CBCD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288</w:t>
            </w:r>
          </w:p>
        </w:tc>
        <w:tc>
          <w:tcPr>
            <w:tcW w:w="415" w:type="pct"/>
            <w:tcBorders>
              <w:tl2br w:val="nil"/>
              <w:tr2bl w:val="nil"/>
            </w:tcBorders>
            <w:noWrap w:val="0"/>
            <w:vAlign w:val="center"/>
          </w:tcPr>
          <w:p w14:paraId="05EF6FF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77" w:type="pct"/>
            <w:tcBorders>
              <w:tl2br w:val="nil"/>
              <w:tr2bl w:val="nil"/>
            </w:tcBorders>
            <w:noWrap w:val="0"/>
            <w:vAlign w:val="center"/>
          </w:tcPr>
          <w:p w14:paraId="3BA4DE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58" w:type="pct"/>
            <w:tcBorders>
              <w:tl2br w:val="nil"/>
              <w:tr2bl w:val="nil"/>
            </w:tcBorders>
            <w:noWrap w:val="0"/>
            <w:vAlign w:val="center"/>
          </w:tcPr>
          <w:p w14:paraId="3CBDEF3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8</w:t>
            </w:r>
          </w:p>
        </w:tc>
        <w:tc>
          <w:tcPr>
            <w:tcW w:w="478" w:type="pct"/>
            <w:tcBorders>
              <w:tl2br w:val="nil"/>
              <w:tr2bl w:val="nil"/>
            </w:tcBorders>
            <w:noWrap w:val="0"/>
            <w:vAlign w:val="center"/>
          </w:tcPr>
          <w:p w14:paraId="2C8199A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w:t>
            </w:r>
          </w:p>
        </w:tc>
        <w:tc>
          <w:tcPr>
            <w:tcW w:w="420" w:type="pct"/>
            <w:vMerge w:val="continue"/>
            <w:tcBorders>
              <w:tl2br w:val="nil"/>
              <w:tr2bl w:val="nil"/>
            </w:tcBorders>
            <w:noWrap w:val="0"/>
            <w:vAlign w:val="center"/>
          </w:tcPr>
          <w:p w14:paraId="32161E9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7AF11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353858B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2026.4.2、2026.4.3</w:t>
            </w:r>
          </w:p>
        </w:tc>
        <w:tc>
          <w:tcPr>
            <w:tcW w:w="673" w:type="pct"/>
            <w:vMerge w:val="continue"/>
            <w:tcBorders>
              <w:tl2br w:val="nil"/>
              <w:tr2bl w:val="nil"/>
            </w:tcBorders>
            <w:noWrap w:val="0"/>
            <w:vAlign w:val="center"/>
          </w:tcPr>
          <w:p w14:paraId="704D96E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E59A5D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2785B4F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26DA576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28</w:t>
            </w:r>
          </w:p>
        </w:tc>
        <w:tc>
          <w:tcPr>
            <w:tcW w:w="487" w:type="pct"/>
            <w:tcBorders>
              <w:tl2br w:val="nil"/>
              <w:tr2bl w:val="nil"/>
            </w:tcBorders>
            <w:noWrap w:val="0"/>
            <w:vAlign w:val="center"/>
          </w:tcPr>
          <w:p w14:paraId="5787E6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208</w:t>
            </w:r>
          </w:p>
        </w:tc>
        <w:tc>
          <w:tcPr>
            <w:tcW w:w="415" w:type="pct"/>
            <w:tcBorders>
              <w:tl2br w:val="nil"/>
              <w:tr2bl w:val="nil"/>
            </w:tcBorders>
            <w:noWrap w:val="0"/>
            <w:vAlign w:val="center"/>
          </w:tcPr>
          <w:p w14:paraId="1F2C000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77" w:type="pct"/>
            <w:tcBorders>
              <w:tl2br w:val="nil"/>
              <w:tr2bl w:val="nil"/>
            </w:tcBorders>
            <w:noWrap w:val="0"/>
            <w:vAlign w:val="center"/>
          </w:tcPr>
          <w:p w14:paraId="48C854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46</w:t>
            </w:r>
          </w:p>
        </w:tc>
        <w:tc>
          <w:tcPr>
            <w:tcW w:w="358" w:type="pct"/>
            <w:tcBorders>
              <w:tl2br w:val="nil"/>
              <w:tr2bl w:val="nil"/>
            </w:tcBorders>
            <w:noWrap w:val="0"/>
            <w:vAlign w:val="center"/>
          </w:tcPr>
          <w:p w14:paraId="0EA4341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16</w:t>
            </w:r>
          </w:p>
        </w:tc>
        <w:tc>
          <w:tcPr>
            <w:tcW w:w="478" w:type="pct"/>
            <w:tcBorders>
              <w:tl2br w:val="nil"/>
              <w:tr2bl w:val="nil"/>
            </w:tcBorders>
            <w:noWrap w:val="0"/>
            <w:vAlign w:val="center"/>
          </w:tcPr>
          <w:p w14:paraId="600931A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28</w:t>
            </w:r>
          </w:p>
        </w:tc>
        <w:tc>
          <w:tcPr>
            <w:tcW w:w="420" w:type="pct"/>
            <w:vMerge w:val="continue"/>
            <w:tcBorders>
              <w:tl2br w:val="nil"/>
              <w:tr2bl w:val="nil"/>
            </w:tcBorders>
            <w:noWrap w:val="0"/>
            <w:vAlign w:val="center"/>
          </w:tcPr>
          <w:p w14:paraId="65F8DB0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2ECDB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3332B4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C5021CC">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06B48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051ED26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0750F8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34</w:t>
            </w:r>
          </w:p>
        </w:tc>
        <w:tc>
          <w:tcPr>
            <w:tcW w:w="487" w:type="pct"/>
            <w:tcBorders>
              <w:tl2br w:val="nil"/>
              <w:tr2bl w:val="nil"/>
            </w:tcBorders>
            <w:noWrap w:val="0"/>
            <w:vAlign w:val="center"/>
          </w:tcPr>
          <w:p w14:paraId="4C93C97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226</w:t>
            </w:r>
          </w:p>
        </w:tc>
        <w:tc>
          <w:tcPr>
            <w:tcW w:w="415" w:type="pct"/>
            <w:tcBorders>
              <w:tl2br w:val="nil"/>
              <w:tr2bl w:val="nil"/>
            </w:tcBorders>
            <w:noWrap w:val="0"/>
            <w:vAlign w:val="center"/>
          </w:tcPr>
          <w:p w14:paraId="476DB0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377" w:type="pct"/>
            <w:tcBorders>
              <w:tl2br w:val="nil"/>
              <w:tr2bl w:val="nil"/>
            </w:tcBorders>
            <w:noWrap w:val="0"/>
            <w:vAlign w:val="center"/>
          </w:tcPr>
          <w:p w14:paraId="327D6B1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47</w:t>
            </w:r>
          </w:p>
        </w:tc>
        <w:tc>
          <w:tcPr>
            <w:tcW w:w="358" w:type="pct"/>
            <w:tcBorders>
              <w:tl2br w:val="nil"/>
              <w:tr2bl w:val="nil"/>
            </w:tcBorders>
            <w:noWrap w:val="0"/>
            <w:vAlign w:val="center"/>
          </w:tcPr>
          <w:p w14:paraId="22A486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14</w:t>
            </w:r>
          </w:p>
        </w:tc>
        <w:tc>
          <w:tcPr>
            <w:tcW w:w="478" w:type="pct"/>
            <w:tcBorders>
              <w:tl2br w:val="nil"/>
              <w:tr2bl w:val="nil"/>
            </w:tcBorders>
            <w:noWrap w:val="0"/>
            <w:vAlign w:val="center"/>
          </w:tcPr>
          <w:p w14:paraId="450C3F0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24</w:t>
            </w:r>
          </w:p>
        </w:tc>
        <w:tc>
          <w:tcPr>
            <w:tcW w:w="420" w:type="pct"/>
            <w:vMerge w:val="continue"/>
            <w:tcBorders>
              <w:tl2br w:val="nil"/>
              <w:tr2bl w:val="nil"/>
            </w:tcBorders>
            <w:noWrap w:val="0"/>
            <w:vAlign w:val="center"/>
          </w:tcPr>
          <w:p w14:paraId="2A6AAFE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r>
      <w:tr w14:paraId="5D354E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06B942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2026.4.1</w:t>
            </w:r>
          </w:p>
        </w:tc>
        <w:tc>
          <w:tcPr>
            <w:tcW w:w="673" w:type="pct"/>
            <w:vMerge w:val="restart"/>
            <w:tcBorders>
              <w:tl2br w:val="nil"/>
              <w:tr2bl w:val="nil"/>
            </w:tcBorders>
            <w:noWrap w:val="0"/>
            <w:vAlign w:val="center"/>
          </w:tcPr>
          <w:p w14:paraId="57C9D92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val="en-US" w:eastAsia="zh-CN"/>
              </w:rPr>
              <w:t>桂花村吊脚楼居民点（</w:t>
            </w:r>
            <w:r>
              <w:rPr>
                <w:rFonts w:hint="default" w:ascii="Times New Roman" w:hAnsi="Times New Roman" w:cs="Times New Roman"/>
                <w:color w:val="auto"/>
                <w:sz w:val="21"/>
                <w:szCs w:val="21"/>
              </w:rPr>
              <w:t>1#</w:t>
            </w:r>
            <w:r>
              <w:rPr>
                <w:rFonts w:hint="default" w:ascii="Times New Roman" w:hAnsi="Times New Roman" w:eastAsia="宋体" w:cs="Times New Roman"/>
                <w:color w:val="auto"/>
                <w:kern w:val="0"/>
                <w:sz w:val="21"/>
                <w:szCs w:val="21"/>
                <w:highlight w:val="none"/>
                <w:lang w:val="en-US" w:eastAsia="zh-CN"/>
              </w:rPr>
              <w:t>）</w:t>
            </w:r>
          </w:p>
        </w:tc>
        <w:tc>
          <w:tcPr>
            <w:tcW w:w="402" w:type="pct"/>
            <w:tcBorders>
              <w:tl2br w:val="nil"/>
              <w:tr2bl w:val="nil"/>
            </w:tcBorders>
            <w:noWrap w:val="0"/>
            <w:vAlign w:val="center"/>
          </w:tcPr>
          <w:p w14:paraId="4E40DC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194F03A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071CE5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703D5B2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192</w:t>
            </w:r>
          </w:p>
        </w:tc>
        <w:tc>
          <w:tcPr>
            <w:tcW w:w="415" w:type="pct"/>
            <w:tcBorders>
              <w:tl2br w:val="nil"/>
              <w:tr2bl w:val="nil"/>
            </w:tcBorders>
            <w:noWrap w:val="0"/>
            <w:vAlign w:val="center"/>
          </w:tcPr>
          <w:p w14:paraId="03A2EB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44</w:t>
            </w:r>
          </w:p>
        </w:tc>
        <w:tc>
          <w:tcPr>
            <w:tcW w:w="377" w:type="pct"/>
            <w:tcBorders>
              <w:tl2br w:val="nil"/>
              <w:tr2bl w:val="nil"/>
            </w:tcBorders>
            <w:noWrap w:val="0"/>
            <w:vAlign w:val="center"/>
          </w:tcPr>
          <w:p w14:paraId="1D690E3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44</w:t>
            </w:r>
          </w:p>
        </w:tc>
        <w:tc>
          <w:tcPr>
            <w:tcW w:w="358" w:type="pct"/>
            <w:tcBorders>
              <w:tl2br w:val="nil"/>
              <w:tr2bl w:val="nil"/>
            </w:tcBorders>
            <w:noWrap w:val="0"/>
            <w:vAlign w:val="center"/>
          </w:tcPr>
          <w:p w14:paraId="1F51D43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10</w:t>
            </w:r>
          </w:p>
        </w:tc>
        <w:tc>
          <w:tcPr>
            <w:tcW w:w="478" w:type="pct"/>
            <w:tcBorders>
              <w:tl2br w:val="nil"/>
              <w:tr2bl w:val="nil"/>
            </w:tcBorders>
            <w:noWrap w:val="0"/>
            <w:vAlign w:val="center"/>
          </w:tcPr>
          <w:p w14:paraId="5CE584E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58</w:t>
            </w:r>
          </w:p>
        </w:tc>
        <w:tc>
          <w:tcPr>
            <w:tcW w:w="420" w:type="pct"/>
            <w:vMerge w:val="continue"/>
            <w:tcBorders>
              <w:tl2br w:val="nil"/>
              <w:tr2bl w:val="nil"/>
            </w:tcBorders>
            <w:noWrap w:val="0"/>
            <w:vAlign w:val="center"/>
          </w:tcPr>
          <w:p w14:paraId="1FE1578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r w14:paraId="74B76A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25B69C2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9D08B5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2EC4B9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678B9B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3670DB2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34</w:t>
            </w:r>
          </w:p>
        </w:tc>
        <w:tc>
          <w:tcPr>
            <w:tcW w:w="487" w:type="pct"/>
            <w:tcBorders>
              <w:tl2br w:val="nil"/>
              <w:tr2bl w:val="nil"/>
            </w:tcBorders>
            <w:noWrap w:val="0"/>
            <w:vAlign w:val="center"/>
          </w:tcPr>
          <w:p w14:paraId="0DBC67E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188</w:t>
            </w:r>
          </w:p>
        </w:tc>
        <w:tc>
          <w:tcPr>
            <w:tcW w:w="415" w:type="pct"/>
            <w:tcBorders>
              <w:tl2br w:val="nil"/>
              <w:tr2bl w:val="nil"/>
            </w:tcBorders>
            <w:noWrap w:val="0"/>
            <w:vAlign w:val="center"/>
          </w:tcPr>
          <w:p w14:paraId="5A1BDCB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377" w:type="pct"/>
            <w:tcBorders>
              <w:tl2br w:val="nil"/>
              <w:tr2bl w:val="nil"/>
            </w:tcBorders>
            <w:noWrap w:val="0"/>
            <w:vAlign w:val="center"/>
          </w:tcPr>
          <w:p w14:paraId="4E7B768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42</w:t>
            </w:r>
          </w:p>
        </w:tc>
        <w:tc>
          <w:tcPr>
            <w:tcW w:w="358" w:type="pct"/>
            <w:tcBorders>
              <w:tl2br w:val="nil"/>
              <w:tr2bl w:val="nil"/>
            </w:tcBorders>
            <w:noWrap w:val="0"/>
            <w:vAlign w:val="center"/>
          </w:tcPr>
          <w:p w14:paraId="680F8DD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6</w:t>
            </w:r>
          </w:p>
        </w:tc>
        <w:tc>
          <w:tcPr>
            <w:tcW w:w="478" w:type="pct"/>
            <w:tcBorders>
              <w:tl2br w:val="nil"/>
              <w:tr2bl w:val="nil"/>
            </w:tcBorders>
            <w:noWrap w:val="0"/>
            <w:vAlign w:val="center"/>
          </w:tcPr>
          <w:p w14:paraId="220219E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38</w:t>
            </w:r>
          </w:p>
        </w:tc>
        <w:tc>
          <w:tcPr>
            <w:tcW w:w="420" w:type="pct"/>
            <w:vMerge w:val="continue"/>
            <w:tcBorders>
              <w:tl2br w:val="nil"/>
              <w:tr2bl w:val="nil"/>
            </w:tcBorders>
            <w:noWrap w:val="0"/>
            <w:vAlign w:val="center"/>
          </w:tcPr>
          <w:p w14:paraId="3E041E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29349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6DA92F3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2026.4.2</w:t>
            </w:r>
          </w:p>
        </w:tc>
        <w:tc>
          <w:tcPr>
            <w:tcW w:w="673" w:type="pct"/>
            <w:vMerge w:val="continue"/>
            <w:tcBorders>
              <w:tl2br w:val="nil"/>
              <w:tr2bl w:val="nil"/>
            </w:tcBorders>
            <w:noWrap w:val="0"/>
            <w:vAlign w:val="center"/>
          </w:tcPr>
          <w:p w14:paraId="5D4A756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5BB2EF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2" w:type="pct"/>
            <w:tcBorders>
              <w:tl2br w:val="nil"/>
              <w:tr2bl w:val="nil"/>
            </w:tcBorders>
            <w:noWrap w:val="0"/>
            <w:vAlign w:val="center"/>
          </w:tcPr>
          <w:p w14:paraId="3E26751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52</w:t>
            </w:r>
          </w:p>
        </w:tc>
        <w:tc>
          <w:tcPr>
            <w:tcW w:w="409" w:type="pct"/>
            <w:tcBorders>
              <w:tl2br w:val="nil"/>
              <w:tr2bl w:val="nil"/>
            </w:tcBorders>
            <w:noWrap w:val="0"/>
            <w:vAlign w:val="center"/>
          </w:tcPr>
          <w:p w14:paraId="4972527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32</w:t>
            </w:r>
          </w:p>
        </w:tc>
        <w:tc>
          <w:tcPr>
            <w:tcW w:w="487" w:type="pct"/>
            <w:tcBorders>
              <w:tl2br w:val="nil"/>
              <w:tr2bl w:val="nil"/>
            </w:tcBorders>
            <w:noWrap w:val="0"/>
            <w:vAlign w:val="center"/>
          </w:tcPr>
          <w:p w14:paraId="220F050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294</w:t>
            </w:r>
          </w:p>
        </w:tc>
        <w:tc>
          <w:tcPr>
            <w:tcW w:w="415" w:type="pct"/>
            <w:tcBorders>
              <w:tl2br w:val="nil"/>
              <w:tr2bl w:val="nil"/>
            </w:tcBorders>
            <w:noWrap w:val="0"/>
            <w:vAlign w:val="center"/>
          </w:tcPr>
          <w:p w14:paraId="60486AE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77" w:type="pct"/>
            <w:tcBorders>
              <w:tl2br w:val="nil"/>
              <w:tr2bl w:val="nil"/>
            </w:tcBorders>
            <w:noWrap w:val="0"/>
            <w:vAlign w:val="center"/>
          </w:tcPr>
          <w:p w14:paraId="687C21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58" w:type="pct"/>
            <w:tcBorders>
              <w:tl2br w:val="nil"/>
              <w:tr2bl w:val="nil"/>
            </w:tcBorders>
            <w:noWrap w:val="0"/>
            <w:vAlign w:val="center"/>
          </w:tcPr>
          <w:p w14:paraId="72B8E4E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2FE96F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34</w:t>
            </w:r>
          </w:p>
        </w:tc>
        <w:tc>
          <w:tcPr>
            <w:tcW w:w="420" w:type="pct"/>
            <w:vMerge w:val="continue"/>
            <w:tcBorders>
              <w:tl2br w:val="nil"/>
              <w:tr2bl w:val="nil"/>
            </w:tcBorders>
            <w:noWrap w:val="0"/>
            <w:vAlign w:val="center"/>
          </w:tcPr>
          <w:p w14:paraId="699E050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39267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F98DDF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450BE5E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48ECF3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3F5274A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111B51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28</w:t>
            </w:r>
          </w:p>
        </w:tc>
        <w:tc>
          <w:tcPr>
            <w:tcW w:w="487" w:type="pct"/>
            <w:tcBorders>
              <w:tl2br w:val="nil"/>
              <w:tr2bl w:val="nil"/>
            </w:tcBorders>
            <w:noWrap w:val="0"/>
            <w:vAlign w:val="center"/>
          </w:tcPr>
          <w:p w14:paraId="03EE644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276</w:t>
            </w:r>
          </w:p>
        </w:tc>
        <w:tc>
          <w:tcPr>
            <w:tcW w:w="415" w:type="pct"/>
            <w:tcBorders>
              <w:tl2br w:val="nil"/>
              <w:tr2bl w:val="nil"/>
            </w:tcBorders>
            <w:noWrap w:val="0"/>
            <w:vAlign w:val="center"/>
          </w:tcPr>
          <w:p w14:paraId="06E88C8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77" w:type="pct"/>
            <w:tcBorders>
              <w:tl2br w:val="nil"/>
              <w:tr2bl w:val="nil"/>
            </w:tcBorders>
            <w:noWrap w:val="0"/>
            <w:vAlign w:val="center"/>
          </w:tcPr>
          <w:p w14:paraId="0AD8593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43</w:t>
            </w:r>
          </w:p>
        </w:tc>
        <w:tc>
          <w:tcPr>
            <w:tcW w:w="358" w:type="pct"/>
            <w:tcBorders>
              <w:tl2br w:val="nil"/>
              <w:tr2bl w:val="nil"/>
            </w:tcBorders>
            <w:noWrap w:val="0"/>
            <w:vAlign w:val="center"/>
          </w:tcPr>
          <w:p w14:paraId="4466DD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10</w:t>
            </w:r>
          </w:p>
        </w:tc>
        <w:tc>
          <w:tcPr>
            <w:tcW w:w="478" w:type="pct"/>
            <w:tcBorders>
              <w:tl2br w:val="nil"/>
              <w:tr2bl w:val="nil"/>
            </w:tcBorders>
            <w:noWrap w:val="0"/>
            <w:vAlign w:val="center"/>
          </w:tcPr>
          <w:p w14:paraId="14CCEE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26</w:t>
            </w:r>
          </w:p>
        </w:tc>
        <w:tc>
          <w:tcPr>
            <w:tcW w:w="420" w:type="pct"/>
            <w:vMerge w:val="continue"/>
            <w:tcBorders>
              <w:tl2br w:val="nil"/>
              <w:tr2bl w:val="nil"/>
            </w:tcBorders>
            <w:noWrap w:val="0"/>
            <w:vAlign w:val="center"/>
          </w:tcPr>
          <w:p w14:paraId="1697F73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4D5E2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591416C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评价标准值</w:t>
            </w:r>
          </w:p>
        </w:tc>
        <w:tc>
          <w:tcPr>
            <w:tcW w:w="3752" w:type="pct"/>
            <w:gridSpan w:val="9"/>
            <w:tcBorders>
              <w:tl2br w:val="nil"/>
              <w:tr2bl w:val="nil"/>
            </w:tcBorders>
            <w:noWrap w:val="0"/>
            <w:vAlign w:val="center"/>
          </w:tcPr>
          <w:p w14:paraId="5EFA5CB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昼间≤</w:t>
            </w:r>
            <w:r>
              <w:rPr>
                <w:rFonts w:hint="default" w:ascii="Times New Roman" w:hAnsi="Times New Roman" w:eastAsia="宋体" w:cs="Times New Roman"/>
                <w:color w:val="auto"/>
                <w:sz w:val="21"/>
                <w:szCs w:val="21"/>
                <w:lang w:val="en-US" w:eastAsia="zh-CN"/>
              </w:rPr>
              <w:t>60</w:t>
            </w:r>
            <w:r>
              <w:rPr>
                <w:rFonts w:hint="default" w:ascii="Times New Roman" w:hAnsi="Times New Roman" w:eastAsia="宋体" w:cs="Times New Roman"/>
                <w:color w:val="auto"/>
                <w:sz w:val="21"/>
                <w:szCs w:val="21"/>
                <w:lang w:eastAsia="zh-CN"/>
              </w:rPr>
              <w:t>dB；夜间≤</w:t>
            </w:r>
            <w:r>
              <w:rPr>
                <w:rFonts w:hint="default" w:ascii="Times New Roman" w:hAnsi="Times New Roman" w:eastAsia="宋体" w:cs="Times New Roman"/>
                <w:color w:val="auto"/>
                <w:sz w:val="21"/>
                <w:szCs w:val="21"/>
                <w:lang w:val="en-US" w:eastAsia="zh-CN"/>
              </w:rPr>
              <w:t xml:space="preserve"> 50</w:t>
            </w:r>
            <w:r>
              <w:rPr>
                <w:rFonts w:hint="default" w:ascii="Times New Roman" w:hAnsi="Times New Roman" w:eastAsia="宋体" w:cs="Times New Roman"/>
                <w:color w:val="auto"/>
                <w:sz w:val="21"/>
                <w:szCs w:val="21"/>
                <w:lang w:eastAsia="zh-CN"/>
              </w:rPr>
              <w:t>dB。</w:t>
            </w:r>
          </w:p>
        </w:tc>
      </w:tr>
      <w:tr w14:paraId="3670AA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1E91BD1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评价依据</w:t>
            </w:r>
          </w:p>
        </w:tc>
        <w:tc>
          <w:tcPr>
            <w:tcW w:w="3752" w:type="pct"/>
            <w:gridSpan w:val="9"/>
            <w:tcBorders>
              <w:tl2br w:val="nil"/>
              <w:tr2bl w:val="nil"/>
            </w:tcBorders>
            <w:noWrap w:val="0"/>
            <w:vAlign w:val="center"/>
          </w:tcPr>
          <w:p w14:paraId="3BA1216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0"/>
                <w:w w:val="100"/>
                <w:kern w:val="2"/>
                <w:sz w:val="21"/>
                <w:szCs w:val="21"/>
                <w:lang w:val="en-US" w:eastAsia="zh-CN" w:bidi="ar-SA"/>
              </w:rPr>
              <w:t>《声环境质量标准》（GB 3096-2008）中2类标准。</w:t>
            </w:r>
          </w:p>
        </w:tc>
      </w:tr>
      <w:tr w14:paraId="0FF235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4D32A7C2">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kern w:val="0"/>
                <w:sz w:val="21"/>
                <w:szCs w:val="21"/>
                <w:highlight w:val="none"/>
                <w:lang w:val="en-US" w:eastAsia="zh-CN"/>
              </w:rPr>
              <w:t>检测结论</w:t>
            </w:r>
          </w:p>
        </w:tc>
        <w:tc>
          <w:tcPr>
            <w:tcW w:w="3752" w:type="pct"/>
            <w:gridSpan w:val="9"/>
            <w:tcBorders>
              <w:tl2br w:val="nil"/>
              <w:tr2bl w:val="nil"/>
            </w:tcBorders>
            <w:noWrap w:val="0"/>
            <w:vAlign w:val="center"/>
          </w:tcPr>
          <w:p w14:paraId="37B516FE">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本次检测，城市区域环境噪声检测点</w:t>
            </w:r>
            <w:r>
              <w:rPr>
                <w:rFonts w:hint="default" w:ascii="Times New Roman" w:hAnsi="Times New Roman" w:eastAsia="宋体" w:cs="Times New Roman"/>
                <w:snapToGrid w:val="0"/>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lang w:val="en-US" w:eastAsia="zh-CN"/>
              </w:rPr>
              <w:t>石窝村八角庙居民点（7#）、</w:t>
            </w:r>
            <w:r>
              <w:rPr>
                <w:rFonts w:hint="default" w:ascii="Times New Roman" w:hAnsi="Times New Roman" w:eastAsia="宋体" w:cs="Times New Roman"/>
                <w:snapToGrid w:val="0"/>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rPr>
              <w:t>斑竹村长五间居民点</w:t>
            </w:r>
            <w:r>
              <w:rPr>
                <w:rFonts w:hint="default" w:ascii="Times New Roman" w:hAnsi="Times New Roman" w:eastAsia="宋体" w:cs="Times New Roman"/>
                <w:color w:val="auto"/>
                <w:kern w:val="0"/>
                <w:sz w:val="21"/>
                <w:szCs w:val="21"/>
                <w:lang w:val="en-US" w:eastAsia="zh-CN"/>
              </w:rPr>
              <w:t>（6#）、</w:t>
            </w:r>
            <w:r>
              <w:rPr>
                <w:rFonts w:hint="default" w:ascii="Times New Roman" w:hAnsi="Times New Roman" w:eastAsia="宋体" w:cs="Times New Roman"/>
                <w:color w:val="auto"/>
                <w:kern w:val="0"/>
                <w:sz w:val="21"/>
                <w:szCs w:val="21"/>
                <w:highlight w:val="none"/>
                <w:lang w:val="en-US" w:eastAsia="zh-CN"/>
              </w:rPr>
              <w:t>斑竹村石梁子居民点</w:t>
            </w:r>
            <w:r>
              <w:rPr>
                <w:rFonts w:hint="default"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sz w:val="21"/>
                <w:szCs w:val="21"/>
                <w:highlight w:val="none"/>
                <w:lang w:val="en-US" w:eastAsia="zh-CN"/>
              </w:rPr>
              <w:t>处、</w:t>
            </w:r>
            <w:r>
              <w:rPr>
                <w:rFonts w:hint="default" w:ascii="Times New Roman" w:hAnsi="Times New Roman" w:eastAsia="宋体" w:cs="Times New Roman"/>
                <w:color w:val="auto"/>
                <w:kern w:val="0"/>
                <w:sz w:val="21"/>
                <w:szCs w:val="21"/>
                <w:highlight w:val="none"/>
                <w:lang w:val="en-US" w:eastAsia="zh-CN"/>
              </w:rPr>
              <w:t>斑竹村新竹湾居民点（</w:t>
            </w:r>
            <w:r>
              <w:rPr>
                <w:rFonts w:hint="default" w:ascii="Times New Roman" w:hAnsi="Times New Roman" w:cs="Times New Roman"/>
                <w:color w:val="auto"/>
                <w:sz w:val="21"/>
                <w:szCs w:val="21"/>
                <w:lang w:val="en-US" w:eastAsia="zh-CN"/>
              </w:rPr>
              <w:t>5#</w:t>
            </w:r>
            <w:r>
              <w:rPr>
                <w:rFonts w:hint="default" w:ascii="Times New Roman" w:hAnsi="Times New Roman" w:eastAsia="宋体" w:cs="Times New Roman"/>
                <w:color w:val="auto"/>
                <w:kern w:val="0"/>
                <w:sz w:val="21"/>
                <w:szCs w:val="21"/>
                <w:highlight w:val="none"/>
                <w:lang w:val="en-US" w:eastAsia="zh-CN"/>
              </w:rPr>
              <w:t>）、桂花村吊脚楼居民点（</w:t>
            </w:r>
            <w:r>
              <w:rPr>
                <w:rFonts w:hint="default" w:ascii="Times New Roman" w:hAnsi="Times New Roman" w:cs="Times New Roman"/>
                <w:color w:val="auto"/>
                <w:sz w:val="21"/>
                <w:szCs w:val="21"/>
              </w:rPr>
              <w:t>1#</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szCs w:val="21"/>
                <w:highlight w:val="none"/>
                <w:lang w:val="en-US" w:eastAsia="zh-CN"/>
              </w:rPr>
              <w:t>昼间、</w:t>
            </w:r>
            <w:r>
              <w:rPr>
                <w:rFonts w:hint="default" w:ascii="Times New Roman" w:hAnsi="Times New Roman" w:eastAsia="宋体" w:cs="Times New Roman"/>
                <w:color w:val="auto"/>
                <w:sz w:val="21"/>
                <w:szCs w:val="21"/>
                <w:highlight w:val="none"/>
                <w:lang w:val="en-US" w:eastAsia="zh-CN"/>
              </w:rPr>
              <w:t>夜间检测结果均满足《声环境质量标准》（GB 3096-2008）</w:t>
            </w:r>
            <w:r>
              <w:rPr>
                <w:rFonts w:hint="default" w:ascii="Times New Roman" w:hAnsi="Times New Roman" w:eastAsia="宋体" w:cs="Times New Roman"/>
                <w:color w:val="auto"/>
                <w:spacing w:val="0"/>
                <w:w w:val="100"/>
                <w:kern w:val="2"/>
                <w:sz w:val="21"/>
                <w:szCs w:val="21"/>
                <w:highlight w:val="none"/>
                <w:lang w:val="en-US" w:eastAsia="zh-CN" w:bidi="ar-SA"/>
              </w:rPr>
              <w:t>2</w:t>
            </w:r>
            <w:r>
              <w:rPr>
                <w:rFonts w:hint="default" w:ascii="Times New Roman" w:hAnsi="Times New Roman" w:eastAsia="宋体" w:cs="Times New Roman"/>
                <w:color w:val="auto"/>
                <w:sz w:val="21"/>
                <w:szCs w:val="21"/>
                <w:highlight w:val="none"/>
              </w:rPr>
              <w:t>类标准</w:t>
            </w:r>
            <w:r>
              <w:rPr>
                <w:rFonts w:hint="default" w:ascii="Times New Roman" w:hAnsi="Times New Roman" w:eastAsia="宋体" w:cs="Times New Roman"/>
                <w:color w:val="auto"/>
                <w:sz w:val="21"/>
                <w:szCs w:val="21"/>
                <w:highlight w:val="none"/>
                <w:lang w:eastAsia="zh-CN"/>
              </w:rPr>
              <w:t>要求。</w:t>
            </w:r>
          </w:p>
        </w:tc>
      </w:tr>
      <w:tr w14:paraId="209D81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50392C1A">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备注</w:t>
            </w:r>
          </w:p>
        </w:tc>
        <w:tc>
          <w:tcPr>
            <w:tcW w:w="3752" w:type="pct"/>
            <w:gridSpan w:val="9"/>
            <w:tcBorders>
              <w:tl2br w:val="nil"/>
              <w:tr2bl w:val="nil"/>
            </w:tcBorders>
            <w:noWrap w:val="0"/>
            <w:vAlign w:val="center"/>
          </w:tcPr>
          <w:p w14:paraId="3675751B">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检测路段名称：S47渝广高速。</w:t>
            </w:r>
          </w:p>
        </w:tc>
      </w:tr>
    </w:tbl>
    <w:p w14:paraId="5A45CA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lang w:val="en-US" w:eastAsia="zh-CN"/>
        </w:rPr>
      </w:pPr>
    </w:p>
    <w:p w14:paraId="314871E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）监测结果分析</w:t>
      </w:r>
    </w:p>
    <w:p w14:paraId="5C97B52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由上表可知，在现有车流量的情况下，所有监测点昼间、夜间噪声监测值及垂向噪声监测值均能满足</w:t>
      </w:r>
      <w:r>
        <w:rPr>
          <w:rFonts w:hint="default" w:ascii="Times New Roman" w:hAnsi="Times New Roman" w:cs="Times New Roman"/>
          <w:bCs/>
          <w:color w:val="auto"/>
          <w:szCs w:val="24"/>
        </w:rPr>
        <w:t>《声环境质量标准》</w:t>
      </w:r>
      <w:r>
        <w:rPr>
          <w:rFonts w:hint="eastAsia" w:cs="Times New Roman"/>
          <w:bCs/>
          <w:color w:val="auto"/>
          <w:szCs w:val="24"/>
          <w:lang w:eastAsia="zh-CN"/>
        </w:rPr>
        <w:t>（</w:t>
      </w:r>
      <w:r>
        <w:rPr>
          <w:rFonts w:hint="default" w:ascii="Times New Roman" w:hAnsi="Times New Roman" w:cs="Times New Roman"/>
          <w:bCs/>
          <w:color w:val="auto"/>
          <w:szCs w:val="24"/>
        </w:rPr>
        <w:t>GB3096-2008</w:t>
      </w:r>
      <w:r>
        <w:rPr>
          <w:rFonts w:hint="eastAsia" w:cs="Times New Roman"/>
          <w:bCs/>
          <w:color w:val="auto"/>
          <w:szCs w:val="24"/>
          <w:lang w:eastAsia="zh-CN"/>
        </w:rPr>
        <w:t>）</w:t>
      </w:r>
      <w:r>
        <w:rPr>
          <w:rFonts w:hint="default" w:ascii="Times New Roman" w:hAnsi="Times New Roman" w:cs="Times New Roman"/>
          <w:bCs/>
          <w:color w:val="auto"/>
          <w:szCs w:val="24"/>
        </w:rPr>
        <w:t>中相应</w:t>
      </w:r>
      <w:r>
        <w:rPr>
          <w:rFonts w:hint="default" w:ascii="Times New Roman" w:hAnsi="Times New Roman" w:cs="Times New Roman"/>
          <w:color w:val="auto"/>
          <w:szCs w:val="24"/>
        </w:rPr>
        <w:t>标准限值。</w:t>
      </w:r>
    </w:p>
    <w:p w14:paraId="1A93C3E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交通噪声距离衰减情况监测结果及分析</w:t>
      </w:r>
    </w:p>
    <w:p w14:paraId="56AC04F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）监测结果</w:t>
      </w:r>
    </w:p>
    <w:p w14:paraId="2C8AF61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交通噪声距离衰减监测结果见</w:t>
      </w:r>
      <w:r>
        <w:rPr>
          <w:rFonts w:hint="eastAsia" w:cs="Times New Roman"/>
          <w:color w:val="auto"/>
          <w:szCs w:val="24"/>
          <w:lang w:val="en-US" w:eastAsia="zh-CN"/>
        </w:rPr>
        <w:t>下表</w:t>
      </w:r>
      <w:r>
        <w:rPr>
          <w:rFonts w:hint="default" w:ascii="Times New Roman" w:hAnsi="Times New Roman" w:cs="Times New Roman"/>
          <w:color w:val="auto"/>
          <w:szCs w:val="24"/>
        </w:rPr>
        <w:t>。</w:t>
      </w:r>
    </w:p>
    <w:p w14:paraId="74B908A1">
      <w:pPr>
        <w:pStyle w:val="9"/>
        <w:rPr>
          <w:rFonts w:hint="default" w:ascii="Times New Roman" w:hAnsi="Times New Roman" w:cs="Times New Roman"/>
          <w:color w:val="auto"/>
        </w:rPr>
      </w:pPr>
      <w:bookmarkStart w:id="149" w:name="_Ref141885075"/>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6</w:t>
      </w:r>
      <w:r>
        <w:rPr>
          <w:rFonts w:hint="default" w:ascii="Times New Roman" w:hAnsi="Times New Roman" w:cs="Times New Roman"/>
          <w:color w:val="auto"/>
        </w:rPr>
        <w:fldChar w:fldCharType="end"/>
      </w:r>
      <w:bookmarkEnd w:id="149"/>
      <w:r>
        <w:rPr>
          <w:rFonts w:hint="default" w:ascii="Times New Roman" w:hAnsi="Times New Roman" w:cs="Times New Roman"/>
          <w:color w:val="auto"/>
        </w:rPr>
        <w:t>交通噪声距离衰减监测结果表</w:t>
      </w:r>
    </w:p>
    <w:tbl>
      <w:tblPr>
        <w:tblStyle w:val="20"/>
        <w:tblW w:w="499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178"/>
        <w:gridCol w:w="705"/>
        <w:gridCol w:w="705"/>
        <w:gridCol w:w="716"/>
        <w:gridCol w:w="854"/>
        <w:gridCol w:w="727"/>
        <w:gridCol w:w="661"/>
        <w:gridCol w:w="627"/>
        <w:gridCol w:w="837"/>
        <w:gridCol w:w="494"/>
      </w:tblGrid>
      <w:tr w14:paraId="22A77E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90" w:type="pct"/>
            <w:vMerge w:val="restart"/>
            <w:tcBorders>
              <w:tl2br w:val="nil"/>
              <w:tr2bl w:val="nil"/>
            </w:tcBorders>
            <w:noWrap w:val="0"/>
            <w:vAlign w:val="center"/>
          </w:tcPr>
          <w:p w14:paraId="1341080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w:t>
            </w:r>
          </w:p>
          <w:p w14:paraId="296348D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时间</w:t>
            </w:r>
          </w:p>
        </w:tc>
        <w:tc>
          <w:tcPr>
            <w:tcW w:w="692" w:type="pct"/>
            <w:vMerge w:val="restart"/>
            <w:tcBorders>
              <w:tl2br w:val="nil"/>
              <w:tr2bl w:val="nil"/>
            </w:tcBorders>
            <w:noWrap w:val="0"/>
            <w:vAlign w:val="center"/>
          </w:tcPr>
          <w:p w14:paraId="59F434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采样位置及编号</w:t>
            </w:r>
          </w:p>
        </w:tc>
        <w:tc>
          <w:tcPr>
            <w:tcW w:w="828" w:type="pct"/>
            <w:gridSpan w:val="2"/>
            <w:tcBorders>
              <w:tl2br w:val="nil"/>
              <w:tr2bl w:val="nil"/>
            </w:tcBorders>
            <w:noWrap w:val="0"/>
            <w:vAlign w:val="center"/>
          </w:tcPr>
          <w:p w14:paraId="4FCD0F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4C54E4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922" w:type="pct"/>
            <w:gridSpan w:val="2"/>
            <w:tcBorders>
              <w:tl2br w:val="nil"/>
              <w:tr2bl w:val="nil"/>
            </w:tcBorders>
            <w:noWrap w:val="0"/>
            <w:vAlign w:val="center"/>
          </w:tcPr>
          <w:p w14:paraId="79C0249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3FD032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815" w:type="pct"/>
            <w:gridSpan w:val="2"/>
            <w:tcBorders>
              <w:tl2br w:val="nil"/>
              <w:tr2bl w:val="nil"/>
            </w:tcBorders>
            <w:noWrap w:val="0"/>
            <w:vAlign w:val="center"/>
          </w:tcPr>
          <w:p w14:paraId="5B6068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65F51A1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60" w:type="pct"/>
            <w:gridSpan w:val="2"/>
            <w:tcBorders>
              <w:tl2br w:val="nil"/>
              <w:tr2bl w:val="nil"/>
            </w:tcBorders>
            <w:noWrap w:val="0"/>
            <w:vAlign w:val="center"/>
          </w:tcPr>
          <w:p w14:paraId="5551A6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1D09118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290" w:type="pct"/>
            <w:vMerge w:val="restart"/>
            <w:tcBorders>
              <w:tl2br w:val="nil"/>
              <w:tr2bl w:val="nil"/>
            </w:tcBorders>
            <w:noWrap w:val="0"/>
            <w:vAlign w:val="center"/>
          </w:tcPr>
          <w:p w14:paraId="2CC5FF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主要</w:t>
            </w:r>
          </w:p>
          <w:p w14:paraId="61E628D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color w:val="auto"/>
                <w:w w:val="100"/>
                <w:kern w:val="0"/>
                <w:sz w:val="21"/>
                <w:szCs w:val="21"/>
              </w:rPr>
              <w:t>声源</w:t>
            </w:r>
          </w:p>
        </w:tc>
      </w:tr>
      <w:tr w14:paraId="3F892C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90" w:type="pct"/>
            <w:vMerge w:val="continue"/>
            <w:tcBorders>
              <w:tl2br w:val="nil"/>
              <w:tr2bl w:val="nil"/>
            </w:tcBorders>
            <w:noWrap w:val="0"/>
            <w:vAlign w:val="center"/>
          </w:tcPr>
          <w:p w14:paraId="21BBCB3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692" w:type="pct"/>
            <w:vMerge w:val="continue"/>
            <w:tcBorders>
              <w:tl2br w:val="nil"/>
              <w:tr2bl w:val="nil"/>
            </w:tcBorders>
            <w:noWrap w:val="0"/>
            <w:vAlign w:val="center"/>
          </w:tcPr>
          <w:p w14:paraId="1D20D8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414" w:type="pct"/>
            <w:tcBorders>
              <w:tl2br w:val="nil"/>
              <w:tr2bl w:val="nil"/>
            </w:tcBorders>
            <w:noWrap w:val="0"/>
            <w:vAlign w:val="center"/>
          </w:tcPr>
          <w:p w14:paraId="5C3044DD">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昼间</w:t>
            </w:r>
            <w:r>
              <w:rPr>
                <w:rFonts w:hint="default" w:ascii="Times New Roman" w:hAnsi="Times New Roman" w:eastAsia="宋体" w:cs="Times New Roman"/>
                <w:b/>
                <w:color w:val="auto"/>
                <w:w w:val="100"/>
                <w:kern w:val="0"/>
                <w:sz w:val="21"/>
                <w:szCs w:val="21"/>
              </w:rPr>
              <w:t>等效声级</w:t>
            </w:r>
          </w:p>
        </w:tc>
        <w:tc>
          <w:tcPr>
            <w:tcW w:w="414" w:type="pct"/>
            <w:tcBorders>
              <w:tl2br w:val="nil"/>
              <w:tr2bl w:val="nil"/>
            </w:tcBorders>
            <w:noWrap w:val="0"/>
            <w:vAlign w:val="center"/>
          </w:tcPr>
          <w:p w14:paraId="681DA841">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420" w:type="pct"/>
            <w:tcBorders>
              <w:tl2br w:val="nil"/>
              <w:tr2bl w:val="nil"/>
            </w:tcBorders>
            <w:noWrap w:val="0"/>
            <w:vAlign w:val="center"/>
          </w:tcPr>
          <w:p w14:paraId="169C438C">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大型车</w:t>
            </w:r>
          </w:p>
        </w:tc>
        <w:tc>
          <w:tcPr>
            <w:tcW w:w="501" w:type="pct"/>
            <w:tcBorders>
              <w:tl2br w:val="nil"/>
              <w:tr2bl w:val="nil"/>
            </w:tcBorders>
            <w:noWrap w:val="0"/>
            <w:vAlign w:val="center"/>
          </w:tcPr>
          <w:p w14:paraId="60809261">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中小型车</w:t>
            </w:r>
          </w:p>
        </w:tc>
        <w:tc>
          <w:tcPr>
            <w:tcW w:w="427" w:type="pct"/>
            <w:tcBorders>
              <w:tl2br w:val="nil"/>
              <w:tr2bl w:val="nil"/>
            </w:tcBorders>
            <w:noWrap w:val="0"/>
            <w:vAlign w:val="center"/>
          </w:tcPr>
          <w:p w14:paraId="17007811">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夜间</w:t>
            </w:r>
            <w:r>
              <w:rPr>
                <w:rFonts w:hint="default" w:ascii="Times New Roman" w:hAnsi="Times New Roman" w:eastAsia="宋体" w:cs="Times New Roman"/>
                <w:b/>
                <w:color w:val="auto"/>
                <w:w w:val="100"/>
                <w:kern w:val="0"/>
                <w:sz w:val="21"/>
                <w:szCs w:val="21"/>
              </w:rPr>
              <w:t>等效声级</w:t>
            </w:r>
          </w:p>
        </w:tc>
        <w:tc>
          <w:tcPr>
            <w:tcW w:w="388" w:type="pct"/>
            <w:tcBorders>
              <w:tl2br w:val="nil"/>
              <w:tr2bl w:val="nil"/>
            </w:tcBorders>
            <w:noWrap w:val="0"/>
            <w:vAlign w:val="center"/>
          </w:tcPr>
          <w:p w14:paraId="49DA3B00">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368" w:type="pct"/>
            <w:tcBorders>
              <w:tl2br w:val="nil"/>
              <w:tr2bl w:val="nil"/>
            </w:tcBorders>
            <w:noWrap w:val="0"/>
            <w:vAlign w:val="center"/>
          </w:tcPr>
          <w:p w14:paraId="2400A00E">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大型车</w:t>
            </w:r>
          </w:p>
        </w:tc>
        <w:tc>
          <w:tcPr>
            <w:tcW w:w="491" w:type="pct"/>
            <w:tcBorders>
              <w:tl2br w:val="nil"/>
              <w:tr2bl w:val="nil"/>
            </w:tcBorders>
            <w:noWrap w:val="0"/>
            <w:vAlign w:val="center"/>
          </w:tcPr>
          <w:p w14:paraId="4D1D8D2E">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中小型车</w:t>
            </w:r>
          </w:p>
        </w:tc>
        <w:tc>
          <w:tcPr>
            <w:tcW w:w="290" w:type="pct"/>
            <w:vMerge w:val="continue"/>
            <w:tcBorders>
              <w:tl2br w:val="nil"/>
              <w:tr2bl w:val="nil"/>
            </w:tcBorders>
            <w:noWrap w:val="0"/>
            <w:vAlign w:val="center"/>
          </w:tcPr>
          <w:p w14:paraId="211409D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lang w:eastAsia="zh-CN"/>
              </w:rPr>
            </w:pPr>
          </w:p>
        </w:tc>
      </w:tr>
      <w:tr w14:paraId="56F3EC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0D16FB1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22</w:t>
            </w:r>
          </w:p>
        </w:tc>
        <w:tc>
          <w:tcPr>
            <w:tcW w:w="692" w:type="pct"/>
            <w:vMerge w:val="restart"/>
            <w:tcBorders>
              <w:tl2br w:val="nil"/>
              <w:tr2bl w:val="nil"/>
            </w:tcBorders>
            <w:noWrap w:val="0"/>
            <w:vAlign w:val="center"/>
          </w:tcPr>
          <w:p w14:paraId="4A2E4C2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响水村双龙屋基开阔处距公路中心线20m（C2）</w:t>
            </w:r>
          </w:p>
        </w:tc>
        <w:tc>
          <w:tcPr>
            <w:tcW w:w="414" w:type="pct"/>
            <w:tcBorders>
              <w:tl2br w:val="nil"/>
              <w:tr2bl w:val="nil"/>
            </w:tcBorders>
            <w:noWrap w:val="0"/>
            <w:vAlign w:val="center"/>
          </w:tcPr>
          <w:p w14:paraId="0DE3F95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414" w:type="pct"/>
            <w:tcBorders>
              <w:tl2br w:val="nil"/>
              <w:tr2bl w:val="nil"/>
            </w:tcBorders>
            <w:noWrap w:val="0"/>
            <w:vAlign w:val="center"/>
          </w:tcPr>
          <w:p w14:paraId="17AEA87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420" w:type="pct"/>
            <w:tcBorders>
              <w:tl2br w:val="nil"/>
              <w:tr2bl w:val="nil"/>
            </w:tcBorders>
            <w:noWrap w:val="0"/>
            <w:vAlign w:val="center"/>
          </w:tcPr>
          <w:p w14:paraId="4B85B9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2412D7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372</w:t>
            </w:r>
          </w:p>
        </w:tc>
        <w:tc>
          <w:tcPr>
            <w:tcW w:w="427" w:type="pct"/>
            <w:tcBorders>
              <w:tl2br w:val="nil"/>
              <w:tr2bl w:val="nil"/>
            </w:tcBorders>
            <w:noWrap w:val="0"/>
            <w:vAlign w:val="center"/>
          </w:tcPr>
          <w:p w14:paraId="2C24AEB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88" w:type="pct"/>
            <w:tcBorders>
              <w:tl2br w:val="nil"/>
              <w:tr2bl w:val="nil"/>
            </w:tcBorders>
            <w:noWrap w:val="0"/>
            <w:vAlign w:val="center"/>
          </w:tcPr>
          <w:p w14:paraId="15ED830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68" w:type="pct"/>
            <w:tcBorders>
              <w:tl2br w:val="nil"/>
              <w:tr2bl w:val="nil"/>
            </w:tcBorders>
            <w:noWrap w:val="0"/>
            <w:vAlign w:val="center"/>
          </w:tcPr>
          <w:p w14:paraId="2AA2C57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4452F47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restart"/>
            <w:tcBorders>
              <w:tl2br w:val="nil"/>
              <w:tr2bl w:val="nil"/>
            </w:tcBorders>
            <w:noWrap w:val="0"/>
            <w:vAlign w:val="center"/>
          </w:tcPr>
          <w:p w14:paraId="52833F7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交通</w:t>
            </w:r>
          </w:p>
          <w:p w14:paraId="7AFDCF6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噪声</w:t>
            </w:r>
          </w:p>
        </w:tc>
      </w:tr>
      <w:tr w14:paraId="6D085C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364CDE2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588893B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0F1CF49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14" w:type="pct"/>
            <w:tcBorders>
              <w:tl2br w:val="nil"/>
              <w:tr2bl w:val="nil"/>
            </w:tcBorders>
            <w:noWrap w:val="0"/>
            <w:vAlign w:val="center"/>
          </w:tcPr>
          <w:p w14:paraId="7A36998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20" w:type="pct"/>
            <w:tcBorders>
              <w:tl2br w:val="nil"/>
              <w:tr2bl w:val="nil"/>
            </w:tcBorders>
            <w:noWrap w:val="0"/>
            <w:vAlign w:val="center"/>
          </w:tcPr>
          <w:p w14:paraId="1AC8C7D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073D359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366</w:t>
            </w:r>
          </w:p>
        </w:tc>
        <w:tc>
          <w:tcPr>
            <w:tcW w:w="427" w:type="pct"/>
            <w:tcBorders>
              <w:tl2br w:val="nil"/>
              <w:tr2bl w:val="nil"/>
            </w:tcBorders>
            <w:noWrap w:val="0"/>
            <w:vAlign w:val="center"/>
          </w:tcPr>
          <w:p w14:paraId="6F9EEDE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388" w:type="pct"/>
            <w:tcBorders>
              <w:tl2br w:val="nil"/>
              <w:tr2bl w:val="nil"/>
            </w:tcBorders>
            <w:noWrap w:val="0"/>
            <w:vAlign w:val="center"/>
          </w:tcPr>
          <w:p w14:paraId="0308BAC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368" w:type="pct"/>
            <w:tcBorders>
              <w:tl2br w:val="nil"/>
              <w:tr2bl w:val="nil"/>
            </w:tcBorders>
            <w:noWrap w:val="0"/>
            <w:vAlign w:val="center"/>
          </w:tcPr>
          <w:p w14:paraId="66035E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70F64BD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290" w:type="pct"/>
            <w:vMerge w:val="continue"/>
            <w:tcBorders>
              <w:tl2br w:val="nil"/>
              <w:tr2bl w:val="nil"/>
            </w:tcBorders>
            <w:noWrap w:val="0"/>
            <w:vAlign w:val="center"/>
          </w:tcPr>
          <w:p w14:paraId="2F65706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2152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2A79F01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438FA7DC">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28C2A4D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14" w:type="pct"/>
            <w:tcBorders>
              <w:tl2br w:val="nil"/>
              <w:tr2bl w:val="nil"/>
            </w:tcBorders>
            <w:noWrap w:val="0"/>
            <w:vAlign w:val="center"/>
          </w:tcPr>
          <w:p w14:paraId="4B6CB55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20" w:type="pct"/>
            <w:tcBorders>
              <w:tl2br w:val="nil"/>
              <w:tr2bl w:val="nil"/>
            </w:tcBorders>
            <w:noWrap w:val="0"/>
            <w:vAlign w:val="center"/>
          </w:tcPr>
          <w:p w14:paraId="7933C77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35A403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4B118F7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88" w:type="pct"/>
            <w:tcBorders>
              <w:tl2br w:val="nil"/>
              <w:tr2bl w:val="nil"/>
            </w:tcBorders>
            <w:noWrap w:val="0"/>
            <w:vAlign w:val="center"/>
          </w:tcPr>
          <w:p w14:paraId="3EBCDFE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68" w:type="pct"/>
            <w:tcBorders>
              <w:tl2br w:val="nil"/>
              <w:tr2bl w:val="nil"/>
            </w:tcBorders>
            <w:noWrap w:val="0"/>
            <w:vAlign w:val="center"/>
          </w:tcPr>
          <w:p w14:paraId="1449442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16C3B3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290" w:type="pct"/>
            <w:vMerge w:val="continue"/>
            <w:tcBorders>
              <w:tl2br w:val="nil"/>
              <w:tr2bl w:val="nil"/>
            </w:tcBorders>
            <w:noWrap w:val="0"/>
            <w:vAlign w:val="center"/>
          </w:tcPr>
          <w:p w14:paraId="103BAAF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B631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6AC0E4F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57CABEE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BA08AF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414" w:type="pct"/>
            <w:tcBorders>
              <w:tl2br w:val="nil"/>
              <w:tr2bl w:val="nil"/>
            </w:tcBorders>
            <w:noWrap w:val="0"/>
            <w:vAlign w:val="center"/>
          </w:tcPr>
          <w:p w14:paraId="7AD5BB1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420" w:type="pct"/>
            <w:tcBorders>
              <w:tl2br w:val="nil"/>
              <w:tr2bl w:val="nil"/>
            </w:tcBorders>
            <w:noWrap w:val="0"/>
            <w:vAlign w:val="center"/>
          </w:tcPr>
          <w:p w14:paraId="01EDFCB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1A2126B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390</w:t>
            </w:r>
          </w:p>
        </w:tc>
        <w:tc>
          <w:tcPr>
            <w:tcW w:w="427" w:type="pct"/>
            <w:tcBorders>
              <w:tl2br w:val="nil"/>
              <w:tr2bl w:val="nil"/>
            </w:tcBorders>
            <w:noWrap w:val="0"/>
            <w:vAlign w:val="center"/>
          </w:tcPr>
          <w:p w14:paraId="0107596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388" w:type="pct"/>
            <w:tcBorders>
              <w:tl2br w:val="nil"/>
              <w:tr2bl w:val="nil"/>
            </w:tcBorders>
            <w:noWrap w:val="0"/>
            <w:vAlign w:val="center"/>
          </w:tcPr>
          <w:p w14:paraId="498ED3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368" w:type="pct"/>
            <w:tcBorders>
              <w:tl2br w:val="nil"/>
              <w:tr2bl w:val="nil"/>
            </w:tcBorders>
            <w:noWrap w:val="0"/>
            <w:vAlign w:val="center"/>
          </w:tcPr>
          <w:p w14:paraId="7AB065D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91" w:type="pct"/>
            <w:tcBorders>
              <w:tl2br w:val="nil"/>
              <w:tr2bl w:val="nil"/>
            </w:tcBorders>
            <w:noWrap w:val="0"/>
            <w:vAlign w:val="center"/>
          </w:tcPr>
          <w:p w14:paraId="47ED16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39A60C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1EE85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23CE3E0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22</w:t>
            </w:r>
          </w:p>
        </w:tc>
        <w:tc>
          <w:tcPr>
            <w:tcW w:w="692" w:type="pct"/>
            <w:vMerge w:val="restart"/>
            <w:tcBorders>
              <w:tl2br w:val="nil"/>
              <w:tr2bl w:val="nil"/>
            </w:tcBorders>
            <w:noWrap w:val="0"/>
            <w:vAlign w:val="center"/>
          </w:tcPr>
          <w:p w14:paraId="52822E7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响水村双龙屋基开阔处距公路中心线40m（C3）</w:t>
            </w:r>
          </w:p>
        </w:tc>
        <w:tc>
          <w:tcPr>
            <w:tcW w:w="414" w:type="pct"/>
            <w:tcBorders>
              <w:tl2br w:val="nil"/>
              <w:tr2bl w:val="nil"/>
            </w:tcBorders>
            <w:noWrap w:val="0"/>
            <w:vAlign w:val="center"/>
          </w:tcPr>
          <w:p w14:paraId="36872F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34C2222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28232D5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0C8D89C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372</w:t>
            </w:r>
          </w:p>
        </w:tc>
        <w:tc>
          <w:tcPr>
            <w:tcW w:w="427" w:type="pct"/>
            <w:tcBorders>
              <w:tl2br w:val="nil"/>
              <w:tr2bl w:val="nil"/>
            </w:tcBorders>
            <w:noWrap w:val="0"/>
            <w:vAlign w:val="center"/>
          </w:tcPr>
          <w:p w14:paraId="2CE33C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388" w:type="pct"/>
            <w:tcBorders>
              <w:tl2br w:val="nil"/>
              <w:tr2bl w:val="nil"/>
            </w:tcBorders>
            <w:noWrap w:val="0"/>
            <w:vAlign w:val="center"/>
          </w:tcPr>
          <w:p w14:paraId="0968592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368" w:type="pct"/>
            <w:tcBorders>
              <w:tl2br w:val="nil"/>
              <w:tr2bl w:val="nil"/>
            </w:tcBorders>
            <w:noWrap w:val="0"/>
            <w:vAlign w:val="center"/>
          </w:tcPr>
          <w:p w14:paraId="4C1A05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3897132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1C7569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A21DE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4970E4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48965D4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576EB0F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264143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39CC75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648BACB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366</w:t>
            </w:r>
          </w:p>
        </w:tc>
        <w:tc>
          <w:tcPr>
            <w:tcW w:w="427" w:type="pct"/>
            <w:tcBorders>
              <w:tl2br w:val="nil"/>
              <w:tr2bl w:val="nil"/>
            </w:tcBorders>
            <w:noWrap w:val="0"/>
            <w:vAlign w:val="center"/>
          </w:tcPr>
          <w:p w14:paraId="5C2FF5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88" w:type="pct"/>
            <w:tcBorders>
              <w:tl2br w:val="nil"/>
              <w:tr2bl w:val="nil"/>
            </w:tcBorders>
            <w:noWrap w:val="0"/>
            <w:vAlign w:val="center"/>
          </w:tcPr>
          <w:p w14:paraId="3F857D4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68" w:type="pct"/>
            <w:tcBorders>
              <w:tl2br w:val="nil"/>
              <w:tr2bl w:val="nil"/>
            </w:tcBorders>
            <w:noWrap w:val="0"/>
            <w:vAlign w:val="center"/>
          </w:tcPr>
          <w:p w14:paraId="4109DA4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668F4F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290" w:type="pct"/>
            <w:vMerge w:val="continue"/>
            <w:tcBorders>
              <w:tl2br w:val="nil"/>
              <w:tr2bl w:val="nil"/>
            </w:tcBorders>
            <w:noWrap w:val="0"/>
            <w:vAlign w:val="center"/>
          </w:tcPr>
          <w:p w14:paraId="550E1D2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D0AF1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669B50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453FE1D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54034D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14" w:type="pct"/>
            <w:tcBorders>
              <w:tl2br w:val="nil"/>
              <w:tr2bl w:val="nil"/>
            </w:tcBorders>
            <w:noWrap w:val="0"/>
            <w:vAlign w:val="center"/>
          </w:tcPr>
          <w:p w14:paraId="5F059FC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20" w:type="pct"/>
            <w:tcBorders>
              <w:tl2br w:val="nil"/>
              <w:tr2bl w:val="nil"/>
            </w:tcBorders>
            <w:noWrap w:val="0"/>
            <w:vAlign w:val="center"/>
          </w:tcPr>
          <w:p w14:paraId="3A5D7EE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3F15F43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1E2B85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6FA4B37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2C6155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25991EB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4A7D5D1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ED733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1C6092A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67DBF0DC">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5FF39E3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14" w:type="pct"/>
            <w:tcBorders>
              <w:tl2br w:val="nil"/>
              <w:tr2bl w:val="nil"/>
            </w:tcBorders>
            <w:noWrap w:val="0"/>
            <w:vAlign w:val="center"/>
          </w:tcPr>
          <w:p w14:paraId="624B9C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20" w:type="pct"/>
            <w:tcBorders>
              <w:tl2br w:val="nil"/>
              <w:tr2bl w:val="nil"/>
            </w:tcBorders>
            <w:noWrap w:val="0"/>
            <w:vAlign w:val="center"/>
          </w:tcPr>
          <w:p w14:paraId="4C078A6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2121B20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390</w:t>
            </w:r>
          </w:p>
        </w:tc>
        <w:tc>
          <w:tcPr>
            <w:tcW w:w="427" w:type="pct"/>
            <w:tcBorders>
              <w:tl2br w:val="nil"/>
              <w:tr2bl w:val="nil"/>
            </w:tcBorders>
            <w:noWrap w:val="0"/>
            <w:vAlign w:val="center"/>
          </w:tcPr>
          <w:p w14:paraId="54F8A65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388" w:type="pct"/>
            <w:tcBorders>
              <w:tl2br w:val="nil"/>
              <w:tr2bl w:val="nil"/>
            </w:tcBorders>
            <w:noWrap w:val="0"/>
            <w:vAlign w:val="center"/>
          </w:tcPr>
          <w:p w14:paraId="3BF0612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368" w:type="pct"/>
            <w:tcBorders>
              <w:tl2br w:val="nil"/>
              <w:tr2bl w:val="nil"/>
            </w:tcBorders>
            <w:noWrap w:val="0"/>
            <w:vAlign w:val="center"/>
          </w:tcPr>
          <w:p w14:paraId="00857A5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105AABA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290" w:type="pct"/>
            <w:vMerge w:val="continue"/>
            <w:tcBorders>
              <w:tl2br w:val="nil"/>
              <w:tr2bl w:val="nil"/>
            </w:tcBorders>
            <w:noWrap w:val="0"/>
            <w:vAlign w:val="center"/>
          </w:tcPr>
          <w:p w14:paraId="52815A7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CBC2C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57A6BBE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764C4B8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4D35C13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36823DD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2E0E1E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55E66B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0E8505A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388" w:type="pct"/>
            <w:tcBorders>
              <w:tl2br w:val="nil"/>
              <w:tr2bl w:val="nil"/>
            </w:tcBorders>
            <w:noWrap w:val="0"/>
            <w:vAlign w:val="center"/>
          </w:tcPr>
          <w:p w14:paraId="1724602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368" w:type="pct"/>
            <w:tcBorders>
              <w:tl2br w:val="nil"/>
              <w:tr2bl w:val="nil"/>
            </w:tcBorders>
            <w:noWrap w:val="0"/>
            <w:vAlign w:val="center"/>
          </w:tcPr>
          <w:p w14:paraId="1D127BF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91" w:type="pct"/>
            <w:tcBorders>
              <w:tl2br w:val="nil"/>
              <w:tr2bl w:val="nil"/>
            </w:tcBorders>
            <w:noWrap w:val="0"/>
            <w:vAlign w:val="center"/>
          </w:tcPr>
          <w:p w14:paraId="7E544B7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2CD694F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38203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12F5156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22</w:t>
            </w:r>
          </w:p>
        </w:tc>
        <w:tc>
          <w:tcPr>
            <w:tcW w:w="692" w:type="pct"/>
            <w:vMerge w:val="restart"/>
            <w:tcBorders>
              <w:tl2br w:val="nil"/>
              <w:tr2bl w:val="nil"/>
            </w:tcBorders>
            <w:noWrap w:val="0"/>
            <w:vAlign w:val="center"/>
          </w:tcPr>
          <w:p w14:paraId="733E7EB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响水村双龙屋基开阔处距公路中心线60m（C4）</w:t>
            </w:r>
          </w:p>
        </w:tc>
        <w:tc>
          <w:tcPr>
            <w:tcW w:w="414" w:type="pct"/>
            <w:tcBorders>
              <w:tl2br w:val="nil"/>
              <w:tr2bl w:val="nil"/>
            </w:tcBorders>
            <w:noWrap w:val="0"/>
            <w:vAlign w:val="center"/>
          </w:tcPr>
          <w:p w14:paraId="42258DF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14" w:type="pct"/>
            <w:tcBorders>
              <w:tl2br w:val="nil"/>
              <w:tr2bl w:val="nil"/>
            </w:tcBorders>
            <w:noWrap w:val="0"/>
            <w:vAlign w:val="center"/>
          </w:tcPr>
          <w:p w14:paraId="0431E3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20" w:type="pct"/>
            <w:tcBorders>
              <w:tl2br w:val="nil"/>
              <w:tr2bl w:val="nil"/>
            </w:tcBorders>
            <w:noWrap w:val="0"/>
            <w:vAlign w:val="center"/>
          </w:tcPr>
          <w:p w14:paraId="5799196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56B54E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372</w:t>
            </w:r>
          </w:p>
        </w:tc>
        <w:tc>
          <w:tcPr>
            <w:tcW w:w="427" w:type="pct"/>
            <w:tcBorders>
              <w:tl2br w:val="nil"/>
              <w:tr2bl w:val="nil"/>
            </w:tcBorders>
            <w:noWrap w:val="0"/>
            <w:vAlign w:val="center"/>
          </w:tcPr>
          <w:p w14:paraId="2850E2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388" w:type="pct"/>
            <w:tcBorders>
              <w:tl2br w:val="nil"/>
              <w:tr2bl w:val="nil"/>
            </w:tcBorders>
            <w:noWrap w:val="0"/>
            <w:vAlign w:val="center"/>
          </w:tcPr>
          <w:p w14:paraId="1435AE9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368" w:type="pct"/>
            <w:tcBorders>
              <w:tl2br w:val="nil"/>
              <w:tr2bl w:val="nil"/>
            </w:tcBorders>
            <w:noWrap w:val="0"/>
            <w:vAlign w:val="center"/>
          </w:tcPr>
          <w:p w14:paraId="5FA135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747E50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65AB295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14299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0E0030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7DE5240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3C1A6C2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14" w:type="pct"/>
            <w:tcBorders>
              <w:tl2br w:val="nil"/>
              <w:tr2bl w:val="nil"/>
            </w:tcBorders>
            <w:noWrap w:val="0"/>
            <w:vAlign w:val="center"/>
          </w:tcPr>
          <w:p w14:paraId="54B4BC6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20" w:type="pct"/>
            <w:tcBorders>
              <w:tl2br w:val="nil"/>
              <w:tr2bl w:val="nil"/>
            </w:tcBorders>
            <w:noWrap w:val="0"/>
            <w:vAlign w:val="center"/>
          </w:tcPr>
          <w:p w14:paraId="5F93BBE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4BA261C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366</w:t>
            </w:r>
          </w:p>
        </w:tc>
        <w:tc>
          <w:tcPr>
            <w:tcW w:w="427" w:type="pct"/>
            <w:tcBorders>
              <w:tl2br w:val="nil"/>
              <w:tr2bl w:val="nil"/>
            </w:tcBorders>
            <w:noWrap w:val="0"/>
            <w:vAlign w:val="center"/>
          </w:tcPr>
          <w:p w14:paraId="26E0865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88" w:type="pct"/>
            <w:tcBorders>
              <w:tl2br w:val="nil"/>
              <w:tr2bl w:val="nil"/>
            </w:tcBorders>
            <w:noWrap w:val="0"/>
            <w:vAlign w:val="center"/>
          </w:tcPr>
          <w:p w14:paraId="027919C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68" w:type="pct"/>
            <w:tcBorders>
              <w:tl2br w:val="nil"/>
              <w:tr2bl w:val="nil"/>
            </w:tcBorders>
            <w:noWrap w:val="0"/>
            <w:vAlign w:val="center"/>
          </w:tcPr>
          <w:p w14:paraId="317121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7661F83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290" w:type="pct"/>
            <w:vMerge w:val="continue"/>
            <w:tcBorders>
              <w:tl2br w:val="nil"/>
              <w:tr2bl w:val="nil"/>
            </w:tcBorders>
            <w:noWrap w:val="0"/>
            <w:vAlign w:val="center"/>
          </w:tcPr>
          <w:p w14:paraId="57E612C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825D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059C164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4DB1460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3A8BBC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14" w:type="pct"/>
            <w:tcBorders>
              <w:tl2br w:val="nil"/>
              <w:tr2bl w:val="nil"/>
            </w:tcBorders>
            <w:noWrap w:val="0"/>
            <w:vAlign w:val="center"/>
          </w:tcPr>
          <w:p w14:paraId="6B7C383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20" w:type="pct"/>
            <w:tcBorders>
              <w:tl2br w:val="nil"/>
              <w:tr2bl w:val="nil"/>
            </w:tcBorders>
            <w:noWrap w:val="0"/>
            <w:vAlign w:val="center"/>
          </w:tcPr>
          <w:p w14:paraId="645DAA3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1E7CA4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73DCB3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88" w:type="pct"/>
            <w:tcBorders>
              <w:tl2br w:val="nil"/>
              <w:tr2bl w:val="nil"/>
            </w:tcBorders>
            <w:noWrap w:val="0"/>
            <w:vAlign w:val="center"/>
          </w:tcPr>
          <w:p w14:paraId="7ACF6F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68" w:type="pct"/>
            <w:tcBorders>
              <w:tl2br w:val="nil"/>
              <w:tr2bl w:val="nil"/>
            </w:tcBorders>
            <w:noWrap w:val="0"/>
            <w:vAlign w:val="center"/>
          </w:tcPr>
          <w:p w14:paraId="693D905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14F20A5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290" w:type="pct"/>
            <w:vMerge w:val="continue"/>
            <w:tcBorders>
              <w:tl2br w:val="nil"/>
              <w:tr2bl w:val="nil"/>
            </w:tcBorders>
            <w:noWrap w:val="0"/>
            <w:vAlign w:val="center"/>
          </w:tcPr>
          <w:p w14:paraId="51BB791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4C15D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0ACAD6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006A0DE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288FCB6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14" w:type="pct"/>
            <w:tcBorders>
              <w:tl2br w:val="nil"/>
              <w:tr2bl w:val="nil"/>
            </w:tcBorders>
            <w:noWrap w:val="0"/>
            <w:vAlign w:val="center"/>
          </w:tcPr>
          <w:p w14:paraId="76AFAD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20" w:type="pct"/>
            <w:tcBorders>
              <w:tl2br w:val="nil"/>
              <w:tr2bl w:val="nil"/>
            </w:tcBorders>
            <w:noWrap w:val="0"/>
            <w:vAlign w:val="center"/>
          </w:tcPr>
          <w:p w14:paraId="2C6C7BE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792CD3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390</w:t>
            </w:r>
          </w:p>
        </w:tc>
        <w:tc>
          <w:tcPr>
            <w:tcW w:w="427" w:type="pct"/>
            <w:tcBorders>
              <w:tl2br w:val="nil"/>
              <w:tr2bl w:val="nil"/>
            </w:tcBorders>
            <w:noWrap w:val="0"/>
            <w:vAlign w:val="center"/>
          </w:tcPr>
          <w:p w14:paraId="4E15CCD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714DA5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0745966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5583CA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1244E08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A167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17F73D9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24D1CA1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488D090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3CD76FB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327100D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09900B5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6328A6C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5DE7C13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4E99A24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91" w:type="pct"/>
            <w:tcBorders>
              <w:tl2br w:val="nil"/>
              <w:tr2bl w:val="nil"/>
            </w:tcBorders>
            <w:noWrap w:val="0"/>
            <w:vAlign w:val="center"/>
          </w:tcPr>
          <w:p w14:paraId="6671D9C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6F5E36A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A177B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3F87B6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22</w:t>
            </w:r>
          </w:p>
        </w:tc>
        <w:tc>
          <w:tcPr>
            <w:tcW w:w="692" w:type="pct"/>
            <w:vMerge w:val="restart"/>
            <w:tcBorders>
              <w:tl2br w:val="nil"/>
              <w:tr2bl w:val="nil"/>
            </w:tcBorders>
            <w:noWrap w:val="0"/>
            <w:vAlign w:val="center"/>
          </w:tcPr>
          <w:p w14:paraId="267A101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响水村双龙屋基开阔处距公路中心线80m（C5）</w:t>
            </w:r>
          </w:p>
        </w:tc>
        <w:tc>
          <w:tcPr>
            <w:tcW w:w="414" w:type="pct"/>
            <w:tcBorders>
              <w:tl2br w:val="nil"/>
              <w:tr2bl w:val="nil"/>
            </w:tcBorders>
            <w:noWrap w:val="0"/>
            <w:vAlign w:val="center"/>
          </w:tcPr>
          <w:p w14:paraId="5BAFF06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14" w:type="pct"/>
            <w:tcBorders>
              <w:tl2br w:val="nil"/>
              <w:tr2bl w:val="nil"/>
            </w:tcBorders>
            <w:noWrap w:val="0"/>
            <w:vAlign w:val="center"/>
          </w:tcPr>
          <w:p w14:paraId="7DFFE11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20" w:type="pct"/>
            <w:tcBorders>
              <w:tl2br w:val="nil"/>
              <w:tr2bl w:val="nil"/>
            </w:tcBorders>
            <w:noWrap w:val="0"/>
            <w:vAlign w:val="center"/>
          </w:tcPr>
          <w:p w14:paraId="06C6C01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356E80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372</w:t>
            </w:r>
          </w:p>
        </w:tc>
        <w:tc>
          <w:tcPr>
            <w:tcW w:w="427" w:type="pct"/>
            <w:tcBorders>
              <w:tl2br w:val="nil"/>
              <w:tr2bl w:val="nil"/>
            </w:tcBorders>
            <w:noWrap w:val="0"/>
            <w:vAlign w:val="center"/>
          </w:tcPr>
          <w:p w14:paraId="2E8BBFC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388" w:type="pct"/>
            <w:tcBorders>
              <w:tl2br w:val="nil"/>
              <w:tr2bl w:val="nil"/>
            </w:tcBorders>
            <w:noWrap w:val="0"/>
            <w:vAlign w:val="center"/>
          </w:tcPr>
          <w:p w14:paraId="131C509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368" w:type="pct"/>
            <w:tcBorders>
              <w:tl2br w:val="nil"/>
              <w:tr2bl w:val="nil"/>
            </w:tcBorders>
            <w:noWrap w:val="0"/>
            <w:vAlign w:val="center"/>
          </w:tcPr>
          <w:p w14:paraId="029E203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2CFD94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377A3FF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FADF4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22BF0C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3D8BA03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367825E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14" w:type="pct"/>
            <w:tcBorders>
              <w:tl2br w:val="nil"/>
              <w:tr2bl w:val="nil"/>
            </w:tcBorders>
            <w:noWrap w:val="0"/>
            <w:vAlign w:val="center"/>
          </w:tcPr>
          <w:p w14:paraId="570C0AF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20" w:type="pct"/>
            <w:tcBorders>
              <w:tl2br w:val="nil"/>
              <w:tr2bl w:val="nil"/>
            </w:tcBorders>
            <w:noWrap w:val="0"/>
            <w:vAlign w:val="center"/>
          </w:tcPr>
          <w:p w14:paraId="709AA13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5D856A1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366</w:t>
            </w:r>
          </w:p>
        </w:tc>
        <w:tc>
          <w:tcPr>
            <w:tcW w:w="427" w:type="pct"/>
            <w:tcBorders>
              <w:tl2br w:val="nil"/>
              <w:tr2bl w:val="nil"/>
            </w:tcBorders>
            <w:noWrap w:val="0"/>
            <w:vAlign w:val="center"/>
          </w:tcPr>
          <w:p w14:paraId="6E0788F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88" w:type="pct"/>
            <w:tcBorders>
              <w:tl2br w:val="nil"/>
              <w:tr2bl w:val="nil"/>
            </w:tcBorders>
            <w:noWrap w:val="0"/>
            <w:vAlign w:val="center"/>
          </w:tcPr>
          <w:p w14:paraId="062EFF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68" w:type="pct"/>
            <w:tcBorders>
              <w:tl2br w:val="nil"/>
              <w:tr2bl w:val="nil"/>
            </w:tcBorders>
            <w:noWrap w:val="0"/>
            <w:vAlign w:val="center"/>
          </w:tcPr>
          <w:p w14:paraId="77C300B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2CFC537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290" w:type="pct"/>
            <w:vMerge w:val="continue"/>
            <w:tcBorders>
              <w:tl2br w:val="nil"/>
              <w:tr2bl w:val="nil"/>
            </w:tcBorders>
            <w:noWrap w:val="0"/>
            <w:vAlign w:val="center"/>
          </w:tcPr>
          <w:p w14:paraId="53B675E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42F0D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11969FB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1A046EE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0C35FCA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14" w:type="pct"/>
            <w:tcBorders>
              <w:tl2br w:val="nil"/>
              <w:tr2bl w:val="nil"/>
            </w:tcBorders>
            <w:noWrap w:val="0"/>
            <w:vAlign w:val="center"/>
          </w:tcPr>
          <w:p w14:paraId="7C5223C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20" w:type="pct"/>
            <w:tcBorders>
              <w:tl2br w:val="nil"/>
              <w:tr2bl w:val="nil"/>
            </w:tcBorders>
            <w:noWrap w:val="0"/>
            <w:vAlign w:val="center"/>
          </w:tcPr>
          <w:p w14:paraId="3C96D31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5A1CC77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09959C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88" w:type="pct"/>
            <w:tcBorders>
              <w:tl2br w:val="nil"/>
              <w:tr2bl w:val="nil"/>
            </w:tcBorders>
            <w:noWrap w:val="0"/>
            <w:vAlign w:val="center"/>
          </w:tcPr>
          <w:p w14:paraId="2E26A8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68" w:type="pct"/>
            <w:tcBorders>
              <w:tl2br w:val="nil"/>
              <w:tr2bl w:val="nil"/>
            </w:tcBorders>
            <w:noWrap w:val="0"/>
            <w:vAlign w:val="center"/>
          </w:tcPr>
          <w:p w14:paraId="015558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3D1A06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290" w:type="pct"/>
            <w:vMerge w:val="continue"/>
            <w:tcBorders>
              <w:tl2br w:val="nil"/>
              <w:tr2bl w:val="nil"/>
            </w:tcBorders>
            <w:noWrap w:val="0"/>
            <w:vAlign w:val="center"/>
          </w:tcPr>
          <w:p w14:paraId="657A83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45611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3C5E94A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1270415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0E73541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14" w:type="pct"/>
            <w:tcBorders>
              <w:tl2br w:val="nil"/>
              <w:tr2bl w:val="nil"/>
            </w:tcBorders>
            <w:noWrap w:val="0"/>
            <w:vAlign w:val="center"/>
          </w:tcPr>
          <w:p w14:paraId="6FCC490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20" w:type="pct"/>
            <w:tcBorders>
              <w:tl2br w:val="nil"/>
              <w:tr2bl w:val="nil"/>
            </w:tcBorders>
            <w:noWrap w:val="0"/>
            <w:vAlign w:val="center"/>
          </w:tcPr>
          <w:p w14:paraId="1537ED3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252AB66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390</w:t>
            </w:r>
          </w:p>
        </w:tc>
        <w:tc>
          <w:tcPr>
            <w:tcW w:w="427" w:type="pct"/>
            <w:tcBorders>
              <w:tl2br w:val="nil"/>
              <w:tr2bl w:val="nil"/>
            </w:tcBorders>
            <w:noWrap w:val="0"/>
            <w:vAlign w:val="center"/>
          </w:tcPr>
          <w:p w14:paraId="290650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7F54656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57A671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51392F3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2FF8037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D1112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748397A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344084A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45B8C40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5FD986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1479B3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7E1B4C4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78F756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88" w:type="pct"/>
            <w:tcBorders>
              <w:tl2br w:val="nil"/>
              <w:tr2bl w:val="nil"/>
            </w:tcBorders>
            <w:noWrap w:val="0"/>
            <w:vAlign w:val="center"/>
          </w:tcPr>
          <w:p w14:paraId="329165A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68" w:type="pct"/>
            <w:tcBorders>
              <w:tl2br w:val="nil"/>
              <w:tr2bl w:val="nil"/>
            </w:tcBorders>
            <w:noWrap w:val="0"/>
            <w:vAlign w:val="center"/>
          </w:tcPr>
          <w:p w14:paraId="16F055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91" w:type="pct"/>
            <w:tcBorders>
              <w:tl2br w:val="nil"/>
              <w:tr2bl w:val="nil"/>
            </w:tcBorders>
            <w:noWrap w:val="0"/>
            <w:vAlign w:val="center"/>
          </w:tcPr>
          <w:p w14:paraId="7913E20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515EA78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7184F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35205DF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2026.</w:t>
            </w: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22</w:t>
            </w:r>
          </w:p>
        </w:tc>
        <w:tc>
          <w:tcPr>
            <w:tcW w:w="692" w:type="pct"/>
            <w:vMerge w:val="restart"/>
            <w:tcBorders>
              <w:tl2br w:val="nil"/>
              <w:tr2bl w:val="nil"/>
            </w:tcBorders>
            <w:noWrap w:val="0"/>
            <w:vAlign w:val="center"/>
          </w:tcPr>
          <w:p w14:paraId="55F86D5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响水村双龙屋基开阔处距公路中心线120m（C6）</w:t>
            </w:r>
          </w:p>
        </w:tc>
        <w:tc>
          <w:tcPr>
            <w:tcW w:w="414" w:type="pct"/>
            <w:tcBorders>
              <w:tl2br w:val="nil"/>
              <w:tr2bl w:val="nil"/>
            </w:tcBorders>
            <w:noWrap w:val="0"/>
            <w:vAlign w:val="center"/>
          </w:tcPr>
          <w:p w14:paraId="327715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14" w:type="pct"/>
            <w:tcBorders>
              <w:tl2br w:val="nil"/>
              <w:tr2bl w:val="nil"/>
            </w:tcBorders>
            <w:noWrap w:val="0"/>
            <w:vAlign w:val="center"/>
          </w:tcPr>
          <w:p w14:paraId="6635835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20" w:type="pct"/>
            <w:tcBorders>
              <w:tl2br w:val="nil"/>
              <w:tr2bl w:val="nil"/>
            </w:tcBorders>
            <w:noWrap w:val="0"/>
            <w:vAlign w:val="center"/>
          </w:tcPr>
          <w:p w14:paraId="3464774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48BF843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372</w:t>
            </w:r>
          </w:p>
        </w:tc>
        <w:tc>
          <w:tcPr>
            <w:tcW w:w="427" w:type="pct"/>
            <w:tcBorders>
              <w:tl2br w:val="nil"/>
              <w:tr2bl w:val="nil"/>
            </w:tcBorders>
            <w:noWrap w:val="0"/>
            <w:vAlign w:val="center"/>
          </w:tcPr>
          <w:p w14:paraId="17A7AA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23FFE1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193FE96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160E57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5AC11E0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A767B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3192CC6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308DB13C">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2E8F7F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14" w:type="pct"/>
            <w:tcBorders>
              <w:tl2br w:val="nil"/>
              <w:tr2bl w:val="nil"/>
            </w:tcBorders>
            <w:noWrap w:val="0"/>
            <w:vAlign w:val="center"/>
          </w:tcPr>
          <w:p w14:paraId="4120CB0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20" w:type="pct"/>
            <w:tcBorders>
              <w:tl2br w:val="nil"/>
              <w:tr2bl w:val="nil"/>
            </w:tcBorders>
            <w:noWrap w:val="0"/>
            <w:vAlign w:val="center"/>
          </w:tcPr>
          <w:p w14:paraId="3F6C0FC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501" w:type="pct"/>
            <w:tcBorders>
              <w:tl2br w:val="nil"/>
              <w:tr2bl w:val="nil"/>
            </w:tcBorders>
            <w:noWrap w:val="0"/>
            <w:vAlign w:val="center"/>
          </w:tcPr>
          <w:p w14:paraId="6CF122E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366</w:t>
            </w:r>
          </w:p>
        </w:tc>
        <w:tc>
          <w:tcPr>
            <w:tcW w:w="427" w:type="pct"/>
            <w:tcBorders>
              <w:tl2br w:val="nil"/>
              <w:tr2bl w:val="nil"/>
            </w:tcBorders>
            <w:noWrap w:val="0"/>
            <w:vAlign w:val="center"/>
          </w:tcPr>
          <w:p w14:paraId="5E4FD2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88" w:type="pct"/>
            <w:tcBorders>
              <w:tl2br w:val="nil"/>
              <w:tr2bl w:val="nil"/>
            </w:tcBorders>
            <w:noWrap w:val="0"/>
            <w:vAlign w:val="center"/>
          </w:tcPr>
          <w:p w14:paraId="7BF9651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68" w:type="pct"/>
            <w:tcBorders>
              <w:tl2br w:val="nil"/>
              <w:tr2bl w:val="nil"/>
            </w:tcBorders>
            <w:noWrap w:val="0"/>
            <w:vAlign w:val="center"/>
          </w:tcPr>
          <w:p w14:paraId="0D584C1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3F9DBAD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290" w:type="pct"/>
            <w:vMerge w:val="continue"/>
            <w:tcBorders>
              <w:tl2br w:val="nil"/>
              <w:tr2bl w:val="nil"/>
            </w:tcBorders>
            <w:noWrap w:val="0"/>
            <w:vAlign w:val="center"/>
          </w:tcPr>
          <w:p w14:paraId="58E999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40513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26FE0E5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323D225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5784DB4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14" w:type="pct"/>
            <w:tcBorders>
              <w:tl2br w:val="nil"/>
              <w:tr2bl w:val="nil"/>
            </w:tcBorders>
            <w:noWrap w:val="0"/>
            <w:vAlign w:val="center"/>
          </w:tcPr>
          <w:p w14:paraId="5D8F6C9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20" w:type="pct"/>
            <w:tcBorders>
              <w:tl2br w:val="nil"/>
              <w:tr2bl w:val="nil"/>
            </w:tcBorders>
            <w:noWrap w:val="0"/>
            <w:vAlign w:val="center"/>
          </w:tcPr>
          <w:p w14:paraId="11F5E9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49B3627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7B5B90C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67CBB34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4C8B789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4191AD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4C938E7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0D3BD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3A8DD9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09C310F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3011503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414" w:type="pct"/>
            <w:tcBorders>
              <w:tl2br w:val="nil"/>
              <w:tr2bl w:val="nil"/>
            </w:tcBorders>
            <w:noWrap w:val="0"/>
            <w:vAlign w:val="center"/>
          </w:tcPr>
          <w:p w14:paraId="2B88D3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420" w:type="pct"/>
            <w:tcBorders>
              <w:tl2br w:val="nil"/>
              <w:tr2bl w:val="nil"/>
            </w:tcBorders>
            <w:noWrap w:val="0"/>
            <w:vAlign w:val="center"/>
          </w:tcPr>
          <w:p w14:paraId="103A5C2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501" w:type="pct"/>
            <w:tcBorders>
              <w:tl2br w:val="nil"/>
              <w:tr2bl w:val="nil"/>
            </w:tcBorders>
            <w:noWrap w:val="0"/>
            <w:vAlign w:val="center"/>
          </w:tcPr>
          <w:p w14:paraId="0CE9219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390</w:t>
            </w:r>
          </w:p>
        </w:tc>
        <w:tc>
          <w:tcPr>
            <w:tcW w:w="427" w:type="pct"/>
            <w:tcBorders>
              <w:tl2br w:val="nil"/>
              <w:tr2bl w:val="nil"/>
            </w:tcBorders>
            <w:noWrap w:val="0"/>
            <w:vAlign w:val="center"/>
          </w:tcPr>
          <w:p w14:paraId="174533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4109912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1EDF42F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1316627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290" w:type="pct"/>
            <w:vMerge w:val="continue"/>
            <w:tcBorders>
              <w:tl2br w:val="nil"/>
              <w:tr2bl w:val="nil"/>
            </w:tcBorders>
            <w:noWrap w:val="0"/>
            <w:vAlign w:val="center"/>
          </w:tcPr>
          <w:p w14:paraId="0396D5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3D975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73634CD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2687D00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51F06FF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0194B8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5B26F12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13A743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29F04C4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88" w:type="pct"/>
            <w:tcBorders>
              <w:tl2br w:val="nil"/>
              <w:tr2bl w:val="nil"/>
            </w:tcBorders>
            <w:noWrap w:val="0"/>
            <w:vAlign w:val="center"/>
          </w:tcPr>
          <w:p w14:paraId="40E1FE6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68" w:type="pct"/>
            <w:tcBorders>
              <w:tl2br w:val="nil"/>
              <w:tr2bl w:val="nil"/>
            </w:tcBorders>
            <w:noWrap w:val="0"/>
            <w:vAlign w:val="center"/>
          </w:tcPr>
          <w:p w14:paraId="6FC82AD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w:t>
            </w:r>
          </w:p>
        </w:tc>
        <w:tc>
          <w:tcPr>
            <w:tcW w:w="491" w:type="pct"/>
            <w:tcBorders>
              <w:tl2br w:val="nil"/>
              <w:tr2bl w:val="nil"/>
            </w:tcBorders>
            <w:noWrap w:val="0"/>
            <w:vAlign w:val="center"/>
          </w:tcPr>
          <w:p w14:paraId="36BFB79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5BA304B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D6FDA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6C770BB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2026.</w:t>
            </w: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22</w:t>
            </w:r>
          </w:p>
        </w:tc>
        <w:tc>
          <w:tcPr>
            <w:tcW w:w="692" w:type="pct"/>
            <w:vMerge w:val="restart"/>
            <w:tcBorders>
              <w:tl2br w:val="nil"/>
              <w:tr2bl w:val="nil"/>
            </w:tcBorders>
            <w:noWrap w:val="0"/>
            <w:vAlign w:val="center"/>
          </w:tcPr>
          <w:p w14:paraId="66F9EB6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大田村瓦房沟开阔处距公路中心线20m</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C7）</w:t>
            </w:r>
          </w:p>
        </w:tc>
        <w:tc>
          <w:tcPr>
            <w:tcW w:w="414" w:type="pct"/>
            <w:tcBorders>
              <w:tl2br w:val="nil"/>
              <w:tr2bl w:val="nil"/>
            </w:tcBorders>
            <w:noWrap w:val="0"/>
            <w:vAlign w:val="center"/>
          </w:tcPr>
          <w:p w14:paraId="57B1B66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61</w:t>
            </w:r>
          </w:p>
        </w:tc>
        <w:tc>
          <w:tcPr>
            <w:tcW w:w="414" w:type="pct"/>
            <w:tcBorders>
              <w:tl2br w:val="nil"/>
              <w:tr2bl w:val="nil"/>
            </w:tcBorders>
            <w:noWrap w:val="0"/>
            <w:vAlign w:val="center"/>
          </w:tcPr>
          <w:p w14:paraId="47BF112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61</w:t>
            </w:r>
          </w:p>
        </w:tc>
        <w:tc>
          <w:tcPr>
            <w:tcW w:w="420" w:type="pct"/>
            <w:tcBorders>
              <w:tl2br w:val="nil"/>
              <w:tr2bl w:val="nil"/>
            </w:tcBorders>
            <w:noWrap w:val="0"/>
            <w:vAlign w:val="center"/>
          </w:tcPr>
          <w:p w14:paraId="38A128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2078B8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2869F4C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388" w:type="pct"/>
            <w:tcBorders>
              <w:tl2br w:val="nil"/>
              <w:tr2bl w:val="nil"/>
            </w:tcBorders>
            <w:noWrap w:val="0"/>
            <w:vAlign w:val="center"/>
          </w:tcPr>
          <w:p w14:paraId="47B7D6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368" w:type="pct"/>
            <w:tcBorders>
              <w:tl2br w:val="nil"/>
              <w:tr2bl w:val="nil"/>
            </w:tcBorders>
            <w:noWrap w:val="0"/>
            <w:vAlign w:val="center"/>
          </w:tcPr>
          <w:p w14:paraId="2BF31B7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2835061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3729AC0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E4074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65434B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2B27F7E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3AB79D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61</w:t>
            </w:r>
          </w:p>
        </w:tc>
        <w:tc>
          <w:tcPr>
            <w:tcW w:w="414" w:type="pct"/>
            <w:tcBorders>
              <w:tl2br w:val="nil"/>
              <w:tr2bl w:val="nil"/>
            </w:tcBorders>
            <w:noWrap w:val="0"/>
            <w:vAlign w:val="center"/>
          </w:tcPr>
          <w:p w14:paraId="3EAD63D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61</w:t>
            </w:r>
          </w:p>
        </w:tc>
        <w:tc>
          <w:tcPr>
            <w:tcW w:w="420" w:type="pct"/>
            <w:tcBorders>
              <w:tl2br w:val="nil"/>
              <w:tr2bl w:val="nil"/>
            </w:tcBorders>
            <w:noWrap w:val="0"/>
            <w:vAlign w:val="center"/>
          </w:tcPr>
          <w:p w14:paraId="6E7E62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501" w:type="pct"/>
            <w:tcBorders>
              <w:tl2br w:val="nil"/>
              <w:tr2bl w:val="nil"/>
            </w:tcBorders>
            <w:noWrap w:val="0"/>
            <w:vAlign w:val="center"/>
          </w:tcPr>
          <w:p w14:paraId="4073259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378</w:t>
            </w:r>
          </w:p>
        </w:tc>
        <w:tc>
          <w:tcPr>
            <w:tcW w:w="427" w:type="pct"/>
            <w:tcBorders>
              <w:tl2br w:val="nil"/>
              <w:tr2bl w:val="nil"/>
            </w:tcBorders>
            <w:noWrap w:val="0"/>
            <w:vAlign w:val="center"/>
          </w:tcPr>
          <w:p w14:paraId="1864CC4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88" w:type="pct"/>
            <w:tcBorders>
              <w:tl2br w:val="nil"/>
              <w:tr2bl w:val="nil"/>
            </w:tcBorders>
            <w:noWrap w:val="0"/>
            <w:vAlign w:val="center"/>
          </w:tcPr>
          <w:p w14:paraId="00FFE7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68" w:type="pct"/>
            <w:tcBorders>
              <w:tl2br w:val="nil"/>
              <w:tr2bl w:val="nil"/>
            </w:tcBorders>
            <w:noWrap w:val="0"/>
            <w:vAlign w:val="center"/>
          </w:tcPr>
          <w:p w14:paraId="42B0DE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1E8DEE5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50A3912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C9805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05647D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1AE27F9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1AF459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62</w:t>
            </w:r>
          </w:p>
        </w:tc>
        <w:tc>
          <w:tcPr>
            <w:tcW w:w="414" w:type="pct"/>
            <w:tcBorders>
              <w:tl2br w:val="nil"/>
              <w:tr2bl w:val="nil"/>
            </w:tcBorders>
            <w:noWrap w:val="0"/>
            <w:vAlign w:val="center"/>
          </w:tcPr>
          <w:p w14:paraId="634445E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62</w:t>
            </w:r>
          </w:p>
        </w:tc>
        <w:tc>
          <w:tcPr>
            <w:tcW w:w="420" w:type="pct"/>
            <w:tcBorders>
              <w:tl2br w:val="nil"/>
              <w:tr2bl w:val="nil"/>
            </w:tcBorders>
            <w:noWrap w:val="0"/>
            <w:vAlign w:val="center"/>
          </w:tcPr>
          <w:p w14:paraId="6B48EF5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48ACB97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354</w:t>
            </w:r>
          </w:p>
        </w:tc>
        <w:tc>
          <w:tcPr>
            <w:tcW w:w="427" w:type="pct"/>
            <w:tcBorders>
              <w:tl2br w:val="nil"/>
              <w:tr2bl w:val="nil"/>
            </w:tcBorders>
            <w:noWrap w:val="0"/>
            <w:vAlign w:val="center"/>
          </w:tcPr>
          <w:p w14:paraId="7D4E017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388" w:type="pct"/>
            <w:tcBorders>
              <w:tl2br w:val="nil"/>
              <w:tr2bl w:val="nil"/>
            </w:tcBorders>
            <w:noWrap w:val="0"/>
            <w:vAlign w:val="center"/>
          </w:tcPr>
          <w:p w14:paraId="57A13BF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368" w:type="pct"/>
            <w:tcBorders>
              <w:tl2br w:val="nil"/>
              <w:tr2bl w:val="nil"/>
            </w:tcBorders>
            <w:noWrap w:val="0"/>
            <w:vAlign w:val="center"/>
          </w:tcPr>
          <w:p w14:paraId="411651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3E0702A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66</w:t>
            </w:r>
          </w:p>
        </w:tc>
        <w:tc>
          <w:tcPr>
            <w:tcW w:w="290" w:type="pct"/>
            <w:vMerge w:val="continue"/>
            <w:tcBorders>
              <w:tl2br w:val="nil"/>
              <w:tr2bl w:val="nil"/>
            </w:tcBorders>
            <w:noWrap w:val="0"/>
            <w:vAlign w:val="center"/>
          </w:tcPr>
          <w:p w14:paraId="43E432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FFB6D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1140552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7E81C44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18F403C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61</w:t>
            </w:r>
          </w:p>
        </w:tc>
        <w:tc>
          <w:tcPr>
            <w:tcW w:w="414" w:type="pct"/>
            <w:tcBorders>
              <w:tl2br w:val="nil"/>
              <w:tr2bl w:val="nil"/>
            </w:tcBorders>
            <w:noWrap w:val="0"/>
            <w:vAlign w:val="center"/>
          </w:tcPr>
          <w:p w14:paraId="53EEB9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61</w:t>
            </w:r>
          </w:p>
        </w:tc>
        <w:tc>
          <w:tcPr>
            <w:tcW w:w="420" w:type="pct"/>
            <w:tcBorders>
              <w:tl2br w:val="nil"/>
              <w:tr2bl w:val="nil"/>
            </w:tcBorders>
            <w:noWrap w:val="0"/>
            <w:vAlign w:val="center"/>
          </w:tcPr>
          <w:p w14:paraId="0207C9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501" w:type="pct"/>
            <w:tcBorders>
              <w:tl2br w:val="nil"/>
              <w:tr2bl w:val="nil"/>
            </w:tcBorders>
            <w:noWrap w:val="0"/>
            <w:vAlign w:val="center"/>
          </w:tcPr>
          <w:p w14:paraId="31E5CB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348</w:t>
            </w:r>
          </w:p>
        </w:tc>
        <w:tc>
          <w:tcPr>
            <w:tcW w:w="427" w:type="pct"/>
            <w:tcBorders>
              <w:tl2br w:val="nil"/>
              <w:tr2bl w:val="nil"/>
            </w:tcBorders>
            <w:noWrap w:val="0"/>
            <w:vAlign w:val="center"/>
          </w:tcPr>
          <w:p w14:paraId="3ED4295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388" w:type="pct"/>
            <w:tcBorders>
              <w:tl2br w:val="nil"/>
              <w:tr2bl w:val="nil"/>
            </w:tcBorders>
            <w:noWrap w:val="0"/>
            <w:vAlign w:val="center"/>
          </w:tcPr>
          <w:p w14:paraId="3A9F02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368" w:type="pct"/>
            <w:tcBorders>
              <w:tl2br w:val="nil"/>
              <w:tr2bl w:val="nil"/>
            </w:tcBorders>
            <w:noWrap w:val="0"/>
            <w:vAlign w:val="center"/>
          </w:tcPr>
          <w:p w14:paraId="0435CA3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613E84A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290" w:type="pct"/>
            <w:vMerge w:val="continue"/>
            <w:tcBorders>
              <w:tl2br w:val="nil"/>
              <w:tr2bl w:val="nil"/>
            </w:tcBorders>
            <w:noWrap w:val="0"/>
            <w:vAlign w:val="center"/>
          </w:tcPr>
          <w:p w14:paraId="43BDAF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84C15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67A5D80E">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2026.</w:t>
            </w: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22</w:t>
            </w:r>
          </w:p>
        </w:tc>
        <w:tc>
          <w:tcPr>
            <w:tcW w:w="692" w:type="pct"/>
            <w:vMerge w:val="restart"/>
            <w:tcBorders>
              <w:tl2br w:val="nil"/>
              <w:tr2bl w:val="nil"/>
            </w:tcBorders>
            <w:noWrap w:val="0"/>
            <w:vAlign w:val="center"/>
          </w:tcPr>
          <w:p w14:paraId="3670A3F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大田村瓦房沟开阔处距公路中心线40m（C8）</w:t>
            </w:r>
          </w:p>
        </w:tc>
        <w:tc>
          <w:tcPr>
            <w:tcW w:w="414" w:type="pct"/>
            <w:tcBorders>
              <w:tl2br w:val="nil"/>
              <w:tr2bl w:val="nil"/>
            </w:tcBorders>
            <w:noWrap w:val="0"/>
            <w:vAlign w:val="center"/>
          </w:tcPr>
          <w:p w14:paraId="76F66A3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57</w:t>
            </w:r>
          </w:p>
        </w:tc>
        <w:tc>
          <w:tcPr>
            <w:tcW w:w="414" w:type="pct"/>
            <w:tcBorders>
              <w:tl2br w:val="nil"/>
              <w:tr2bl w:val="nil"/>
            </w:tcBorders>
            <w:noWrap w:val="0"/>
            <w:vAlign w:val="center"/>
          </w:tcPr>
          <w:p w14:paraId="41A9A5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57</w:t>
            </w:r>
          </w:p>
        </w:tc>
        <w:tc>
          <w:tcPr>
            <w:tcW w:w="420" w:type="pct"/>
            <w:tcBorders>
              <w:tl2br w:val="nil"/>
              <w:tr2bl w:val="nil"/>
            </w:tcBorders>
            <w:noWrap w:val="0"/>
            <w:vAlign w:val="center"/>
          </w:tcPr>
          <w:p w14:paraId="6237DBB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3DAED8C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418B801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34C522A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031B2F4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7615B6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6CE8FDF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5BE7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46F81DC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21007F8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5EBA9D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67</w:t>
            </w:r>
          </w:p>
        </w:tc>
        <w:tc>
          <w:tcPr>
            <w:tcW w:w="414" w:type="pct"/>
            <w:tcBorders>
              <w:tl2br w:val="nil"/>
              <w:tr2bl w:val="nil"/>
            </w:tcBorders>
            <w:noWrap w:val="0"/>
            <w:vAlign w:val="center"/>
          </w:tcPr>
          <w:p w14:paraId="2AAEFB7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67</w:t>
            </w:r>
          </w:p>
        </w:tc>
        <w:tc>
          <w:tcPr>
            <w:tcW w:w="420" w:type="pct"/>
            <w:tcBorders>
              <w:tl2br w:val="nil"/>
              <w:tr2bl w:val="nil"/>
            </w:tcBorders>
            <w:noWrap w:val="0"/>
            <w:vAlign w:val="center"/>
          </w:tcPr>
          <w:p w14:paraId="2EC0592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501" w:type="pct"/>
            <w:tcBorders>
              <w:tl2br w:val="nil"/>
              <w:tr2bl w:val="nil"/>
            </w:tcBorders>
            <w:noWrap w:val="0"/>
            <w:vAlign w:val="center"/>
          </w:tcPr>
          <w:p w14:paraId="095A99D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378</w:t>
            </w:r>
          </w:p>
        </w:tc>
        <w:tc>
          <w:tcPr>
            <w:tcW w:w="427" w:type="pct"/>
            <w:tcBorders>
              <w:tl2br w:val="nil"/>
              <w:tr2bl w:val="nil"/>
            </w:tcBorders>
            <w:noWrap w:val="0"/>
            <w:vAlign w:val="center"/>
          </w:tcPr>
          <w:p w14:paraId="1D68A0C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60E13F0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39CF114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160609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restart"/>
            <w:tcBorders>
              <w:tl2br w:val="nil"/>
              <w:tr2bl w:val="nil"/>
            </w:tcBorders>
            <w:noWrap w:val="0"/>
            <w:vAlign w:val="center"/>
          </w:tcPr>
          <w:p w14:paraId="03D000F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交通</w:t>
            </w:r>
          </w:p>
          <w:p w14:paraId="18FCEA0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噪声</w:t>
            </w:r>
          </w:p>
        </w:tc>
      </w:tr>
      <w:tr w14:paraId="117D1E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017AC8B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4FB50EB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2E6BFE5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47CF041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65909C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5D77C81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305A60B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388" w:type="pct"/>
            <w:tcBorders>
              <w:tl2br w:val="nil"/>
              <w:tr2bl w:val="nil"/>
            </w:tcBorders>
            <w:noWrap w:val="0"/>
            <w:vAlign w:val="center"/>
          </w:tcPr>
          <w:p w14:paraId="5948847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368" w:type="pct"/>
            <w:tcBorders>
              <w:tl2br w:val="nil"/>
              <w:tr2bl w:val="nil"/>
            </w:tcBorders>
            <w:noWrap w:val="0"/>
            <w:vAlign w:val="center"/>
          </w:tcPr>
          <w:p w14:paraId="511AF76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0F7DFE7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3291A09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24C5B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6737B31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7721C15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7BB0F2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02E2E2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738FB13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1C9B449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7A77E70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388" w:type="pct"/>
            <w:tcBorders>
              <w:tl2br w:val="nil"/>
              <w:tr2bl w:val="nil"/>
            </w:tcBorders>
            <w:noWrap w:val="0"/>
            <w:vAlign w:val="center"/>
          </w:tcPr>
          <w:p w14:paraId="7ACDA8C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368" w:type="pct"/>
            <w:tcBorders>
              <w:tl2br w:val="nil"/>
              <w:tr2bl w:val="nil"/>
            </w:tcBorders>
            <w:noWrap w:val="0"/>
            <w:vAlign w:val="center"/>
          </w:tcPr>
          <w:p w14:paraId="78B362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1FA9A68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4B4F08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1E5412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131D823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11E2AC6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12AE087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14" w:type="pct"/>
            <w:tcBorders>
              <w:tl2br w:val="nil"/>
              <w:tr2bl w:val="nil"/>
            </w:tcBorders>
            <w:noWrap w:val="0"/>
            <w:vAlign w:val="center"/>
          </w:tcPr>
          <w:p w14:paraId="350ECE5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58</w:t>
            </w:r>
          </w:p>
        </w:tc>
        <w:tc>
          <w:tcPr>
            <w:tcW w:w="420" w:type="pct"/>
            <w:tcBorders>
              <w:tl2br w:val="nil"/>
              <w:tr2bl w:val="nil"/>
            </w:tcBorders>
            <w:noWrap w:val="0"/>
            <w:vAlign w:val="center"/>
          </w:tcPr>
          <w:p w14:paraId="4FDDAD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29DD20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354</w:t>
            </w:r>
          </w:p>
        </w:tc>
        <w:tc>
          <w:tcPr>
            <w:tcW w:w="427" w:type="pct"/>
            <w:tcBorders>
              <w:tl2br w:val="nil"/>
              <w:tr2bl w:val="nil"/>
            </w:tcBorders>
            <w:noWrap w:val="0"/>
            <w:vAlign w:val="center"/>
          </w:tcPr>
          <w:p w14:paraId="7911C0B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88" w:type="pct"/>
            <w:tcBorders>
              <w:tl2br w:val="nil"/>
              <w:tr2bl w:val="nil"/>
            </w:tcBorders>
            <w:noWrap w:val="0"/>
            <w:vAlign w:val="center"/>
          </w:tcPr>
          <w:p w14:paraId="7CD55D7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368" w:type="pct"/>
            <w:tcBorders>
              <w:tl2br w:val="nil"/>
              <w:tr2bl w:val="nil"/>
            </w:tcBorders>
            <w:noWrap w:val="0"/>
            <w:vAlign w:val="center"/>
          </w:tcPr>
          <w:p w14:paraId="4911E9B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7938F4A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66</w:t>
            </w:r>
          </w:p>
        </w:tc>
        <w:tc>
          <w:tcPr>
            <w:tcW w:w="290" w:type="pct"/>
            <w:vMerge w:val="continue"/>
            <w:tcBorders>
              <w:tl2br w:val="nil"/>
              <w:tr2bl w:val="nil"/>
            </w:tcBorders>
            <w:noWrap w:val="0"/>
            <w:vAlign w:val="center"/>
          </w:tcPr>
          <w:p w14:paraId="500047A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63CFBF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620A5B2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2BC1811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CD805A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43E1FEE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742A5F1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501" w:type="pct"/>
            <w:tcBorders>
              <w:tl2br w:val="nil"/>
              <w:tr2bl w:val="nil"/>
            </w:tcBorders>
            <w:noWrap w:val="0"/>
            <w:vAlign w:val="center"/>
          </w:tcPr>
          <w:p w14:paraId="0ADA48A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348</w:t>
            </w:r>
          </w:p>
        </w:tc>
        <w:tc>
          <w:tcPr>
            <w:tcW w:w="427" w:type="pct"/>
            <w:tcBorders>
              <w:tl2br w:val="nil"/>
              <w:tr2bl w:val="nil"/>
            </w:tcBorders>
            <w:noWrap w:val="0"/>
            <w:vAlign w:val="center"/>
          </w:tcPr>
          <w:p w14:paraId="65D51C5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570020A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5AA3DA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7A24E93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35D9AED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76C88E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0194C4B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68612AA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29170A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24CE34C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1F0BE7D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0A3AF2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0C0740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388" w:type="pct"/>
            <w:tcBorders>
              <w:tl2br w:val="nil"/>
              <w:tr2bl w:val="nil"/>
            </w:tcBorders>
            <w:noWrap w:val="0"/>
            <w:vAlign w:val="center"/>
          </w:tcPr>
          <w:p w14:paraId="048393E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368" w:type="pct"/>
            <w:tcBorders>
              <w:tl2br w:val="nil"/>
              <w:tr2bl w:val="nil"/>
            </w:tcBorders>
            <w:noWrap w:val="0"/>
            <w:vAlign w:val="center"/>
          </w:tcPr>
          <w:p w14:paraId="5EC3BB1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06955F7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290" w:type="pct"/>
            <w:vMerge w:val="continue"/>
            <w:tcBorders>
              <w:tl2br w:val="nil"/>
              <w:tr2bl w:val="nil"/>
            </w:tcBorders>
            <w:noWrap w:val="0"/>
            <w:vAlign w:val="center"/>
          </w:tcPr>
          <w:p w14:paraId="64BF2D5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6761F2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4DEE6FC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2026.</w:t>
            </w: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22</w:t>
            </w:r>
          </w:p>
        </w:tc>
        <w:tc>
          <w:tcPr>
            <w:tcW w:w="692" w:type="pct"/>
            <w:vMerge w:val="restart"/>
            <w:tcBorders>
              <w:tl2br w:val="nil"/>
              <w:tr2bl w:val="nil"/>
            </w:tcBorders>
            <w:noWrap w:val="0"/>
            <w:vAlign w:val="center"/>
          </w:tcPr>
          <w:p w14:paraId="0DB5AB6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 xml:space="preserve">大田村瓦房沟开阔处距公路中心线60m </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C9）</w:t>
            </w:r>
          </w:p>
        </w:tc>
        <w:tc>
          <w:tcPr>
            <w:tcW w:w="414" w:type="pct"/>
            <w:tcBorders>
              <w:tl2br w:val="nil"/>
              <w:tr2bl w:val="nil"/>
            </w:tcBorders>
            <w:noWrap w:val="0"/>
            <w:vAlign w:val="center"/>
          </w:tcPr>
          <w:p w14:paraId="6F52E3B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35D78F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0C5BE9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36ED7F1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0DCB40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7C3469A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621022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6BFB27B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7F62AB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5EA08D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71A172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073E6D8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0CC4DB1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78FC67A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624264F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501" w:type="pct"/>
            <w:tcBorders>
              <w:tl2br w:val="nil"/>
              <w:tr2bl w:val="nil"/>
            </w:tcBorders>
            <w:noWrap w:val="0"/>
            <w:vAlign w:val="center"/>
          </w:tcPr>
          <w:p w14:paraId="7191FC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378</w:t>
            </w:r>
          </w:p>
        </w:tc>
        <w:tc>
          <w:tcPr>
            <w:tcW w:w="427" w:type="pct"/>
            <w:tcBorders>
              <w:tl2br w:val="nil"/>
              <w:tr2bl w:val="nil"/>
            </w:tcBorders>
            <w:noWrap w:val="0"/>
            <w:vAlign w:val="center"/>
          </w:tcPr>
          <w:p w14:paraId="774BB6B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11FF8A4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73CED78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416F080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7A442EB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179B1B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71DE8AA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79511F4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07A2E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33908A6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1CD40A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0FC64D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480ABE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88" w:type="pct"/>
            <w:tcBorders>
              <w:tl2br w:val="nil"/>
              <w:tr2bl w:val="nil"/>
            </w:tcBorders>
            <w:noWrap w:val="0"/>
            <w:vAlign w:val="center"/>
          </w:tcPr>
          <w:p w14:paraId="2FC3C88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68" w:type="pct"/>
            <w:tcBorders>
              <w:tl2br w:val="nil"/>
              <w:tr2bl w:val="nil"/>
            </w:tcBorders>
            <w:noWrap w:val="0"/>
            <w:vAlign w:val="center"/>
          </w:tcPr>
          <w:p w14:paraId="2E61BB6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7272E7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7620F39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340116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394393E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68A26D2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16908B0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089520F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772DE2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0BF0B35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354</w:t>
            </w:r>
          </w:p>
        </w:tc>
        <w:tc>
          <w:tcPr>
            <w:tcW w:w="427" w:type="pct"/>
            <w:tcBorders>
              <w:tl2br w:val="nil"/>
              <w:tr2bl w:val="nil"/>
            </w:tcBorders>
            <w:noWrap w:val="0"/>
            <w:vAlign w:val="center"/>
          </w:tcPr>
          <w:p w14:paraId="3BA50A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5737AC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2E9BB1C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6BE786E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401639D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25EF8F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4AA70D8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209408B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7AD379F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14" w:type="pct"/>
            <w:tcBorders>
              <w:tl2br w:val="nil"/>
              <w:tr2bl w:val="nil"/>
            </w:tcBorders>
            <w:noWrap w:val="0"/>
            <w:vAlign w:val="center"/>
          </w:tcPr>
          <w:p w14:paraId="3F21017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20" w:type="pct"/>
            <w:tcBorders>
              <w:tl2br w:val="nil"/>
              <w:tr2bl w:val="nil"/>
            </w:tcBorders>
            <w:noWrap w:val="0"/>
            <w:vAlign w:val="center"/>
          </w:tcPr>
          <w:p w14:paraId="00B782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501" w:type="pct"/>
            <w:tcBorders>
              <w:tl2br w:val="nil"/>
              <w:tr2bl w:val="nil"/>
            </w:tcBorders>
            <w:noWrap w:val="0"/>
            <w:vAlign w:val="center"/>
          </w:tcPr>
          <w:p w14:paraId="64ECE8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348</w:t>
            </w:r>
          </w:p>
        </w:tc>
        <w:tc>
          <w:tcPr>
            <w:tcW w:w="427" w:type="pct"/>
            <w:tcBorders>
              <w:tl2br w:val="nil"/>
              <w:tr2bl w:val="nil"/>
            </w:tcBorders>
            <w:noWrap w:val="0"/>
            <w:vAlign w:val="center"/>
          </w:tcPr>
          <w:p w14:paraId="3CE3D3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388" w:type="pct"/>
            <w:tcBorders>
              <w:tl2br w:val="nil"/>
              <w:tr2bl w:val="nil"/>
            </w:tcBorders>
            <w:noWrap w:val="0"/>
            <w:vAlign w:val="center"/>
          </w:tcPr>
          <w:p w14:paraId="173B5BF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368" w:type="pct"/>
            <w:tcBorders>
              <w:tl2br w:val="nil"/>
              <w:tr2bl w:val="nil"/>
            </w:tcBorders>
            <w:noWrap w:val="0"/>
            <w:vAlign w:val="center"/>
          </w:tcPr>
          <w:p w14:paraId="024E540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5A214D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66</w:t>
            </w:r>
          </w:p>
        </w:tc>
        <w:tc>
          <w:tcPr>
            <w:tcW w:w="290" w:type="pct"/>
            <w:vMerge w:val="continue"/>
            <w:tcBorders>
              <w:tl2br w:val="nil"/>
              <w:tr2bl w:val="nil"/>
            </w:tcBorders>
            <w:noWrap w:val="0"/>
            <w:vAlign w:val="center"/>
          </w:tcPr>
          <w:p w14:paraId="20C682B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3C6078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0EC55E5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7083028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381FAC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7112A6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763314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3D9B644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4C65D5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88" w:type="pct"/>
            <w:tcBorders>
              <w:tl2br w:val="nil"/>
              <w:tr2bl w:val="nil"/>
            </w:tcBorders>
            <w:noWrap w:val="0"/>
            <w:vAlign w:val="center"/>
          </w:tcPr>
          <w:p w14:paraId="166E7D5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68" w:type="pct"/>
            <w:tcBorders>
              <w:tl2br w:val="nil"/>
              <w:tr2bl w:val="nil"/>
            </w:tcBorders>
            <w:noWrap w:val="0"/>
            <w:vAlign w:val="center"/>
          </w:tcPr>
          <w:p w14:paraId="3B100DA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00171E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290" w:type="pct"/>
            <w:vMerge w:val="continue"/>
            <w:tcBorders>
              <w:tl2br w:val="nil"/>
              <w:tr2bl w:val="nil"/>
            </w:tcBorders>
            <w:noWrap w:val="0"/>
            <w:vAlign w:val="center"/>
          </w:tcPr>
          <w:p w14:paraId="04E8949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43A5F2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640FEEE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2026.</w:t>
            </w: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22</w:t>
            </w:r>
          </w:p>
        </w:tc>
        <w:tc>
          <w:tcPr>
            <w:tcW w:w="692" w:type="pct"/>
            <w:vMerge w:val="restart"/>
            <w:tcBorders>
              <w:tl2br w:val="nil"/>
              <w:tr2bl w:val="nil"/>
            </w:tcBorders>
            <w:noWrap w:val="0"/>
            <w:vAlign w:val="center"/>
          </w:tcPr>
          <w:p w14:paraId="20D703F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大田村瓦房沟开阔处距公路中心线 80m（C10）</w:t>
            </w:r>
          </w:p>
        </w:tc>
        <w:tc>
          <w:tcPr>
            <w:tcW w:w="414" w:type="pct"/>
            <w:tcBorders>
              <w:tl2br w:val="nil"/>
              <w:tr2bl w:val="nil"/>
            </w:tcBorders>
            <w:noWrap w:val="0"/>
            <w:vAlign w:val="center"/>
          </w:tcPr>
          <w:p w14:paraId="2BB4D34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14" w:type="pct"/>
            <w:tcBorders>
              <w:tl2br w:val="nil"/>
              <w:tr2bl w:val="nil"/>
            </w:tcBorders>
            <w:noWrap w:val="0"/>
            <w:vAlign w:val="center"/>
          </w:tcPr>
          <w:p w14:paraId="24070C8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20" w:type="pct"/>
            <w:tcBorders>
              <w:tl2br w:val="nil"/>
              <w:tr2bl w:val="nil"/>
            </w:tcBorders>
            <w:noWrap w:val="0"/>
            <w:vAlign w:val="center"/>
          </w:tcPr>
          <w:p w14:paraId="76A7D0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1AC2EC3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3CC51F1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1100509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219917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5BB83F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31BC737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2DB13E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7071C2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2DD495D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70125F6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14" w:type="pct"/>
            <w:tcBorders>
              <w:tl2br w:val="nil"/>
              <w:tr2bl w:val="nil"/>
            </w:tcBorders>
            <w:noWrap w:val="0"/>
            <w:vAlign w:val="center"/>
          </w:tcPr>
          <w:p w14:paraId="7381FF9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20" w:type="pct"/>
            <w:tcBorders>
              <w:tl2br w:val="nil"/>
              <w:tr2bl w:val="nil"/>
            </w:tcBorders>
            <w:noWrap w:val="0"/>
            <w:vAlign w:val="center"/>
          </w:tcPr>
          <w:p w14:paraId="4231C19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501" w:type="pct"/>
            <w:tcBorders>
              <w:tl2br w:val="nil"/>
              <w:tr2bl w:val="nil"/>
            </w:tcBorders>
            <w:noWrap w:val="0"/>
            <w:vAlign w:val="center"/>
          </w:tcPr>
          <w:p w14:paraId="1F01A6A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378</w:t>
            </w:r>
          </w:p>
        </w:tc>
        <w:tc>
          <w:tcPr>
            <w:tcW w:w="427" w:type="pct"/>
            <w:tcBorders>
              <w:tl2br w:val="nil"/>
              <w:tr2bl w:val="nil"/>
            </w:tcBorders>
            <w:noWrap w:val="0"/>
            <w:vAlign w:val="center"/>
          </w:tcPr>
          <w:p w14:paraId="649D28C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471340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3C8911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0ED70ED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332C116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318BE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0F128A5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2D5EC16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75F3E4B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14" w:type="pct"/>
            <w:tcBorders>
              <w:tl2br w:val="nil"/>
              <w:tr2bl w:val="nil"/>
            </w:tcBorders>
            <w:noWrap w:val="0"/>
            <w:vAlign w:val="center"/>
          </w:tcPr>
          <w:p w14:paraId="3A8FBCD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56</w:t>
            </w:r>
          </w:p>
        </w:tc>
        <w:tc>
          <w:tcPr>
            <w:tcW w:w="420" w:type="pct"/>
            <w:tcBorders>
              <w:tl2br w:val="nil"/>
              <w:tr2bl w:val="nil"/>
            </w:tcBorders>
            <w:noWrap w:val="0"/>
            <w:vAlign w:val="center"/>
          </w:tcPr>
          <w:p w14:paraId="5BB7F7D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5A958B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354</w:t>
            </w:r>
          </w:p>
        </w:tc>
        <w:tc>
          <w:tcPr>
            <w:tcW w:w="427" w:type="pct"/>
            <w:tcBorders>
              <w:tl2br w:val="nil"/>
              <w:tr2bl w:val="nil"/>
            </w:tcBorders>
            <w:noWrap w:val="0"/>
            <w:vAlign w:val="center"/>
          </w:tcPr>
          <w:p w14:paraId="7485FB3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7F7CE27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491D7C7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56EAD7E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7067809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337DCC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1CCC655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2616C7D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672526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414" w:type="pct"/>
            <w:tcBorders>
              <w:tl2br w:val="nil"/>
              <w:tr2bl w:val="nil"/>
            </w:tcBorders>
            <w:noWrap w:val="0"/>
            <w:vAlign w:val="center"/>
          </w:tcPr>
          <w:p w14:paraId="7EFC615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420" w:type="pct"/>
            <w:tcBorders>
              <w:tl2br w:val="nil"/>
              <w:tr2bl w:val="nil"/>
            </w:tcBorders>
            <w:noWrap w:val="0"/>
            <w:vAlign w:val="center"/>
          </w:tcPr>
          <w:p w14:paraId="7B9EF2B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501" w:type="pct"/>
            <w:tcBorders>
              <w:tl2br w:val="nil"/>
              <w:tr2bl w:val="nil"/>
            </w:tcBorders>
            <w:noWrap w:val="0"/>
            <w:vAlign w:val="center"/>
          </w:tcPr>
          <w:p w14:paraId="76F01C3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348</w:t>
            </w:r>
          </w:p>
        </w:tc>
        <w:tc>
          <w:tcPr>
            <w:tcW w:w="427" w:type="pct"/>
            <w:tcBorders>
              <w:tl2br w:val="nil"/>
              <w:tr2bl w:val="nil"/>
            </w:tcBorders>
            <w:noWrap w:val="0"/>
            <w:vAlign w:val="center"/>
          </w:tcPr>
          <w:p w14:paraId="560A15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101AABA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7DFC478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44BCE9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0AF2754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5A5973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7A2ACF1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6926D98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776522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16226F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2990A0F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1E63B0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3CFD56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88" w:type="pct"/>
            <w:tcBorders>
              <w:tl2br w:val="nil"/>
              <w:tr2bl w:val="nil"/>
            </w:tcBorders>
            <w:noWrap w:val="0"/>
            <w:vAlign w:val="center"/>
          </w:tcPr>
          <w:p w14:paraId="7B56C0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368" w:type="pct"/>
            <w:tcBorders>
              <w:tl2br w:val="nil"/>
              <w:tr2bl w:val="nil"/>
            </w:tcBorders>
            <w:noWrap w:val="0"/>
            <w:vAlign w:val="center"/>
          </w:tcPr>
          <w:p w14:paraId="656B03A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26F49AD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66</w:t>
            </w:r>
          </w:p>
        </w:tc>
        <w:tc>
          <w:tcPr>
            <w:tcW w:w="290" w:type="pct"/>
            <w:vMerge w:val="continue"/>
            <w:tcBorders>
              <w:tl2br w:val="nil"/>
              <w:tr2bl w:val="nil"/>
            </w:tcBorders>
            <w:noWrap w:val="0"/>
            <w:vAlign w:val="center"/>
          </w:tcPr>
          <w:p w14:paraId="645E2DA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34092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3DCB8F3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4BC6927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1B695A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220EF2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3999C8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342DBAE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3C6748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88" w:type="pct"/>
            <w:tcBorders>
              <w:tl2br w:val="nil"/>
              <w:tr2bl w:val="nil"/>
            </w:tcBorders>
            <w:noWrap w:val="0"/>
            <w:vAlign w:val="center"/>
          </w:tcPr>
          <w:p w14:paraId="7BD11D5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68" w:type="pct"/>
            <w:tcBorders>
              <w:tl2br w:val="nil"/>
              <w:tr2bl w:val="nil"/>
            </w:tcBorders>
            <w:noWrap w:val="0"/>
            <w:vAlign w:val="center"/>
          </w:tcPr>
          <w:p w14:paraId="4265096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462A429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290" w:type="pct"/>
            <w:vMerge w:val="continue"/>
            <w:tcBorders>
              <w:tl2br w:val="nil"/>
              <w:tr2bl w:val="nil"/>
            </w:tcBorders>
            <w:noWrap w:val="0"/>
            <w:vAlign w:val="center"/>
          </w:tcPr>
          <w:p w14:paraId="0C8FB0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64FA83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0515996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2026.</w:t>
            </w:r>
            <w:r>
              <w:rPr>
                <w:rFonts w:hint="eastAsia"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w:t>
            </w:r>
            <w:r>
              <w:rPr>
                <w:rFonts w:hint="eastAsia" w:ascii="Times New Roman" w:hAnsi="Times New Roman" w:eastAsia="宋体" w:cs="Times New Roman"/>
                <w:color w:val="auto"/>
                <w:kern w:val="0"/>
                <w:sz w:val="21"/>
                <w:szCs w:val="21"/>
                <w:lang w:val="en-US" w:eastAsia="zh-CN"/>
              </w:rPr>
              <w:t>22</w:t>
            </w:r>
          </w:p>
        </w:tc>
        <w:tc>
          <w:tcPr>
            <w:tcW w:w="692" w:type="pct"/>
            <w:vMerge w:val="restart"/>
            <w:tcBorders>
              <w:tl2br w:val="nil"/>
              <w:tr2bl w:val="nil"/>
            </w:tcBorders>
            <w:noWrap w:val="0"/>
            <w:vAlign w:val="center"/>
          </w:tcPr>
          <w:p w14:paraId="452C3E8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大田村瓦房沟开阔处距公路中心线120m(C11)</w:t>
            </w:r>
          </w:p>
        </w:tc>
        <w:tc>
          <w:tcPr>
            <w:tcW w:w="414" w:type="pct"/>
            <w:tcBorders>
              <w:tl2br w:val="nil"/>
              <w:tr2bl w:val="nil"/>
            </w:tcBorders>
            <w:noWrap w:val="0"/>
            <w:vAlign w:val="center"/>
          </w:tcPr>
          <w:p w14:paraId="7EB3578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414" w:type="pct"/>
            <w:tcBorders>
              <w:tl2br w:val="nil"/>
              <w:tr2bl w:val="nil"/>
            </w:tcBorders>
            <w:noWrap w:val="0"/>
            <w:vAlign w:val="center"/>
          </w:tcPr>
          <w:p w14:paraId="22F689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420" w:type="pct"/>
            <w:tcBorders>
              <w:tl2br w:val="nil"/>
              <w:tr2bl w:val="nil"/>
            </w:tcBorders>
            <w:noWrap w:val="0"/>
            <w:vAlign w:val="center"/>
          </w:tcPr>
          <w:p w14:paraId="32D48B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10974B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384</w:t>
            </w:r>
          </w:p>
        </w:tc>
        <w:tc>
          <w:tcPr>
            <w:tcW w:w="427" w:type="pct"/>
            <w:tcBorders>
              <w:tl2br w:val="nil"/>
              <w:tr2bl w:val="nil"/>
            </w:tcBorders>
            <w:noWrap w:val="0"/>
            <w:vAlign w:val="center"/>
          </w:tcPr>
          <w:p w14:paraId="1FDC9D9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5FD97D2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7F616C7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446BC5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751B7ED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798720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02AB6B1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0A8A9DA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5F41263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414" w:type="pct"/>
            <w:tcBorders>
              <w:tl2br w:val="nil"/>
              <w:tr2bl w:val="nil"/>
            </w:tcBorders>
            <w:noWrap w:val="0"/>
            <w:vAlign w:val="center"/>
          </w:tcPr>
          <w:p w14:paraId="36F7ADA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420" w:type="pct"/>
            <w:tcBorders>
              <w:tl2br w:val="nil"/>
              <w:tr2bl w:val="nil"/>
            </w:tcBorders>
            <w:noWrap w:val="0"/>
            <w:vAlign w:val="center"/>
          </w:tcPr>
          <w:p w14:paraId="1985E5B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501" w:type="pct"/>
            <w:tcBorders>
              <w:tl2br w:val="nil"/>
              <w:tr2bl w:val="nil"/>
            </w:tcBorders>
            <w:noWrap w:val="0"/>
            <w:vAlign w:val="center"/>
          </w:tcPr>
          <w:p w14:paraId="3FFE0F3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378</w:t>
            </w:r>
          </w:p>
        </w:tc>
        <w:tc>
          <w:tcPr>
            <w:tcW w:w="427" w:type="pct"/>
            <w:tcBorders>
              <w:tl2br w:val="nil"/>
              <w:tr2bl w:val="nil"/>
            </w:tcBorders>
            <w:noWrap w:val="0"/>
            <w:vAlign w:val="center"/>
          </w:tcPr>
          <w:p w14:paraId="3E7E8F2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88" w:type="pct"/>
            <w:tcBorders>
              <w:tl2br w:val="nil"/>
              <w:tr2bl w:val="nil"/>
            </w:tcBorders>
            <w:noWrap w:val="0"/>
            <w:vAlign w:val="center"/>
          </w:tcPr>
          <w:p w14:paraId="688C088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68" w:type="pct"/>
            <w:tcBorders>
              <w:tl2br w:val="nil"/>
              <w:tr2bl w:val="nil"/>
            </w:tcBorders>
            <w:noWrap w:val="0"/>
            <w:vAlign w:val="center"/>
          </w:tcPr>
          <w:p w14:paraId="3A8570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91" w:type="pct"/>
            <w:tcBorders>
              <w:tl2br w:val="nil"/>
              <w:tr2bl w:val="nil"/>
            </w:tcBorders>
            <w:noWrap w:val="0"/>
            <w:vAlign w:val="center"/>
          </w:tcPr>
          <w:p w14:paraId="77C0472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290" w:type="pct"/>
            <w:vMerge w:val="continue"/>
            <w:tcBorders>
              <w:tl2br w:val="nil"/>
              <w:tr2bl w:val="nil"/>
            </w:tcBorders>
            <w:noWrap w:val="0"/>
            <w:vAlign w:val="center"/>
          </w:tcPr>
          <w:p w14:paraId="2FD4373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104E0A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restart"/>
            <w:tcBorders>
              <w:tl2br w:val="nil"/>
              <w:tr2bl w:val="nil"/>
            </w:tcBorders>
            <w:noWrap w:val="0"/>
            <w:vAlign w:val="center"/>
          </w:tcPr>
          <w:p w14:paraId="223E968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23</w:t>
            </w:r>
          </w:p>
        </w:tc>
        <w:tc>
          <w:tcPr>
            <w:tcW w:w="692" w:type="pct"/>
            <w:vMerge w:val="continue"/>
            <w:tcBorders>
              <w:tl2br w:val="nil"/>
              <w:tr2bl w:val="nil"/>
            </w:tcBorders>
            <w:noWrap w:val="0"/>
            <w:vAlign w:val="center"/>
          </w:tcPr>
          <w:p w14:paraId="05FEB27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066F9CD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581B511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6509EF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31825BC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722D541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388" w:type="pct"/>
            <w:tcBorders>
              <w:tl2br w:val="nil"/>
              <w:tr2bl w:val="nil"/>
            </w:tcBorders>
            <w:noWrap w:val="0"/>
            <w:vAlign w:val="center"/>
          </w:tcPr>
          <w:p w14:paraId="64C537E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368" w:type="pct"/>
            <w:tcBorders>
              <w:tl2br w:val="nil"/>
              <w:tr2bl w:val="nil"/>
            </w:tcBorders>
            <w:noWrap w:val="0"/>
            <w:vAlign w:val="center"/>
          </w:tcPr>
          <w:p w14:paraId="0C45986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91" w:type="pct"/>
            <w:tcBorders>
              <w:tl2br w:val="nil"/>
              <w:tr2bl w:val="nil"/>
            </w:tcBorders>
            <w:noWrap w:val="0"/>
            <w:vAlign w:val="center"/>
          </w:tcPr>
          <w:p w14:paraId="452854E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290" w:type="pct"/>
            <w:vMerge w:val="continue"/>
            <w:tcBorders>
              <w:tl2br w:val="nil"/>
              <w:tr2bl w:val="nil"/>
            </w:tcBorders>
            <w:noWrap w:val="0"/>
            <w:vAlign w:val="center"/>
          </w:tcPr>
          <w:p w14:paraId="7816181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163693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1C4640D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44BADA1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4CEF0E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414" w:type="pct"/>
            <w:tcBorders>
              <w:tl2br w:val="nil"/>
              <w:tr2bl w:val="nil"/>
            </w:tcBorders>
            <w:noWrap w:val="0"/>
            <w:vAlign w:val="center"/>
          </w:tcPr>
          <w:p w14:paraId="29CE5D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420" w:type="pct"/>
            <w:tcBorders>
              <w:tl2br w:val="nil"/>
              <w:tr2bl w:val="nil"/>
            </w:tcBorders>
            <w:noWrap w:val="0"/>
            <w:vAlign w:val="center"/>
          </w:tcPr>
          <w:p w14:paraId="0F37C7F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501" w:type="pct"/>
            <w:tcBorders>
              <w:tl2br w:val="nil"/>
              <w:tr2bl w:val="nil"/>
            </w:tcBorders>
            <w:noWrap w:val="0"/>
            <w:vAlign w:val="center"/>
          </w:tcPr>
          <w:p w14:paraId="7CE917D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354</w:t>
            </w:r>
          </w:p>
        </w:tc>
        <w:tc>
          <w:tcPr>
            <w:tcW w:w="427" w:type="pct"/>
            <w:tcBorders>
              <w:tl2br w:val="nil"/>
              <w:tr2bl w:val="nil"/>
            </w:tcBorders>
            <w:noWrap w:val="0"/>
            <w:vAlign w:val="center"/>
          </w:tcPr>
          <w:p w14:paraId="32E90D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388" w:type="pct"/>
            <w:tcBorders>
              <w:tl2br w:val="nil"/>
              <w:tr2bl w:val="nil"/>
            </w:tcBorders>
            <w:noWrap w:val="0"/>
            <w:vAlign w:val="center"/>
          </w:tcPr>
          <w:p w14:paraId="4AFEAC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368" w:type="pct"/>
            <w:tcBorders>
              <w:tl2br w:val="nil"/>
              <w:tr2bl w:val="nil"/>
            </w:tcBorders>
            <w:noWrap w:val="0"/>
            <w:vAlign w:val="center"/>
          </w:tcPr>
          <w:p w14:paraId="12A733D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51EB5F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290" w:type="pct"/>
            <w:vMerge w:val="continue"/>
            <w:tcBorders>
              <w:tl2br w:val="nil"/>
              <w:tr2bl w:val="nil"/>
            </w:tcBorders>
            <w:noWrap w:val="0"/>
            <w:vAlign w:val="center"/>
          </w:tcPr>
          <w:p w14:paraId="6C8C155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599D28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vMerge w:val="continue"/>
            <w:tcBorders>
              <w:tl2br w:val="nil"/>
              <w:tr2bl w:val="nil"/>
            </w:tcBorders>
            <w:noWrap w:val="0"/>
            <w:vAlign w:val="center"/>
          </w:tcPr>
          <w:p w14:paraId="0A0EF90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92" w:type="pct"/>
            <w:vMerge w:val="continue"/>
            <w:tcBorders>
              <w:tl2br w:val="nil"/>
              <w:tr2bl w:val="nil"/>
            </w:tcBorders>
            <w:noWrap w:val="0"/>
            <w:vAlign w:val="center"/>
          </w:tcPr>
          <w:p w14:paraId="411D7E3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2B8ABB5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43</w:t>
            </w:r>
          </w:p>
        </w:tc>
        <w:tc>
          <w:tcPr>
            <w:tcW w:w="414" w:type="pct"/>
            <w:tcBorders>
              <w:tl2br w:val="nil"/>
              <w:tr2bl w:val="nil"/>
            </w:tcBorders>
            <w:noWrap w:val="0"/>
            <w:vAlign w:val="center"/>
          </w:tcPr>
          <w:p w14:paraId="01CA3D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43</w:t>
            </w:r>
          </w:p>
        </w:tc>
        <w:tc>
          <w:tcPr>
            <w:tcW w:w="420" w:type="pct"/>
            <w:tcBorders>
              <w:tl2br w:val="nil"/>
              <w:tr2bl w:val="nil"/>
            </w:tcBorders>
            <w:noWrap w:val="0"/>
            <w:vAlign w:val="center"/>
          </w:tcPr>
          <w:p w14:paraId="2AB8870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501" w:type="pct"/>
            <w:tcBorders>
              <w:tl2br w:val="nil"/>
              <w:tr2bl w:val="nil"/>
            </w:tcBorders>
            <w:noWrap w:val="0"/>
            <w:vAlign w:val="center"/>
          </w:tcPr>
          <w:p w14:paraId="61CE95A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348</w:t>
            </w:r>
          </w:p>
        </w:tc>
        <w:tc>
          <w:tcPr>
            <w:tcW w:w="427" w:type="pct"/>
            <w:tcBorders>
              <w:tl2br w:val="nil"/>
              <w:tr2bl w:val="nil"/>
            </w:tcBorders>
            <w:noWrap w:val="0"/>
            <w:vAlign w:val="center"/>
          </w:tcPr>
          <w:p w14:paraId="162C9D8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w:t>
            </w:r>
          </w:p>
        </w:tc>
        <w:tc>
          <w:tcPr>
            <w:tcW w:w="388" w:type="pct"/>
            <w:tcBorders>
              <w:tl2br w:val="nil"/>
              <w:tr2bl w:val="nil"/>
            </w:tcBorders>
            <w:noWrap w:val="0"/>
            <w:vAlign w:val="center"/>
          </w:tcPr>
          <w:p w14:paraId="1D06948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38</w:t>
            </w:r>
          </w:p>
        </w:tc>
        <w:tc>
          <w:tcPr>
            <w:tcW w:w="368" w:type="pct"/>
            <w:tcBorders>
              <w:tl2br w:val="nil"/>
              <w:tr2bl w:val="nil"/>
            </w:tcBorders>
            <w:noWrap w:val="0"/>
            <w:vAlign w:val="center"/>
          </w:tcPr>
          <w:p w14:paraId="053CE6A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76B8564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eastAsia"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66</w:t>
            </w:r>
          </w:p>
        </w:tc>
        <w:tc>
          <w:tcPr>
            <w:tcW w:w="290" w:type="pct"/>
            <w:vMerge w:val="continue"/>
            <w:tcBorders>
              <w:tl2br w:val="nil"/>
              <w:tr2bl w:val="nil"/>
            </w:tcBorders>
            <w:noWrap w:val="0"/>
            <w:vAlign w:val="center"/>
          </w:tcPr>
          <w:p w14:paraId="70D843F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70A9CA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90" w:type="pct"/>
            <w:tcBorders>
              <w:tl2br w:val="nil"/>
              <w:tr2bl w:val="nil"/>
            </w:tcBorders>
            <w:noWrap w:val="0"/>
            <w:vAlign w:val="center"/>
          </w:tcPr>
          <w:p w14:paraId="261ACCC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24</w:t>
            </w:r>
          </w:p>
        </w:tc>
        <w:tc>
          <w:tcPr>
            <w:tcW w:w="692" w:type="pct"/>
            <w:vMerge w:val="continue"/>
            <w:tcBorders>
              <w:tl2br w:val="nil"/>
              <w:tr2bl w:val="nil"/>
            </w:tcBorders>
            <w:noWrap w:val="0"/>
            <w:vAlign w:val="center"/>
          </w:tcPr>
          <w:p w14:paraId="28CA94C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14" w:type="pct"/>
            <w:tcBorders>
              <w:tl2br w:val="nil"/>
              <w:tr2bl w:val="nil"/>
            </w:tcBorders>
            <w:noWrap w:val="0"/>
            <w:vAlign w:val="center"/>
          </w:tcPr>
          <w:p w14:paraId="09A17B7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4" w:type="pct"/>
            <w:tcBorders>
              <w:tl2br w:val="nil"/>
              <w:tr2bl w:val="nil"/>
            </w:tcBorders>
            <w:noWrap w:val="0"/>
            <w:vAlign w:val="center"/>
          </w:tcPr>
          <w:p w14:paraId="74BF3C6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tcBorders>
              <w:tl2br w:val="nil"/>
              <w:tr2bl w:val="nil"/>
            </w:tcBorders>
            <w:noWrap w:val="0"/>
            <w:vAlign w:val="center"/>
          </w:tcPr>
          <w:p w14:paraId="4E3B0A7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501" w:type="pct"/>
            <w:tcBorders>
              <w:tl2br w:val="nil"/>
              <w:tr2bl w:val="nil"/>
            </w:tcBorders>
            <w:noWrap w:val="0"/>
            <w:vAlign w:val="center"/>
          </w:tcPr>
          <w:p w14:paraId="3DD2EE0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7" w:type="pct"/>
            <w:tcBorders>
              <w:tl2br w:val="nil"/>
              <w:tr2bl w:val="nil"/>
            </w:tcBorders>
            <w:noWrap w:val="0"/>
            <w:vAlign w:val="center"/>
          </w:tcPr>
          <w:p w14:paraId="5194D18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w:t>
            </w:r>
          </w:p>
        </w:tc>
        <w:tc>
          <w:tcPr>
            <w:tcW w:w="388" w:type="pct"/>
            <w:tcBorders>
              <w:tl2br w:val="nil"/>
              <w:tr2bl w:val="nil"/>
            </w:tcBorders>
            <w:noWrap w:val="0"/>
            <w:vAlign w:val="center"/>
          </w:tcPr>
          <w:p w14:paraId="2D0E259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w:t>
            </w:r>
          </w:p>
        </w:tc>
        <w:tc>
          <w:tcPr>
            <w:tcW w:w="368" w:type="pct"/>
            <w:tcBorders>
              <w:tl2br w:val="nil"/>
              <w:tr2bl w:val="nil"/>
            </w:tcBorders>
            <w:noWrap w:val="0"/>
            <w:vAlign w:val="center"/>
          </w:tcPr>
          <w:p w14:paraId="67F3CFC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91" w:type="pct"/>
            <w:tcBorders>
              <w:tl2br w:val="nil"/>
              <w:tr2bl w:val="nil"/>
            </w:tcBorders>
            <w:noWrap w:val="0"/>
            <w:vAlign w:val="center"/>
          </w:tcPr>
          <w:p w14:paraId="21463C2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60</w:t>
            </w:r>
          </w:p>
        </w:tc>
        <w:tc>
          <w:tcPr>
            <w:tcW w:w="290" w:type="pct"/>
            <w:vMerge w:val="continue"/>
            <w:tcBorders>
              <w:tl2br w:val="nil"/>
              <w:tr2bl w:val="nil"/>
            </w:tcBorders>
            <w:noWrap w:val="0"/>
            <w:vAlign w:val="center"/>
          </w:tcPr>
          <w:p w14:paraId="04192BA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r>
      <w:tr w14:paraId="59F03C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82" w:type="pct"/>
            <w:gridSpan w:val="2"/>
            <w:tcBorders>
              <w:tl2br w:val="nil"/>
              <w:tr2bl w:val="nil"/>
            </w:tcBorders>
            <w:noWrap w:val="0"/>
            <w:vAlign w:val="center"/>
          </w:tcPr>
          <w:p w14:paraId="525F77F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评价标准值</w:t>
            </w:r>
          </w:p>
        </w:tc>
        <w:tc>
          <w:tcPr>
            <w:tcW w:w="3717" w:type="pct"/>
            <w:gridSpan w:val="9"/>
            <w:tcBorders>
              <w:tl2br w:val="nil"/>
              <w:tr2bl w:val="nil"/>
            </w:tcBorders>
            <w:noWrap w:val="0"/>
            <w:vAlign w:val="center"/>
          </w:tcPr>
          <w:p w14:paraId="18F2B74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C2、C3、C7、C8</w:t>
            </w:r>
            <w:r>
              <w:rPr>
                <w:rFonts w:hint="eastAsia" w:cs="Times New Roman"/>
                <w:color w:val="auto"/>
                <w:sz w:val="21"/>
                <w:szCs w:val="21"/>
                <w:lang w:eastAsia="zh-CN"/>
              </w:rPr>
              <w:t>：</w:t>
            </w:r>
            <w:r>
              <w:rPr>
                <w:rFonts w:hint="default" w:ascii="Times New Roman" w:hAnsi="Times New Roman" w:eastAsia="宋体" w:cs="Times New Roman"/>
                <w:color w:val="auto"/>
                <w:sz w:val="21"/>
                <w:szCs w:val="21"/>
                <w:lang w:eastAsia="zh-CN"/>
              </w:rPr>
              <w:t>昼间≤70dB：夜间≤55dB：</w:t>
            </w:r>
          </w:p>
          <w:p w14:paraId="0644C4C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C4-C6、C9-C11：昼间≤60dB：夜间≤50dB。</w:t>
            </w:r>
          </w:p>
        </w:tc>
      </w:tr>
      <w:tr w14:paraId="46E8D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82" w:type="pct"/>
            <w:gridSpan w:val="2"/>
            <w:tcBorders>
              <w:tl2br w:val="nil"/>
              <w:tr2bl w:val="nil"/>
            </w:tcBorders>
            <w:noWrap w:val="0"/>
            <w:vAlign w:val="center"/>
          </w:tcPr>
          <w:p w14:paraId="5FE7244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评价依据</w:t>
            </w:r>
          </w:p>
        </w:tc>
        <w:tc>
          <w:tcPr>
            <w:tcW w:w="3717" w:type="pct"/>
            <w:gridSpan w:val="9"/>
            <w:tcBorders>
              <w:tl2br w:val="nil"/>
              <w:tr2bl w:val="nil"/>
            </w:tcBorders>
            <w:noWrap w:val="0"/>
            <w:vAlign w:val="center"/>
          </w:tcPr>
          <w:p w14:paraId="56D4481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0"/>
                <w:w w:val="100"/>
                <w:kern w:val="2"/>
                <w:sz w:val="21"/>
                <w:szCs w:val="21"/>
                <w:lang w:val="en-US" w:eastAsia="zh-CN" w:bidi="ar-SA"/>
              </w:rPr>
              <w:t>《声环境质量标准》（GB 3096-2008）中2类</w:t>
            </w:r>
            <w:r>
              <w:rPr>
                <w:rFonts w:hint="eastAsia" w:eastAsia="宋体" w:cs="Times New Roman"/>
                <w:color w:val="auto"/>
                <w:spacing w:val="0"/>
                <w:w w:val="100"/>
                <w:kern w:val="2"/>
                <w:sz w:val="21"/>
                <w:szCs w:val="21"/>
                <w:lang w:val="en-US" w:eastAsia="zh-CN" w:bidi="ar-SA"/>
              </w:rPr>
              <w:t>、4a类</w:t>
            </w:r>
            <w:r>
              <w:rPr>
                <w:rFonts w:hint="default" w:ascii="Times New Roman" w:hAnsi="Times New Roman" w:eastAsia="宋体" w:cs="Times New Roman"/>
                <w:color w:val="auto"/>
                <w:spacing w:val="0"/>
                <w:w w:val="100"/>
                <w:kern w:val="2"/>
                <w:sz w:val="21"/>
                <w:szCs w:val="21"/>
                <w:lang w:val="en-US" w:eastAsia="zh-CN" w:bidi="ar-SA"/>
              </w:rPr>
              <w:t>标准。</w:t>
            </w:r>
          </w:p>
        </w:tc>
      </w:tr>
      <w:tr w14:paraId="4468FB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82" w:type="pct"/>
            <w:gridSpan w:val="2"/>
            <w:tcBorders>
              <w:tl2br w:val="nil"/>
              <w:tr2bl w:val="nil"/>
            </w:tcBorders>
            <w:noWrap w:val="0"/>
            <w:vAlign w:val="center"/>
          </w:tcPr>
          <w:p w14:paraId="142E933E">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kern w:val="0"/>
                <w:sz w:val="21"/>
                <w:szCs w:val="21"/>
                <w:highlight w:val="none"/>
                <w:lang w:val="en-US" w:eastAsia="zh-CN"/>
              </w:rPr>
              <w:t>检测结论</w:t>
            </w:r>
          </w:p>
        </w:tc>
        <w:tc>
          <w:tcPr>
            <w:tcW w:w="3717" w:type="pct"/>
            <w:gridSpan w:val="9"/>
            <w:tcBorders>
              <w:tl2br w:val="nil"/>
              <w:tr2bl w:val="nil"/>
            </w:tcBorders>
            <w:noWrap w:val="0"/>
            <w:vAlign w:val="center"/>
          </w:tcPr>
          <w:p w14:paraId="76B403AA">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本次检测，噪声检测点C2、C3、C8处昼间、夜间检测</w:t>
            </w:r>
          </w:p>
          <w:p w14:paraId="3695B87D">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结果均满足《声环境质量标准》（GB3096-2008）4a类标准要求，C7处昼间检测结果满足《声环境质量标准》（GB3096-2008）4a类标准要求，C7处夜间检测结果不满足《声环境质量标准》（GB3096-2008）4a类标准要求，C4-C6、C9-C11处昼间、夜间检测结果均满足《声环境质量标准》（GB 3096-2008）2类标准要求。</w:t>
            </w:r>
          </w:p>
        </w:tc>
      </w:tr>
      <w:tr w14:paraId="53D183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82" w:type="pct"/>
            <w:gridSpan w:val="2"/>
            <w:tcBorders>
              <w:tl2br w:val="nil"/>
              <w:tr2bl w:val="nil"/>
            </w:tcBorders>
            <w:noWrap w:val="0"/>
            <w:vAlign w:val="center"/>
          </w:tcPr>
          <w:p w14:paraId="6576A5C4">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备注</w:t>
            </w:r>
          </w:p>
        </w:tc>
        <w:tc>
          <w:tcPr>
            <w:tcW w:w="3717" w:type="pct"/>
            <w:gridSpan w:val="9"/>
            <w:tcBorders>
              <w:tl2br w:val="nil"/>
              <w:tr2bl w:val="nil"/>
            </w:tcBorders>
            <w:noWrap w:val="0"/>
            <w:vAlign w:val="center"/>
          </w:tcPr>
          <w:p w14:paraId="38E46C45">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检测路段名称：S47渝广高速。</w:t>
            </w:r>
          </w:p>
        </w:tc>
      </w:tr>
    </w:tbl>
    <w:p w14:paraId="189FE03E">
      <w:pPr>
        <w:pStyle w:val="24"/>
        <w:ind w:firstLine="480"/>
        <w:rPr>
          <w:color w:val="auto"/>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6AACF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5ACA505F">
            <w:pPr>
              <w:pStyle w:val="24"/>
              <w:ind w:left="0" w:leftChars="0" w:firstLine="0" w:firstLineChars="0"/>
              <w:jc w:val="center"/>
              <w:rPr>
                <w:rFonts w:hint="default" w:ascii="Times New Roman" w:hAnsi="Times New Roman" w:cs="Times New Roman"/>
                <w:color w:val="auto"/>
                <w:szCs w:val="24"/>
                <w:vertAlign w:val="baseline"/>
                <w:lang w:eastAsia="zh-CN"/>
              </w:rPr>
            </w:pPr>
            <w:r>
              <w:rPr>
                <w:rFonts w:hint="default" w:ascii="Times New Roman" w:hAnsi="Times New Roman" w:cs="Times New Roman"/>
                <w:color w:val="auto"/>
                <w:szCs w:val="24"/>
                <w:vertAlign w:val="baseline"/>
                <w:lang w:eastAsia="zh-CN"/>
              </w:rPr>
              <w:drawing>
                <wp:inline distT="0" distB="0" distL="114300" distR="114300">
                  <wp:extent cx="5272405" cy="3227705"/>
                  <wp:effectExtent l="0" t="0" r="4445" b="10795"/>
                  <wp:docPr id="23" name="图片 23" descr="衰减规律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衰减规律图1"/>
                          <pic:cNvPicPr>
                            <a:picLocks noChangeAspect="1"/>
                          </pic:cNvPicPr>
                        </pic:nvPicPr>
                        <pic:blipFill>
                          <a:blip r:embed="rId62"/>
                          <a:stretch>
                            <a:fillRect/>
                          </a:stretch>
                        </pic:blipFill>
                        <pic:spPr>
                          <a:xfrm>
                            <a:off x="0" y="0"/>
                            <a:ext cx="5272405" cy="3227705"/>
                          </a:xfrm>
                          <a:prstGeom prst="rect">
                            <a:avLst/>
                          </a:prstGeom>
                        </pic:spPr>
                      </pic:pic>
                    </a:graphicData>
                  </a:graphic>
                </wp:inline>
              </w:drawing>
            </w:r>
          </w:p>
        </w:tc>
      </w:tr>
      <w:tr w14:paraId="10819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A731A48">
            <w:pPr>
              <w:pStyle w:val="9"/>
              <w:rPr>
                <w:rFonts w:hint="default" w:ascii="Times New Roman" w:hAnsi="Times New Roman" w:cs="Times New Roman"/>
                <w:color w:val="auto"/>
                <w:szCs w:val="24"/>
                <w:vertAlign w:val="baseline"/>
                <w:lang w:eastAsia="zh-CN"/>
              </w:rPr>
            </w:pPr>
            <w:bookmarkStart w:id="150" w:name="_Ref141885107"/>
            <w:r>
              <w:rPr>
                <w:rFonts w:hint="default" w:eastAsia="宋体" w:cs="Times New Roman"/>
                <w:color w:val="auto"/>
                <w:lang w:val="en-US" w:eastAsia="zh-CN"/>
              </w:rPr>
              <w:t>图</w:t>
            </w:r>
            <w:r>
              <w:rPr>
                <w:rFonts w:hint="default" w:eastAsia="宋体" w:cs="Times New Roman"/>
                <w:color w:val="auto"/>
                <w:lang w:val="en-US" w:eastAsia="zh-CN"/>
              </w:rPr>
              <w:fldChar w:fldCharType="begin"/>
            </w:r>
            <w:r>
              <w:rPr>
                <w:rFonts w:hint="default" w:eastAsia="宋体" w:cs="Times New Roman"/>
                <w:color w:val="auto"/>
                <w:lang w:val="en-US" w:eastAsia="zh-CN"/>
              </w:rPr>
              <w:instrText xml:space="preserve"> STYLEREF 2 \s </w:instrText>
            </w:r>
            <w:r>
              <w:rPr>
                <w:rFonts w:hint="default" w:eastAsia="宋体" w:cs="Times New Roman"/>
                <w:color w:val="auto"/>
                <w:lang w:val="en-US" w:eastAsia="zh-CN"/>
              </w:rPr>
              <w:fldChar w:fldCharType="separate"/>
            </w:r>
            <w:r>
              <w:rPr>
                <w:rFonts w:hint="default" w:eastAsia="宋体" w:cs="Times New Roman"/>
                <w:color w:val="auto"/>
                <w:lang w:val="en-US" w:eastAsia="zh-CN"/>
              </w:rPr>
              <w:t>6.3</w:t>
            </w:r>
            <w:r>
              <w:rPr>
                <w:rFonts w:hint="default" w:eastAsia="宋体" w:cs="Times New Roman"/>
                <w:color w:val="auto"/>
                <w:lang w:val="en-US" w:eastAsia="zh-CN"/>
              </w:rPr>
              <w:fldChar w:fldCharType="end"/>
            </w:r>
            <w:r>
              <w:rPr>
                <w:rFonts w:hint="default" w:eastAsia="宋体" w:cs="Times New Roman"/>
                <w:color w:val="auto"/>
                <w:lang w:val="en-US" w:eastAsia="zh-CN"/>
              </w:rPr>
              <w:noBreakHyphen/>
            </w:r>
            <w:r>
              <w:rPr>
                <w:rFonts w:hint="default" w:eastAsia="宋体" w:cs="Times New Roman"/>
                <w:color w:val="auto"/>
                <w:lang w:val="en-US" w:eastAsia="zh-CN"/>
              </w:rPr>
              <w:fldChar w:fldCharType="begin"/>
            </w:r>
            <w:r>
              <w:rPr>
                <w:rFonts w:hint="default" w:eastAsia="宋体" w:cs="Times New Roman"/>
                <w:color w:val="auto"/>
                <w:lang w:val="en-US" w:eastAsia="zh-CN"/>
              </w:rPr>
              <w:instrText xml:space="preserve"> SEQ 图 \* ARABIC \s 2 </w:instrText>
            </w:r>
            <w:r>
              <w:rPr>
                <w:rFonts w:hint="default" w:eastAsia="宋体" w:cs="Times New Roman"/>
                <w:color w:val="auto"/>
                <w:lang w:val="en-US" w:eastAsia="zh-CN"/>
              </w:rPr>
              <w:fldChar w:fldCharType="separate"/>
            </w:r>
            <w:r>
              <w:rPr>
                <w:rFonts w:hint="default" w:eastAsia="宋体" w:cs="Times New Roman"/>
                <w:color w:val="auto"/>
                <w:lang w:val="en-US" w:eastAsia="zh-CN"/>
              </w:rPr>
              <w:t>3</w:t>
            </w:r>
            <w:r>
              <w:rPr>
                <w:rFonts w:hint="default" w:eastAsia="宋体" w:cs="Times New Roman"/>
                <w:color w:val="auto"/>
                <w:lang w:val="en-US" w:eastAsia="zh-CN"/>
              </w:rPr>
              <w:fldChar w:fldCharType="end"/>
            </w:r>
            <w:bookmarkEnd w:id="150"/>
            <w:r>
              <w:rPr>
                <w:rFonts w:hint="eastAsia" w:eastAsia="宋体" w:cs="Times New Roman"/>
                <w:color w:val="auto"/>
                <w:lang w:val="en-US" w:eastAsia="zh-CN"/>
              </w:rPr>
              <w:t xml:space="preserve"> </w:t>
            </w:r>
            <w:r>
              <w:rPr>
                <w:rFonts w:hint="default" w:ascii="Times New Roman" w:hAnsi="Times New Roman" w:eastAsia="宋体" w:cs="Times New Roman"/>
                <w:color w:val="auto"/>
                <w:kern w:val="0"/>
                <w:sz w:val="21"/>
                <w:szCs w:val="21"/>
                <w:lang w:val="en-US" w:eastAsia="zh-CN"/>
              </w:rPr>
              <w:t>响水村双龙屋基开阔处</w:t>
            </w:r>
            <w:r>
              <w:rPr>
                <w:rFonts w:hint="eastAsia" w:cs="Times New Roman"/>
                <w:color w:val="auto"/>
                <w:lang w:val="en-US" w:eastAsia="zh-CN"/>
              </w:rPr>
              <w:t>衰减规律图</w:t>
            </w:r>
          </w:p>
        </w:tc>
      </w:tr>
      <w:tr w14:paraId="566BB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14DE3C9">
            <w:pPr>
              <w:pStyle w:val="9"/>
              <w:rPr>
                <w:rFonts w:hint="eastAsia"/>
                <w:color w:val="auto"/>
                <w:vertAlign w:val="baseline"/>
                <w:lang w:eastAsia="zh-CN"/>
              </w:rPr>
            </w:pPr>
            <w:r>
              <w:rPr>
                <w:rFonts w:hint="eastAsia"/>
                <w:color w:val="auto"/>
                <w:vertAlign w:val="baseline"/>
                <w:lang w:eastAsia="zh-CN"/>
              </w:rPr>
              <w:drawing>
                <wp:inline distT="0" distB="0" distL="114300" distR="114300">
                  <wp:extent cx="4105275" cy="2995930"/>
                  <wp:effectExtent l="0" t="0" r="9525" b="13970"/>
                  <wp:docPr id="26" name="图片 26" descr="大田村瓦房沟开阔处交通噪声衰减规律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大田村瓦房沟开阔处交通噪声衰减规律图2"/>
                          <pic:cNvPicPr>
                            <a:picLocks noChangeAspect="1"/>
                          </pic:cNvPicPr>
                        </pic:nvPicPr>
                        <pic:blipFill>
                          <a:blip r:embed="rId63"/>
                          <a:stretch>
                            <a:fillRect/>
                          </a:stretch>
                        </pic:blipFill>
                        <pic:spPr>
                          <a:xfrm>
                            <a:off x="0" y="0"/>
                            <a:ext cx="4105275" cy="2995930"/>
                          </a:xfrm>
                          <a:prstGeom prst="rect">
                            <a:avLst/>
                          </a:prstGeom>
                        </pic:spPr>
                      </pic:pic>
                    </a:graphicData>
                  </a:graphic>
                </wp:inline>
              </w:drawing>
            </w:r>
          </w:p>
        </w:tc>
      </w:tr>
      <w:tr w14:paraId="6A678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DAC1F5C">
            <w:pPr>
              <w:pStyle w:val="9"/>
              <w:rPr>
                <w:rFonts w:hint="eastAsia"/>
                <w:color w:val="auto"/>
                <w:vertAlign w:val="baseline"/>
                <w:lang w:eastAsia="zh-CN"/>
              </w:rPr>
            </w:pPr>
            <w:r>
              <w:rPr>
                <w:rFonts w:hint="default" w:ascii="Times New Roman" w:hAnsi="Times New Roman" w:cs="Times New Roman"/>
                <w:color w:val="auto"/>
              </w:rPr>
              <w:t>图</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eastAsia" w:cs="Times New Roman"/>
                <w:color w:val="auto"/>
                <w:lang w:val="en-US" w:eastAsia="zh-CN"/>
              </w:rPr>
              <w:t xml:space="preserve">4 </w:t>
            </w:r>
            <w:r>
              <w:rPr>
                <w:rFonts w:hint="default" w:ascii="Times New Roman" w:hAnsi="Times New Roman" w:eastAsia="宋体" w:cs="Times New Roman"/>
                <w:color w:val="auto"/>
                <w:kern w:val="0"/>
                <w:sz w:val="21"/>
                <w:szCs w:val="21"/>
                <w:lang w:val="en-US" w:eastAsia="zh-CN"/>
              </w:rPr>
              <w:t>大田村瓦房沟开阔处</w:t>
            </w:r>
            <w:r>
              <w:rPr>
                <w:rFonts w:hint="eastAsia" w:cs="Times New Roman"/>
                <w:color w:val="auto"/>
                <w:lang w:val="en-US" w:eastAsia="zh-CN"/>
              </w:rPr>
              <w:t>衰减规律图</w:t>
            </w:r>
          </w:p>
        </w:tc>
      </w:tr>
    </w:tbl>
    <w:p w14:paraId="1C4E4C53">
      <w:pPr>
        <w:rPr>
          <w:rFonts w:hint="eastAsia"/>
          <w:color w:val="auto"/>
          <w:lang w:eastAsia="zh-CN"/>
        </w:rPr>
      </w:pPr>
    </w:p>
    <w:p w14:paraId="35C8974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）监测结果分析</w:t>
      </w:r>
    </w:p>
    <w:p w14:paraId="5167B08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①随着空间距离增大，噪声值衰减比较明显。检测点C2、C3、C8处昼间、夜间检测结果均满足《声环境质量标准》（GB3096-2008）4a类标准要求，C7处昼间检测结果满足《声环境质量标准》（GB3096-2008）4a类标准要求，C7处夜间检测结果不满足《声环境质量标准》（GB3096-2008）4a类标准要求，C4-C6、C9-C11处昼间、夜间检测结果均满足《声环境质量标准》（GB 3096-2008）2类标准要求。</w:t>
      </w:r>
    </w:p>
    <w:p w14:paraId="6C3BE01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②从监测统计结果可以看出，断面监测符合噪声随距离增大而逐渐衰减的原理。</w:t>
      </w:r>
    </w:p>
    <w:p w14:paraId="3E0EBCB5">
      <w:pPr>
        <w:pStyle w:val="24"/>
        <w:ind w:firstLine="480"/>
        <w:rPr>
          <w:rFonts w:hint="default" w:ascii="Times New Roman" w:hAnsi="Times New Roman" w:cs="Times New Roman"/>
          <w:color w:val="auto"/>
          <w:szCs w:val="24"/>
        </w:rPr>
      </w:pPr>
      <w:r>
        <w:rPr>
          <w:rFonts w:hint="eastAsia" w:cs="Times New Roman"/>
          <w:color w:val="auto"/>
          <w:szCs w:val="24"/>
          <w:lang w:val="en-US" w:eastAsia="zh-CN"/>
        </w:rPr>
        <w:t>③</w:t>
      </w:r>
      <w:r>
        <w:rPr>
          <w:rFonts w:hint="default" w:ascii="Times New Roman" w:hAnsi="Times New Roman" w:cs="Times New Roman"/>
          <w:color w:val="auto"/>
          <w:szCs w:val="24"/>
        </w:rPr>
        <w:t>噪声值与车流量具有较好的一致性，车流量较大时，噪声值也较大。</w:t>
      </w:r>
    </w:p>
    <w:p w14:paraId="274C8FD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3、24小时连续监测结果及分析</w:t>
      </w:r>
    </w:p>
    <w:p w14:paraId="18A7D2E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监测结果</w:t>
      </w:r>
    </w:p>
    <w:p w14:paraId="09170C1B">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24小时连续噪声监测结果见下表。</w:t>
      </w:r>
    </w:p>
    <w:p w14:paraId="786007F7">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7</w:t>
      </w:r>
      <w:r>
        <w:rPr>
          <w:rFonts w:hint="default" w:ascii="Times New Roman" w:hAnsi="Times New Roman" w:cs="Times New Roman"/>
          <w:color w:val="auto"/>
        </w:rPr>
        <w:fldChar w:fldCharType="end"/>
      </w:r>
      <w:r>
        <w:rPr>
          <w:rFonts w:hint="eastAsia" w:cs="Times New Roman"/>
          <w:color w:val="auto"/>
          <w:lang w:val="en-US" w:eastAsia="zh-CN"/>
        </w:rPr>
        <w:t xml:space="preserve">  </w:t>
      </w:r>
      <w:r>
        <w:rPr>
          <w:rFonts w:hint="default" w:ascii="Times New Roman" w:hAnsi="Times New Roman" w:cs="Times New Roman"/>
          <w:color w:val="auto"/>
        </w:rPr>
        <w:t>24小时连续噪声监测结果表</w:t>
      </w:r>
    </w:p>
    <w:tbl>
      <w:tblPr>
        <w:tblStyle w:val="20"/>
        <w:tblW w:w="513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178"/>
        <w:gridCol w:w="705"/>
        <w:gridCol w:w="705"/>
        <w:gridCol w:w="716"/>
        <w:gridCol w:w="854"/>
        <w:gridCol w:w="727"/>
        <w:gridCol w:w="661"/>
        <w:gridCol w:w="627"/>
        <w:gridCol w:w="837"/>
        <w:gridCol w:w="736"/>
      </w:tblGrid>
      <w:tr w14:paraId="5E46F9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restart"/>
            <w:tcBorders>
              <w:tl2br w:val="nil"/>
              <w:tr2bl w:val="nil"/>
            </w:tcBorders>
            <w:noWrap w:val="0"/>
            <w:vAlign w:val="center"/>
          </w:tcPr>
          <w:p w14:paraId="4309F7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w:t>
            </w:r>
          </w:p>
          <w:p w14:paraId="5AC4A13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时间</w:t>
            </w:r>
          </w:p>
        </w:tc>
        <w:tc>
          <w:tcPr>
            <w:tcW w:w="673" w:type="pct"/>
            <w:vMerge w:val="restart"/>
            <w:tcBorders>
              <w:tl2br w:val="nil"/>
              <w:tr2bl w:val="nil"/>
            </w:tcBorders>
            <w:noWrap w:val="0"/>
            <w:vAlign w:val="center"/>
          </w:tcPr>
          <w:p w14:paraId="40E20FA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采样位置及编号</w:t>
            </w:r>
          </w:p>
        </w:tc>
        <w:tc>
          <w:tcPr>
            <w:tcW w:w="805" w:type="pct"/>
            <w:gridSpan w:val="2"/>
            <w:tcBorders>
              <w:tl2br w:val="nil"/>
              <w:tr2bl w:val="nil"/>
            </w:tcBorders>
            <w:noWrap w:val="0"/>
            <w:vAlign w:val="center"/>
          </w:tcPr>
          <w:p w14:paraId="05EA40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240E84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97" w:type="pct"/>
            <w:gridSpan w:val="2"/>
            <w:tcBorders>
              <w:tl2br w:val="nil"/>
              <w:tr2bl w:val="nil"/>
            </w:tcBorders>
            <w:noWrap w:val="0"/>
            <w:vAlign w:val="center"/>
          </w:tcPr>
          <w:p w14:paraId="5F9E527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3C914CE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793" w:type="pct"/>
            <w:gridSpan w:val="2"/>
            <w:tcBorders>
              <w:tl2br w:val="nil"/>
              <w:tr2bl w:val="nil"/>
            </w:tcBorders>
            <w:noWrap w:val="0"/>
            <w:vAlign w:val="center"/>
          </w:tcPr>
          <w:p w14:paraId="69D65AB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2E1BFDA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36" w:type="pct"/>
            <w:gridSpan w:val="2"/>
            <w:tcBorders>
              <w:tl2br w:val="nil"/>
              <w:tr2bl w:val="nil"/>
            </w:tcBorders>
            <w:noWrap w:val="0"/>
            <w:vAlign w:val="center"/>
          </w:tcPr>
          <w:p w14:paraId="56D7F7F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4B3306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420" w:type="pct"/>
            <w:vMerge w:val="restart"/>
            <w:tcBorders>
              <w:tl2br w:val="nil"/>
              <w:tr2bl w:val="nil"/>
            </w:tcBorders>
            <w:noWrap w:val="0"/>
            <w:vAlign w:val="center"/>
          </w:tcPr>
          <w:p w14:paraId="215A9E7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主要</w:t>
            </w:r>
          </w:p>
          <w:p w14:paraId="714062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color w:val="auto"/>
                <w:w w:val="100"/>
                <w:kern w:val="0"/>
                <w:sz w:val="21"/>
                <w:szCs w:val="21"/>
              </w:rPr>
              <w:t>声源</w:t>
            </w:r>
          </w:p>
        </w:tc>
      </w:tr>
      <w:tr w14:paraId="1DD52A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continue"/>
            <w:tcBorders>
              <w:tl2br w:val="nil"/>
              <w:tr2bl w:val="nil"/>
            </w:tcBorders>
            <w:noWrap w:val="0"/>
            <w:vAlign w:val="center"/>
          </w:tcPr>
          <w:p w14:paraId="043770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673" w:type="pct"/>
            <w:vMerge w:val="continue"/>
            <w:tcBorders>
              <w:tl2br w:val="nil"/>
              <w:tr2bl w:val="nil"/>
            </w:tcBorders>
            <w:noWrap w:val="0"/>
            <w:vAlign w:val="center"/>
          </w:tcPr>
          <w:p w14:paraId="6E87979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402" w:type="pct"/>
            <w:tcBorders>
              <w:tl2br w:val="nil"/>
              <w:tr2bl w:val="nil"/>
            </w:tcBorders>
            <w:noWrap w:val="0"/>
            <w:vAlign w:val="center"/>
          </w:tcPr>
          <w:p w14:paraId="3FDC5001">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昼间</w:t>
            </w:r>
            <w:r>
              <w:rPr>
                <w:rFonts w:hint="default" w:ascii="Times New Roman" w:hAnsi="Times New Roman" w:eastAsia="宋体" w:cs="Times New Roman"/>
                <w:b/>
                <w:color w:val="auto"/>
                <w:w w:val="100"/>
                <w:kern w:val="0"/>
                <w:sz w:val="21"/>
                <w:szCs w:val="21"/>
              </w:rPr>
              <w:t>等效声级</w:t>
            </w:r>
          </w:p>
        </w:tc>
        <w:tc>
          <w:tcPr>
            <w:tcW w:w="402" w:type="pct"/>
            <w:tcBorders>
              <w:tl2br w:val="nil"/>
              <w:tr2bl w:val="nil"/>
            </w:tcBorders>
            <w:noWrap w:val="0"/>
            <w:vAlign w:val="center"/>
          </w:tcPr>
          <w:p w14:paraId="47B84C58">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409" w:type="pct"/>
            <w:tcBorders>
              <w:tl2br w:val="nil"/>
              <w:tr2bl w:val="nil"/>
            </w:tcBorders>
            <w:noWrap w:val="0"/>
            <w:vAlign w:val="center"/>
          </w:tcPr>
          <w:p w14:paraId="3B471C73">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大型车</w:t>
            </w:r>
          </w:p>
        </w:tc>
        <w:tc>
          <w:tcPr>
            <w:tcW w:w="487" w:type="pct"/>
            <w:tcBorders>
              <w:tl2br w:val="nil"/>
              <w:tr2bl w:val="nil"/>
            </w:tcBorders>
            <w:noWrap w:val="0"/>
            <w:vAlign w:val="center"/>
          </w:tcPr>
          <w:p w14:paraId="5C3F864A">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中小型车</w:t>
            </w:r>
          </w:p>
        </w:tc>
        <w:tc>
          <w:tcPr>
            <w:tcW w:w="415" w:type="pct"/>
            <w:tcBorders>
              <w:tl2br w:val="nil"/>
              <w:tr2bl w:val="nil"/>
            </w:tcBorders>
            <w:noWrap w:val="0"/>
            <w:vAlign w:val="center"/>
          </w:tcPr>
          <w:p w14:paraId="3B7F90BE">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夜间</w:t>
            </w:r>
            <w:r>
              <w:rPr>
                <w:rFonts w:hint="default" w:ascii="Times New Roman" w:hAnsi="Times New Roman" w:eastAsia="宋体" w:cs="Times New Roman"/>
                <w:b/>
                <w:color w:val="auto"/>
                <w:w w:val="100"/>
                <w:kern w:val="0"/>
                <w:sz w:val="21"/>
                <w:szCs w:val="21"/>
              </w:rPr>
              <w:t>等效声级</w:t>
            </w:r>
          </w:p>
        </w:tc>
        <w:tc>
          <w:tcPr>
            <w:tcW w:w="377" w:type="pct"/>
            <w:tcBorders>
              <w:tl2br w:val="nil"/>
              <w:tr2bl w:val="nil"/>
            </w:tcBorders>
            <w:noWrap w:val="0"/>
            <w:vAlign w:val="center"/>
          </w:tcPr>
          <w:p w14:paraId="36438C84">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358" w:type="pct"/>
            <w:tcBorders>
              <w:tl2br w:val="nil"/>
              <w:tr2bl w:val="nil"/>
            </w:tcBorders>
            <w:noWrap w:val="0"/>
            <w:vAlign w:val="center"/>
          </w:tcPr>
          <w:p w14:paraId="4E267347">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大型车</w:t>
            </w:r>
          </w:p>
        </w:tc>
        <w:tc>
          <w:tcPr>
            <w:tcW w:w="478" w:type="pct"/>
            <w:tcBorders>
              <w:tl2br w:val="nil"/>
              <w:tr2bl w:val="nil"/>
            </w:tcBorders>
            <w:noWrap w:val="0"/>
            <w:vAlign w:val="center"/>
          </w:tcPr>
          <w:p w14:paraId="0F8A6E00">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中小型车</w:t>
            </w:r>
          </w:p>
        </w:tc>
        <w:tc>
          <w:tcPr>
            <w:tcW w:w="420" w:type="pct"/>
            <w:vMerge w:val="continue"/>
            <w:tcBorders>
              <w:tl2br w:val="nil"/>
              <w:tr2bl w:val="nil"/>
            </w:tcBorders>
            <w:noWrap w:val="0"/>
            <w:vAlign w:val="center"/>
          </w:tcPr>
          <w:p w14:paraId="41CDB4DC">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lang w:eastAsia="zh-CN"/>
              </w:rPr>
            </w:pPr>
          </w:p>
        </w:tc>
      </w:tr>
      <w:tr w14:paraId="7059D7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6EC45BB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22</w:t>
            </w:r>
          </w:p>
        </w:tc>
        <w:tc>
          <w:tcPr>
            <w:tcW w:w="673" w:type="pct"/>
            <w:vMerge w:val="restart"/>
            <w:tcBorders>
              <w:tl2br w:val="nil"/>
              <w:tr2bl w:val="nil"/>
            </w:tcBorders>
            <w:noWrap w:val="0"/>
            <w:vAlign w:val="center"/>
          </w:tcPr>
          <w:p w14:paraId="26E54AD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桂花村官山梁子（C1）</w:t>
            </w:r>
          </w:p>
        </w:tc>
        <w:tc>
          <w:tcPr>
            <w:tcW w:w="402" w:type="pct"/>
            <w:tcBorders>
              <w:tl2br w:val="nil"/>
              <w:tr2bl w:val="nil"/>
            </w:tcBorders>
            <w:noWrap w:val="0"/>
            <w:vAlign w:val="center"/>
          </w:tcPr>
          <w:p w14:paraId="077F5D2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02" w:type="pct"/>
            <w:tcBorders>
              <w:tl2br w:val="nil"/>
              <w:tr2bl w:val="nil"/>
            </w:tcBorders>
            <w:noWrap w:val="0"/>
            <w:vAlign w:val="center"/>
          </w:tcPr>
          <w:p w14:paraId="3663AE0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09" w:type="pct"/>
            <w:tcBorders>
              <w:tl2br w:val="nil"/>
              <w:tr2bl w:val="nil"/>
            </w:tcBorders>
            <w:noWrap w:val="0"/>
            <w:vAlign w:val="center"/>
          </w:tcPr>
          <w:p w14:paraId="1AF248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w:t>
            </w:r>
          </w:p>
        </w:tc>
        <w:tc>
          <w:tcPr>
            <w:tcW w:w="487" w:type="pct"/>
            <w:tcBorders>
              <w:tl2br w:val="nil"/>
              <w:tr2bl w:val="nil"/>
            </w:tcBorders>
            <w:noWrap w:val="0"/>
            <w:vAlign w:val="center"/>
          </w:tcPr>
          <w:p w14:paraId="6D47FE0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312</w:t>
            </w:r>
          </w:p>
        </w:tc>
        <w:tc>
          <w:tcPr>
            <w:tcW w:w="415" w:type="pct"/>
            <w:tcBorders>
              <w:tl2br w:val="nil"/>
              <w:tr2bl w:val="nil"/>
            </w:tcBorders>
            <w:noWrap w:val="0"/>
            <w:vAlign w:val="center"/>
          </w:tcPr>
          <w:p w14:paraId="2B2DBD7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70F7ED2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76F6A05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40EBCDC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restart"/>
            <w:tcBorders>
              <w:tl2br w:val="nil"/>
              <w:tr2bl w:val="nil"/>
            </w:tcBorders>
            <w:noWrap w:val="0"/>
            <w:vAlign w:val="center"/>
          </w:tcPr>
          <w:p w14:paraId="37DFDEF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交通</w:t>
            </w:r>
          </w:p>
          <w:p w14:paraId="7D7E20E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噪声</w:t>
            </w:r>
          </w:p>
        </w:tc>
      </w:tr>
      <w:tr w14:paraId="13FFE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A6FB1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6C6FAB9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36990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18B0319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0F3DBD1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w:t>
            </w:r>
          </w:p>
        </w:tc>
        <w:tc>
          <w:tcPr>
            <w:tcW w:w="487" w:type="pct"/>
            <w:tcBorders>
              <w:tl2br w:val="nil"/>
              <w:tr2bl w:val="nil"/>
            </w:tcBorders>
            <w:noWrap w:val="0"/>
            <w:vAlign w:val="center"/>
          </w:tcPr>
          <w:p w14:paraId="09E6890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342</w:t>
            </w:r>
          </w:p>
        </w:tc>
        <w:tc>
          <w:tcPr>
            <w:tcW w:w="415" w:type="pct"/>
            <w:tcBorders>
              <w:tl2br w:val="nil"/>
              <w:tr2bl w:val="nil"/>
            </w:tcBorders>
            <w:noWrap w:val="0"/>
            <w:vAlign w:val="center"/>
          </w:tcPr>
          <w:p w14:paraId="6DB5CA8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7003C44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5060250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25A749B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74C8022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7B56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5C2EBD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552751C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0EF92C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02" w:type="pct"/>
            <w:tcBorders>
              <w:tl2br w:val="nil"/>
              <w:tr2bl w:val="nil"/>
            </w:tcBorders>
            <w:noWrap w:val="0"/>
            <w:vAlign w:val="center"/>
          </w:tcPr>
          <w:p w14:paraId="165529B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09" w:type="pct"/>
            <w:tcBorders>
              <w:tl2br w:val="nil"/>
              <w:tr2bl w:val="nil"/>
            </w:tcBorders>
            <w:noWrap w:val="0"/>
            <w:vAlign w:val="center"/>
          </w:tcPr>
          <w:p w14:paraId="0E0BBA2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487" w:type="pct"/>
            <w:tcBorders>
              <w:tl2br w:val="nil"/>
              <w:tr2bl w:val="nil"/>
            </w:tcBorders>
            <w:noWrap w:val="0"/>
            <w:vAlign w:val="center"/>
          </w:tcPr>
          <w:p w14:paraId="3BB88C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303</w:t>
            </w:r>
          </w:p>
        </w:tc>
        <w:tc>
          <w:tcPr>
            <w:tcW w:w="415" w:type="pct"/>
            <w:tcBorders>
              <w:tl2br w:val="nil"/>
              <w:tr2bl w:val="nil"/>
            </w:tcBorders>
            <w:noWrap w:val="0"/>
            <w:vAlign w:val="center"/>
          </w:tcPr>
          <w:p w14:paraId="7E2862B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10E2B57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4169D18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312D882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78C1D49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4850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05610B6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3DCF7F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E1414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02" w:type="pct"/>
            <w:tcBorders>
              <w:tl2br w:val="nil"/>
              <w:tr2bl w:val="nil"/>
            </w:tcBorders>
            <w:noWrap w:val="0"/>
            <w:vAlign w:val="center"/>
          </w:tcPr>
          <w:p w14:paraId="062920F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51</w:t>
            </w:r>
          </w:p>
        </w:tc>
        <w:tc>
          <w:tcPr>
            <w:tcW w:w="409" w:type="pct"/>
            <w:tcBorders>
              <w:tl2br w:val="nil"/>
              <w:tr2bl w:val="nil"/>
            </w:tcBorders>
            <w:noWrap w:val="0"/>
            <w:vAlign w:val="center"/>
          </w:tcPr>
          <w:p w14:paraId="76983A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487" w:type="pct"/>
            <w:tcBorders>
              <w:tl2br w:val="nil"/>
              <w:tr2bl w:val="nil"/>
            </w:tcBorders>
            <w:noWrap w:val="0"/>
            <w:vAlign w:val="center"/>
          </w:tcPr>
          <w:p w14:paraId="57FD2B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327</w:t>
            </w:r>
          </w:p>
        </w:tc>
        <w:tc>
          <w:tcPr>
            <w:tcW w:w="415" w:type="pct"/>
            <w:tcBorders>
              <w:tl2br w:val="nil"/>
              <w:tr2bl w:val="nil"/>
            </w:tcBorders>
            <w:noWrap w:val="0"/>
            <w:vAlign w:val="center"/>
          </w:tcPr>
          <w:p w14:paraId="244AC4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4744920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03BF744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7F3F9C6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43FBFA4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EF137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6FEF89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CEDDAA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BB6EF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402" w:type="pct"/>
            <w:tcBorders>
              <w:tl2br w:val="nil"/>
              <w:tr2bl w:val="nil"/>
            </w:tcBorders>
            <w:noWrap w:val="0"/>
            <w:vAlign w:val="center"/>
          </w:tcPr>
          <w:p w14:paraId="7BD1F9E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409" w:type="pct"/>
            <w:tcBorders>
              <w:tl2br w:val="nil"/>
              <w:tr2bl w:val="nil"/>
            </w:tcBorders>
            <w:noWrap w:val="0"/>
            <w:vAlign w:val="center"/>
          </w:tcPr>
          <w:p w14:paraId="5B6E00E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w:t>
            </w:r>
          </w:p>
        </w:tc>
        <w:tc>
          <w:tcPr>
            <w:tcW w:w="487" w:type="pct"/>
            <w:tcBorders>
              <w:tl2br w:val="nil"/>
              <w:tr2bl w:val="nil"/>
            </w:tcBorders>
            <w:noWrap w:val="0"/>
            <w:vAlign w:val="center"/>
          </w:tcPr>
          <w:p w14:paraId="199284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276</w:t>
            </w:r>
          </w:p>
        </w:tc>
        <w:tc>
          <w:tcPr>
            <w:tcW w:w="415" w:type="pct"/>
            <w:tcBorders>
              <w:tl2br w:val="nil"/>
              <w:tr2bl w:val="nil"/>
            </w:tcBorders>
            <w:noWrap w:val="0"/>
            <w:vAlign w:val="center"/>
          </w:tcPr>
          <w:p w14:paraId="194BEBE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074354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632C205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739DC63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1A5E8E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D494B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328106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5C9C20A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A44300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02" w:type="pct"/>
            <w:tcBorders>
              <w:tl2br w:val="nil"/>
              <w:tr2bl w:val="nil"/>
            </w:tcBorders>
            <w:noWrap w:val="0"/>
            <w:vAlign w:val="center"/>
          </w:tcPr>
          <w:p w14:paraId="21751A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50</w:t>
            </w:r>
          </w:p>
        </w:tc>
        <w:tc>
          <w:tcPr>
            <w:tcW w:w="409" w:type="pct"/>
            <w:tcBorders>
              <w:tl2br w:val="nil"/>
              <w:tr2bl w:val="nil"/>
            </w:tcBorders>
            <w:noWrap w:val="0"/>
            <w:vAlign w:val="center"/>
          </w:tcPr>
          <w:p w14:paraId="6E619F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5F1F3F9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120</w:t>
            </w:r>
          </w:p>
        </w:tc>
        <w:tc>
          <w:tcPr>
            <w:tcW w:w="415" w:type="pct"/>
            <w:tcBorders>
              <w:tl2br w:val="nil"/>
              <w:tr2bl w:val="nil"/>
            </w:tcBorders>
            <w:noWrap w:val="0"/>
            <w:vAlign w:val="center"/>
          </w:tcPr>
          <w:p w14:paraId="20FED6D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2C44DC3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1805852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24433DC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4075DA9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D9AC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2559C0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FDF0FA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90D919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402" w:type="pct"/>
            <w:tcBorders>
              <w:tl2br w:val="nil"/>
              <w:tr2bl w:val="nil"/>
            </w:tcBorders>
            <w:noWrap w:val="0"/>
            <w:vAlign w:val="center"/>
          </w:tcPr>
          <w:p w14:paraId="072948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49</w:t>
            </w:r>
          </w:p>
        </w:tc>
        <w:tc>
          <w:tcPr>
            <w:tcW w:w="409" w:type="pct"/>
            <w:tcBorders>
              <w:tl2br w:val="nil"/>
              <w:tr2bl w:val="nil"/>
            </w:tcBorders>
            <w:noWrap w:val="0"/>
            <w:vAlign w:val="center"/>
          </w:tcPr>
          <w:p w14:paraId="1CAAC3B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3313F71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108</w:t>
            </w:r>
          </w:p>
        </w:tc>
        <w:tc>
          <w:tcPr>
            <w:tcW w:w="415" w:type="pct"/>
            <w:tcBorders>
              <w:tl2br w:val="nil"/>
              <w:tr2bl w:val="nil"/>
            </w:tcBorders>
            <w:noWrap w:val="0"/>
            <w:vAlign w:val="center"/>
          </w:tcPr>
          <w:p w14:paraId="26DFC3F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059C86F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668F6CC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140175C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44CE98B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7452C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A56186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710898E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0BF6AEC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402" w:type="pct"/>
            <w:tcBorders>
              <w:tl2br w:val="nil"/>
              <w:tr2bl w:val="nil"/>
            </w:tcBorders>
            <w:noWrap w:val="0"/>
            <w:vAlign w:val="center"/>
          </w:tcPr>
          <w:p w14:paraId="1503D26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409" w:type="pct"/>
            <w:tcBorders>
              <w:tl2br w:val="nil"/>
              <w:tr2bl w:val="nil"/>
            </w:tcBorders>
            <w:noWrap w:val="0"/>
            <w:vAlign w:val="center"/>
          </w:tcPr>
          <w:p w14:paraId="28D1EE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510158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54</w:t>
            </w:r>
          </w:p>
        </w:tc>
        <w:tc>
          <w:tcPr>
            <w:tcW w:w="415" w:type="pct"/>
            <w:tcBorders>
              <w:tl2br w:val="nil"/>
              <w:tr2bl w:val="nil"/>
            </w:tcBorders>
            <w:noWrap w:val="0"/>
            <w:vAlign w:val="center"/>
          </w:tcPr>
          <w:p w14:paraId="144668D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2660BA6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074509A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70D9BB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505CCF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4548A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0DCB1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596AEA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9B78F6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1EE6026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6142D6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021F9C3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0732F2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77" w:type="pct"/>
            <w:tcBorders>
              <w:tl2br w:val="nil"/>
              <w:tr2bl w:val="nil"/>
            </w:tcBorders>
            <w:noWrap w:val="0"/>
            <w:vAlign w:val="center"/>
          </w:tcPr>
          <w:p w14:paraId="77389CC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48</w:t>
            </w:r>
          </w:p>
        </w:tc>
        <w:tc>
          <w:tcPr>
            <w:tcW w:w="358" w:type="pct"/>
            <w:tcBorders>
              <w:tl2br w:val="nil"/>
              <w:tr2bl w:val="nil"/>
            </w:tcBorders>
            <w:noWrap w:val="0"/>
            <w:vAlign w:val="center"/>
          </w:tcPr>
          <w:p w14:paraId="6E56FF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w:t>
            </w:r>
          </w:p>
        </w:tc>
        <w:tc>
          <w:tcPr>
            <w:tcW w:w="478" w:type="pct"/>
            <w:tcBorders>
              <w:tl2br w:val="nil"/>
              <w:tr2bl w:val="nil"/>
            </w:tcBorders>
            <w:noWrap w:val="0"/>
            <w:vAlign w:val="center"/>
          </w:tcPr>
          <w:p w14:paraId="7371411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420" w:type="pct"/>
            <w:vMerge w:val="continue"/>
            <w:tcBorders>
              <w:tl2br w:val="nil"/>
              <w:tr2bl w:val="nil"/>
            </w:tcBorders>
            <w:noWrap w:val="0"/>
            <w:vAlign w:val="center"/>
          </w:tcPr>
          <w:p w14:paraId="6958E50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A050B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99A122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5B2E16B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792D364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785D595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75B1D2D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0CC456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14CC8A4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377" w:type="pct"/>
            <w:tcBorders>
              <w:tl2br w:val="nil"/>
              <w:tr2bl w:val="nil"/>
            </w:tcBorders>
            <w:noWrap w:val="0"/>
            <w:vAlign w:val="center"/>
          </w:tcPr>
          <w:p w14:paraId="51D971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46</w:t>
            </w:r>
          </w:p>
        </w:tc>
        <w:tc>
          <w:tcPr>
            <w:tcW w:w="358" w:type="pct"/>
            <w:tcBorders>
              <w:tl2br w:val="nil"/>
              <w:tr2bl w:val="nil"/>
            </w:tcBorders>
            <w:noWrap w:val="0"/>
            <w:vAlign w:val="center"/>
          </w:tcPr>
          <w:p w14:paraId="251DDBD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9</w:t>
            </w:r>
          </w:p>
        </w:tc>
        <w:tc>
          <w:tcPr>
            <w:tcW w:w="478" w:type="pct"/>
            <w:tcBorders>
              <w:tl2br w:val="nil"/>
              <w:tr2bl w:val="nil"/>
            </w:tcBorders>
            <w:noWrap w:val="0"/>
            <w:vAlign w:val="center"/>
          </w:tcPr>
          <w:p w14:paraId="0AFD905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420" w:type="pct"/>
            <w:vMerge w:val="continue"/>
            <w:tcBorders>
              <w:tl2br w:val="nil"/>
              <w:tr2bl w:val="nil"/>
            </w:tcBorders>
            <w:noWrap w:val="0"/>
            <w:vAlign w:val="center"/>
          </w:tcPr>
          <w:p w14:paraId="50B120F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88C3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98C11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33EBA00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3D7C4F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6A6802B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27109C3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762F8BB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612ED4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43</w:t>
            </w:r>
          </w:p>
        </w:tc>
        <w:tc>
          <w:tcPr>
            <w:tcW w:w="377" w:type="pct"/>
            <w:tcBorders>
              <w:tl2br w:val="nil"/>
              <w:tr2bl w:val="nil"/>
            </w:tcBorders>
            <w:noWrap w:val="0"/>
            <w:vAlign w:val="center"/>
          </w:tcPr>
          <w:p w14:paraId="191132E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43</w:t>
            </w:r>
          </w:p>
        </w:tc>
        <w:tc>
          <w:tcPr>
            <w:tcW w:w="358" w:type="pct"/>
            <w:tcBorders>
              <w:tl2br w:val="nil"/>
              <w:tr2bl w:val="nil"/>
            </w:tcBorders>
            <w:noWrap w:val="0"/>
            <w:vAlign w:val="center"/>
          </w:tcPr>
          <w:p w14:paraId="3A5C2ED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9</w:t>
            </w:r>
          </w:p>
        </w:tc>
        <w:tc>
          <w:tcPr>
            <w:tcW w:w="478" w:type="pct"/>
            <w:tcBorders>
              <w:tl2br w:val="nil"/>
              <w:tr2bl w:val="nil"/>
            </w:tcBorders>
            <w:noWrap w:val="0"/>
            <w:vAlign w:val="center"/>
          </w:tcPr>
          <w:p w14:paraId="56891A8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w:t>
            </w:r>
          </w:p>
        </w:tc>
        <w:tc>
          <w:tcPr>
            <w:tcW w:w="420" w:type="pct"/>
            <w:vMerge w:val="continue"/>
            <w:tcBorders>
              <w:tl2br w:val="nil"/>
              <w:tr2bl w:val="nil"/>
            </w:tcBorders>
            <w:noWrap w:val="0"/>
            <w:vAlign w:val="center"/>
          </w:tcPr>
          <w:p w14:paraId="56689C9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D286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6162732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1BEAA6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D2DAF6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278CB9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6167769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5081949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47B93BC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77" w:type="pct"/>
            <w:tcBorders>
              <w:tl2br w:val="nil"/>
              <w:tr2bl w:val="nil"/>
            </w:tcBorders>
            <w:noWrap w:val="0"/>
            <w:vAlign w:val="center"/>
          </w:tcPr>
          <w:p w14:paraId="7CBF44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58" w:type="pct"/>
            <w:tcBorders>
              <w:tl2br w:val="nil"/>
              <w:tr2bl w:val="nil"/>
            </w:tcBorders>
            <w:noWrap w:val="0"/>
            <w:vAlign w:val="center"/>
          </w:tcPr>
          <w:p w14:paraId="0C544C0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51DBFB6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w:t>
            </w:r>
          </w:p>
        </w:tc>
        <w:tc>
          <w:tcPr>
            <w:tcW w:w="420" w:type="pct"/>
            <w:vMerge w:val="continue"/>
            <w:tcBorders>
              <w:tl2br w:val="nil"/>
              <w:tr2bl w:val="nil"/>
            </w:tcBorders>
            <w:noWrap w:val="0"/>
            <w:vAlign w:val="center"/>
          </w:tcPr>
          <w:p w14:paraId="3477DC7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429C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4157CE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D9FBCA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B033A6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7C84F0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3A1E760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2D85B12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092C5BB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77" w:type="pct"/>
            <w:tcBorders>
              <w:tl2br w:val="nil"/>
              <w:tr2bl w:val="nil"/>
            </w:tcBorders>
            <w:noWrap w:val="0"/>
            <w:vAlign w:val="center"/>
          </w:tcPr>
          <w:p w14:paraId="783A3C0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44</w:t>
            </w:r>
          </w:p>
        </w:tc>
        <w:tc>
          <w:tcPr>
            <w:tcW w:w="358" w:type="pct"/>
            <w:tcBorders>
              <w:tl2br w:val="nil"/>
              <w:tr2bl w:val="nil"/>
            </w:tcBorders>
            <w:noWrap w:val="0"/>
            <w:vAlign w:val="center"/>
          </w:tcPr>
          <w:p w14:paraId="4EF9AA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75A2D4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w:t>
            </w:r>
          </w:p>
        </w:tc>
        <w:tc>
          <w:tcPr>
            <w:tcW w:w="420" w:type="pct"/>
            <w:vMerge w:val="continue"/>
            <w:tcBorders>
              <w:tl2br w:val="nil"/>
              <w:tr2bl w:val="nil"/>
            </w:tcBorders>
            <w:noWrap w:val="0"/>
            <w:vAlign w:val="center"/>
          </w:tcPr>
          <w:p w14:paraId="5998C7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705D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39949C0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0B0BBF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1C8388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533DDBD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69AA86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111E284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15CB83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377" w:type="pct"/>
            <w:tcBorders>
              <w:tl2br w:val="nil"/>
              <w:tr2bl w:val="nil"/>
            </w:tcBorders>
            <w:noWrap w:val="0"/>
            <w:vAlign w:val="center"/>
          </w:tcPr>
          <w:p w14:paraId="41EF107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358" w:type="pct"/>
            <w:tcBorders>
              <w:tl2br w:val="nil"/>
              <w:tr2bl w:val="nil"/>
            </w:tcBorders>
            <w:noWrap w:val="0"/>
            <w:vAlign w:val="center"/>
          </w:tcPr>
          <w:p w14:paraId="7E90922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12</w:t>
            </w:r>
          </w:p>
        </w:tc>
        <w:tc>
          <w:tcPr>
            <w:tcW w:w="478" w:type="pct"/>
            <w:tcBorders>
              <w:tl2br w:val="nil"/>
              <w:tr2bl w:val="nil"/>
            </w:tcBorders>
            <w:noWrap w:val="0"/>
            <w:vAlign w:val="center"/>
          </w:tcPr>
          <w:p w14:paraId="2E3BBA8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72</w:t>
            </w:r>
          </w:p>
        </w:tc>
        <w:tc>
          <w:tcPr>
            <w:tcW w:w="420" w:type="pct"/>
            <w:vMerge w:val="restart"/>
            <w:tcBorders>
              <w:tl2br w:val="nil"/>
              <w:tr2bl w:val="nil"/>
            </w:tcBorders>
            <w:noWrap w:val="0"/>
            <w:vAlign w:val="center"/>
          </w:tcPr>
          <w:p w14:paraId="6EBF131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交通</w:t>
            </w:r>
          </w:p>
          <w:p w14:paraId="0ED7A8B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lang w:val="en-US" w:eastAsia="zh-CN"/>
              </w:rPr>
              <w:t>噪声</w:t>
            </w:r>
          </w:p>
        </w:tc>
      </w:tr>
      <w:tr w14:paraId="6F529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262E2C1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69D264A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5388A0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69DD0C6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6313245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202105B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6780BA9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40</w:t>
            </w:r>
          </w:p>
        </w:tc>
        <w:tc>
          <w:tcPr>
            <w:tcW w:w="377" w:type="pct"/>
            <w:tcBorders>
              <w:tl2br w:val="nil"/>
              <w:tr2bl w:val="nil"/>
            </w:tcBorders>
            <w:noWrap w:val="0"/>
            <w:vAlign w:val="center"/>
          </w:tcPr>
          <w:p w14:paraId="64E2AAB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40</w:t>
            </w:r>
          </w:p>
        </w:tc>
        <w:tc>
          <w:tcPr>
            <w:tcW w:w="358" w:type="pct"/>
            <w:tcBorders>
              <w:tl2br w:val="nil"/>
              <w:tr2bl w:val="nil"/>
            </w:tcBorders>
            <w:noWrap w:val="0"/>
            <w:vAlign w:val="center"/>
          </w:tcPr>
          <w:p w14:paraId="0779CE6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9</w:t>
            </w:r>
          </w:p>
        </w:tc>
        <w:tc>
          <w:tcPr>
            <w:tcW w:w="478" w:type="pct"/>
            <w:tcBorders>
              <w:tl2br w:val="nil"/>
              <w:tr2bl w:val="nil"/>
            </w:tcBorders>
            <w:noWrap w:val="0"/>
            <w:vAlign w:val="center"/>
          </w:tcPr>
          <w:p w14:paraId="0F2E595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42</w:t>
            </w:r>
          </w:p>
        </w:tc>
        <w:tc>
          <w:tcPr>
            <w:tcW w:w="420" w:type="pct"/>
            <w:vMerge w:val="continue"/>
            <w:tcBorders>
              <w:tl2br w:val="nil"/>
              <w:tr2bl w:val="nil"/>
            </w:tcBorders>
            <w:noWrap w:val="0"/>
            <w:vAlign w:val="center"/>
          </w:tcPr>
          <w:p w14:paraId="7B3FF17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A0A69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6ADDB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3A5B5D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EC6907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459967F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7550D93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1AC234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1BCD7F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77" w:type="pct"/>
            <w:tcBorders>
              <w:tl2br w:val="nil"/>
              <w:tr2bl w:val="nil"/>
            </w:tcBorders>
            <w:noWrap w:val="0"/>
            <w:vAlign w:val="center"/>
          </w:tcPr>
          <w:p w14:paraId="7D250E5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358" w:type="pct"/>
            <w:tcBorders>
              <w:tl2br w:val="nil"/>
              <w:tr2bl w:val="nil"/>
            </w:tcBorders>
            <w:noWrap w:val="0"/>
            <w:vAlign w:val="center"/>
          </w:tcPr>
          <w:p w14:paraId="7D91EBB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15</w:t>
            </w:r>
          </w:p>
        </w:tc>
        <w:tc>
          <w:tcPr>
            <w:tcW w:w="478" w:type="pct"/>
            <w:tcBorders>
              <w:tl2br w:val="nil"/>
              <w:tr2bl w:val="nil"/>
            </w:tcBorders>
            <w:noWrap w:val="0"/>
            <w:vAlign w:val="center"/>
          </w:tcPr>
          <w:p w14:paraId="3CD74A9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69</w:t>
            </w:r>
          </w:p>
        </w:tc>
        <w:tc>
          <w:tcPr>
            <w:tcW w:w="420" w:type="pct"/>
            <w:vMerge w:val="continue"/>
            <w:tcBorders>
              <w:tl2br w:val="nil"/>
              <w:tr2bl w:val="nil"/>
            </w:tcBorders>
            <w:noWrap w:val="0"/>
            <w:vAlign w:val="center"/>
          </w:tcPr>
          <w:p w14:paraId="17EE9F3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9E492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94FAA7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817211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461C5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2" w:type="pct"/>
            <w:tcBorders>
              <w:tl2br w:val="nil"/>
              <w:tr2bl w:val="nil"/>
            </w:tcBorders>
            <w:noWrap w:val="0"/>
            <w:vAlign w:val="center"/>
          </w:tcPr>
          <w:p w14:paraId="69212DC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09" w:type="pct"/>
            <w:tcBorders>
              <w:tl2br w:val="nil"/>
              <w:tr2bl w:val="nil"/>
            </w:tcBorders>
            <w:noWrap w:val="0"/>
            <w:vAlign w:val="center"/>
          </w:tcPr>
          <w:p w14:paraId="20B5BCD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87" w:type="pct"/>
            <w:tcBorders>
              <w:tl2br w:val="nil"/>
              <w:tr2bl w:val="nil"/>
            </w:tcBorders>
            <w:noWrap w:val="0"/>
            <w:vAlign w:val="center"/>
          </w:tcPr>
          <w:p w14:paraId="53EC949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15" w:type="pct"/>
            <w:tcBorders>
              <w:tl2br w:val="nil"/>
              <w:tr2bl w:val="nil"/>
            </w:tcBorders>
            <w:noWrap w:val="0"/>
            <w:vAlign w:val="center"/>
          </w:tcPr>
          <w:p w14:paraId="0BABE92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41</w:t>
            </w:r>
          </w:p>
        </w:tc>
        <w:tc>
          <w:tcPr>
            <w:tcW w:w="377" w:type="pct"/>
            <w:tcBorders>
              <w:tl2br w:val="nil"/>
              <w:tr2bl w:val="nil"/>
            </w:tcBorders>
            <w:noWrap w:val="0"/>
            <w:vAlign w:val="center"/>
          </w:tcPr>
          <w:p w14:paraId="4DED13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41</w:t>
            </w:r>
          </w:p>
        </w:tc>
        <w:tc>
          <w:tcPr>
            <w:tcW w:w="358" w:type="pct"/>
            <w:tcBorders>
              <w:tl2br w:val="nil"/>
              <w:tr2bl w:val="nil"/>
            </w:tcBorders>
            <w:noWrap w:val="0"/>
            <w:vAlign w:val="center"/>
          </w:tcPr>
          <w:p w14:paraId="635F3B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w:t>
            </w:r>
          </w:p>
        </w:tc>
        <w:tc>
          <w:tcPr>
            <w:tcW w:w="478" w:type="pct"/>
            <w:tcBorders>
              <w:tl2br w:val="nil"/>
              <w:tr2bl w:val="nil"/>
            </w:tcBorders>
            <w:noWrap w:val="0"/>
            <w:vAlign w:val="center"/>
          </w:tcPr>
          <w:p w14:paraId="5597CA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57</w:t>
            </w:r>
          </w:p>
        </w:tc>
        <w:tc>
          <w:tcPr>
            <w:tcW w:w="420" w:type="pct"/>
            <w:vMerge w:val="continue"/>
            <w:tcBorders>
              <w:tl2br w:val="nil"/>
              <w:tr2bl w:val="nil"/>
            </w:tcBorders>
            <w:noWrap w:val="0"/>
            <w:vAlign w:val="center"/>
          </w:tcPr>
          <w:p w14:paraId="2270851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22A5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0A4C06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.2</w:t>
            </w:r>
            <w:r>
              <w:rPr>
                <w:rFonts w:hint="eastAsia" w:ascii="Times New Roman" w:hAnsi="Times New Roman" w:eastAsia="宋体" w:cs="Times New Roman"/>
                <w:color w:val="auto"/>
                <w:spacing w:val="0"/>
                <w:w w:val="100"/>
                <w:kern w:val="2"/>
                <w:sz w:val="21"/>
                <w:szCs w:val="21"/>
                <w:lang w:val="en-US" w:eastAsia="zh-CN" w:bidi="ar-SA"/>
              </w:rPr>
              <w:t>3</w:t>
            </w:r>
          </w:p>
        </w:tc>
        <w:tc>
          <w:tcPr>
            <w:tcW w:w="673" w:type="pct"/>
            <w:vMerge w:val="continue"/>
            <w:tcBorders>
              <w:tl2br w:val="nil"/>
              <w:tr2bl w:val="nil"/>
            </w:tcBorders>
            <w:noWrap w:val="0"/>
            <w:vAlign w:val="center"/>
          </w:tcPr>
          <w:p w14:paraId="7554849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0AACB39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402" w:type="pct"/>
            <w:tcBorders>
              <w:tl2br w:val="nil"/>
              <w:tr2bl w:val="nil"/>
            </w:tcBorders>
            <w:noWrap w:val="0"/>
            <w:vAlign w:val="center"/>
          </w:tcPr>
          <w:p w14:paraId="71BFB5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47</w:t>
            </w:r>
          </w:p>
        </w:tc>
        <w:tc>
          <w:tcPr>
            <w:tcW w:w="409" w:type="pct"/>
            <w:tcBorders>
              <w:tl2br w:val="nil"/>
              <w:tr2bl w:val="nil"/>
            </w:tcBorders>
            <w:noWrap w:val="0"/>
            <w:vAlign w:val="center"/>
          </w:tcPr>
          <w:p w14:paraId="75ABA9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15</w:t>
            </w:r>
          </w:p>
        </w:tc>
        <w:tc>
          <w:tcPr>
            <w:tcW w:w="487" w:type="pct"/>
            <w:tcBorders>
              <w:tl2br w:val="nil"/>
              <w:tr2bl w:val="nil"/>
            </w:tcBorders>
            <w:noWrap w:val="0"/>
            <w:vAlign w:val="center"/>
          </w:tcPr>
          <w:p w14:paraId="568F498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180</w:t>
            </w:r>
          </w:p>
        </w:tc>
        <w:tc>
          <w:tcPr>
            <w:tcW w:w="415" w:type="pct"/>
            <w:tcBorders>
              <w:tl2br w:val="nil"/>
              <w:tr2bl w:val="nil"/>
            </w:tcBorders>
            <w:noWrap w:val="0"/>
            <w:vAlign w:val="center"/>
          </w:tcPr>
          <w:p w14:paraId="3357921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4643A9D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68B5BC8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02AFFC7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5280F2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396E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C93138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D57F9C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21E6FA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0543EC1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0C8752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30</w:t>
            </w:r>
          </w:p>
        </w:tc>
        <w:tc>
          <w:tcPr>
            <w:tcW w:w="487" w:type="pct"/>
            <w:tcBorders>
              <w:tl2br w:val="nil"/>
              <w:tr2bl w:val="nil"/>
            </w:tcBorders>
            <w:noWrap w:val="0"/>
            <w:vAlign w:val="center"/>
          </w:tcPr>
          <w:p w14:paraId="32E402D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330</w:t>
            </w:r>
          </w:p>
        </w:tc>
        <w:tc>
          <w:tcPr>
            <w:tcW w:w="415" w:type="pct"/>
            <w:tcBorders>
              <w:tl2br w:val="nil"/>
              <w:tr2bl w:val="nil"/>
            </w:tcBorders>
            <w:noWrap w:val="0"/>
            <w:vAlign w:val="center"/>
          </w:tcPr>
          <w:p w14:paraId="26093F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7EBE553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2AD7AFC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42C111E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4915D74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B9F37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0706EBC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4566160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50EE50E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02" w:type="pct"/>
            <w:tcBorders>
              <w:tl2br w:val="nil"/>
              <w:tr2bl w:val="nil"/>
            </w:tcBorders>
            <w:noWrap w:val="0"/>
            <w:vAlign w:val="center"/>
          </w:tcPr>
          <w:p w14:paraId="61380BD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52</w:t>
            </w:r>
          </w:p>
        </w:tc>
        <w:tc>
          <w:tcPr>
            <w:tcW w:w="409" w:type="pct"/>
            <w:tcBorders>
              <w:tl2br w:val="nil"/>
              <w:tr2bl w:val="nil"/>
            </w:tcBorders>
            <w:noWrap w:val="0"/>
            <w:vAlign w:val="center"/>
          </w:tcPr>
          <w:p w14:paraId="31C691C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24</w:t>
            </w:r>
          </w:p>
        </w:tc>
        <w:tc>
          <w:tcPr>
            <w:tcW w:w="487" w:type="pct"/>
            <w:tcBorders>
              <w:tl2br w:val="nil"/>
              <w:tr2bl w:val="nil"/>
            </w:tcBorders>
            <w:noWrap w:val="0"/>
            <w:vAlign w:val="center"/>
          </w:tcPr>
          <w:p w14:paraId="0967E27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363</w:t>
            </w:r>
          </w:p>
        </w:tc>
        <w:tc>
          <w:tcPr>
            <w:tcW w:w="415" w:type="pct"/>
            <w:tcBorders>
              <w:tl2br w:val="nil"/>
              <w:tr2bl w:val="nil"/>
            </w:tcBorders>
            <w:noWrap w:val="0"/>
            <w:vAlign w:val="center"/>
          </w:tcPr>
          <w:p w14:paraId="2C07026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41D0398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39113B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3DD8CED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207B6D2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7F4B4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4334CA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134D6E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69A19D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070A61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6B22D5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39</w:t>
            </w:r>
          </w:p>
        </w:tc>
        <w:tc>
          <w:tcPr>
            <w:tcW w:w="487" w:type="pct"/>
            <w:tcBorders>
              <w:tl2br w:val="nil"/>
              <w:tr2bl w:val="nil"/>
            </w:tcBorders>
            <w:noWrap w:val="0"/>
            <w:vAlign w:val="center"/>
          </w:tcPr>
          <w:p w14:paraId="708A456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372</w:t>
            </w:r>
          </w:p>
        </w:tc>
        <w:tc>
          <w:tcPr>
            <w:tcW w:w="415" w:type="pct"/>
            <w:tcBorders>
              <w:tl2br w:val="nil"/>
              <w:tr2bl w:val="nil"/>
            </w:tcBorders>
            <w:noWrap w:val="0"/>
            <w:vAlign w:val="center"/>
          </w:tcPr>
          <w:p w14:paraId="589E55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4FC23DF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7085E7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4534659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230EACC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410A6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72DD048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CCC2CC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31406D6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02" w:type="pct"/>
            <w:tcBorders>
              <w:tl2br w:val="nil"/>
              <w:tr2bl w:val="nil"/>
            </w:tcBorders>
            <w:noWrap w:val="0"/>
            <w:vAlign w:val="center"/>
          </w:tcPr>
          <w:p w14:paraId="5CB20A4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55</w:t>
            </w:r>
          </w:p>
        </w:tc>
        <w:tc>
          <w:tcPr>
            <w:tcW w:w="409" w:type="pct"/>
            <w:tcBorders>
              <w:tl2br w:val="nil"/>
              <w:tr2bl w:val="nil"/>
            </w:tcBorders>
            <w:noWrap w:val="0"/>
            <w:vAlign w:val="center"/>
          </w:tcPr>
          <w:p w14:paraId="2C64994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57</w:t>
            </w:r>
          </w:p>
        </w:tc>
        <w:tc>
          <w:tcPr>
            <w:tcW w:w="487" w:type="pct"/>
            <w:tcBorders>
              <w:tl2br w:val="nil"/>
              <w:tr2bl w:val="nil"/>
            </w:tcBorders>
            <w:noWrap w:val="0"/>
            <w:vAlign w:val="center"/>
          </w:tcPr>
          <w:p w14:paraId="2F2A669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345</w:t>
            </w:r>
          </w:p>
        </w:tc>
        <w:tc>
          <w:tcPr>
            <w:tcW w:w="415" w:type="pct"/>
            <w:tcBorders>
              <w:tl2br w:val="nil"/>
              <w:tr2bl w:val="nil"/>
            </w:tcBorders>
            <w:noWrap w:val="0"/>
            <w:vAlign w:val="center"/>
          </w:tcPr>
          <w:p w14:paraId="15907BE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3B52E06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347D96A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77E3A2E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13C76FD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7481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318926F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B74AC8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13ED346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361CDA6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70F5550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45</w:t>
            </w:r>
          </w:p>
        </w:tc>
        <w:tc>
          <w:tcPr>
            <w:tcW w:w="487" w:type="pct"/>
            <w:tcBorders>
              <w:tl2br w:val="nil"/>
              <w:tr2bl w:val="nil"/>
            </w:tcBorders>
            <w:noWrap w:val="0"/>
            <w:vAlign w:val="center"/>
          </w:tcPr>
          <w:p w14:paraId="433B239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354</w:t>
            </w:r>
          </w:p>
        </w:tc>
        <w:tc>
          <w:tcPr>
            <w:tcW w:w="415" w:type="pct"/>
            <w:tcBorders>
              <w:tl2br w:val="nil"/>
              <w:tr2bl w:val="nil"/>
            </w:tcBorders>
            <w:noWrap w:val="0"/>
            <w:vAlign w:val="center"/>
          </w:tcPr>
          <w:p w14:paraId="2F1D61F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2B79441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2D2669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12C0ECB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5B8E8BD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70090E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6BC547B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3F4ED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402" w:type="pct"/>
            <w:tcBorders>
              <w:tl2br w:val="nil"/>
              <w:tr2bl w:val="nil"/>
            </w:tcBorders>
            <w:noWrap w:val="0"/>
            <w:vAlign w:val="center"/>
          </w:tcPr>
          <w:p w14:paraId="501748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2" w:type="pct"/>
            <w:tcBorders>
              <w:tl2br w:val="nil"/>
              <w:tr2bl w:val="nil"/>
            </w:tcBorders>
            <w:noWrap w:val="0"/>
            <w:vAlign w:val="center"/>
          </w:tcPr>
          <w:p w14:paraId="6864229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53</w:t>
            </w:r>
          </w:p>
        </w:tc>
        <w:tc>
          <w:tcPr>
            <w:tcW w:w="409" w:type="pct"/>
            <w:tcBorders>
              <w:tl2br w:val="nil"/>
              <w:tr2bl w:val="nil"/>
            </w:tcBorders>
            <w:noWrap w:val="0"/>
            <w:vAlign w:val="center"/>
          </w:tcPr>
          <w:p w14:paraId="0A918B2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27</w:t>
            </w:r>
          </w:p>
        </w:tc>
        <w:tc>
          <w:tcPr>
            <w:tcW w:w="487" w:type="pct"/>
            <w:tcBorders>
              <w:tl2br w:val="nil"/>
              <w:tr2bl w:val="nil"/>
            </w:tcBorders>
            <w:noWrap w:val="0"/>
            <w:vAlign w:val="center"/>
          </w:tcPr>
          <w:p w14:paraId="5E23F11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360</w:t>
            </w:r>
          </w:p>
        </w:tc>
        <w:tc>
          <w:tcPr>
            <w:tcW w:w="415" w:type="pct"/>
            <w:tcBorders>
              <w:tl2br w:val="nil"/>
              <w:tr2bl w:val="nil"/>
            </w:tcBorders>
            <w:noWrap w:val="0"/>
            <w:vAlign w:val="center"/>
          </w:tcPr>
          <w:p w14:paraId="3D1121D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77" w:type="pct"/>
            <w:tcBorders>
              <w:tl2br w:val="nil"/>
              <w:tr2bl w:val="nil"/>
            </w:tcBorders>
            <w:noWrap w:val="0"/>
            <w:vAlign w:val="center"/>
          </w:tcPr>
          <w:p w14:paraId="63E3F4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358" w:type="pct"/>
            <w:tcBorders>
              <w:tl2br w:val="nil"/>
              <w:tr2bl w:val="nil"/>
            </w:tcBorders>
            <w:noWrap w:val="0"/>
            <w:vAlign w:val="center"/>
          </w:tcPr>
          <w:p w14:paraId="0C59935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78" w:type="pct"/>
            <w:tcBorders>
              <w:tl2br w:val="nil"/>
              <w:tr2bl w:val="nil"/>
            </w:tcBorders>
            <w:noWrap w:val="0"/>
            <w:vAlign w:val="center"/>
          </w:tcPr>
          <w:p w14:paraId="315B2AD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eastAsia" w:ascii="Times New Roman" w:hAnsi="Times New Roman" w:eastAsia="宋体" w:cs="Times New Roman"/>
                <w:color w:val="auto"/>
                <w:spacing w:val="0"/>
                <w:w w:val="100"/>
                <w:kern w:val="2"/>
                <w:sz w:val="21"/>
                <w:szCs w:val="21"/>
                <w:lang w:val="en-US" w:eastAsia="zh-CN" w:bidi="ar-SA"/>
              </w:rPr>
              <w:t>/</w:t>
            </w:r>
          </w:p>
        </w:tc>
        <w:tc>
          <w:tcPr>
            <w:tcW w:w="420" w:type="pct"/>
            <w:vMerge w:val="continue"/>
            <w:tcBorders>
              <w:tl2br w:val="nil"/>
              <w:tr2bl w:val="nil"/>
            </w:tcBorders>
            <w:noWrap w:val="0"/>
            <w:vAlign w:val="center"/>
          </w:tcPr>
          <w:p w14:paraId="48BD39B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5950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5E90A56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评价标准值</w:t>
            </w:r>
          </w:p>
        </w:tc>
        <w:tc>
          <w:tcPr>
            <w:tcW w:w="3752" w:type="pct"/>
            <w:gridSpan w:val="9"/>
            <w:tcBorders>
              <w:tl2br w:val="nil"/>
              <w:tr2bl w:val="nil"/>
            </w:tcBorders>
            <w:noWrap w:val="0"/>
            <w:vAlign w:val="center"/>
          </w:tcPr>
          <w:p w14:paraId="32B53E4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昼间≤</w:t>
            </w:r>
            <w:r>
              <w:rPr>
                <w:rFonts w:hint="eastAsia" w:eastAsia="宋体" w:cs="Times New Roman"/>
                <w:color w:val="auto"/>
                <w:sz w:val="21"/>
                <w:szCs w:val="21"/>
                <w:lang w:val="en-US" w:eastAsia="zh-CN"/>
              </w:rPr>
              <w:t>7</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lang w:eastAsia="zh-CN"/>
              </w:rPr>
              <w:t>dB；夜间≤</w:t>
            </w:r>
            <w:r>
              <w:rPr>
                <w:rFonts w:hint="default" w:ascii="Times New Roman" w:hAnsi="Times New Roman" w:eastAsia="宋体" w:cs="Times New Roman"/>
                <w:color w:val="auto"/>
                <w:sz w:val="21"/>
                <w:szCs w:val="21"/>
                <w:lang w:val="en-US" w:eastAsia="zh-CN"/>
              </w:rPr>
              <w:t xml:space="preserve"> 5</w:t>
            </w:r>
            <w:r>
              <w:rPr>
                <w:rFonts w:hint="eastAsia"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dB。</w:t>
            </w:r>
          </w:p>
        </w:tc>
      </w:tr>
      <w:tr w14:paraId="30FC3D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7EACBA5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评价依据</w:t>
            </w:r>
          </w:p>
        </w:tc>
        <w:tc>
          <w:tcPr>
            <w:tcW w:w="3752" w:type="pct"/>
            <w:gridSpan w:val="9"/>
            <w:tcBorders>
              <w:tl2br w:val="nil"/>
              <w:tr2bl w:val="nil"/>
            </w:tcBorders>
            <w:noWrap w:val="0"/>
            <w:vAlign w:val="center"/>
          </w:tcPr>
          <w:p w14:paraId="55412D8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0"/>
                <w:w w:val="100"/>
                <w:kern w:val="2"/>
                <w:sz w:val="21"/>
                <w:szCs w:val="21"/>
                <w:lang w:val="en-US" w:eastAsia="zh-CN" w:bidi="ar-SA"/>
              </w:rPr>
              <w:t>《声环境质量标准》（GB 3096-2008）中</w:t>
            </w:r>
            <w:r>
              <w:rPr>
                <w:rFonts w:hint="eastAsia" w:eastAsia="宋体" w:cs="Times New Roman"/>
                <w:color w:val="auto"/>
                <w:spacing w:val="0"/>
                <w:w w:val="100"/>
                <w:kern w:val="2"/>
                <w:sz w:val="21"/>
                <w:szCs w:val="21"/>
                <w:lang w:val="en-US" w:eastAsia="zh-CN" w:bidi="ar-SA"/>
              </w:rPr>
              <w:t>4a</w:t>
            </w:r>
            <w:r>
              <w:rPr>
                <w:rFonts w:hint="default" w:ascii="Times New Roman" w:hAnsi="Times New Roman" w:eastAsia="宋体" w:cs="Times New Roman"/>
                <w:color w:val="auto"/>
                <w:spacing w:val="0"/>
                <w:w w:val="100"/>
                <w:kern w:val="2"/>
                <w:sz w:val="21"/>
                <w:szCs w:val="21"/>
                <w:lang w:val="en-US" w:eastAsia="zh-CN" w:bidi="ar-SA"/>
              </w:rPr>
              <w:t>类标准。</w:t>
            </w:r>
          </w:p>
        </w:tc>
      </w:tr>
      <w:tr w14:paraId="3FED8E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448AF276">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kern w:val="0"/>
                <w:sz w:val="21"/>
                <w:szCs w:val="21"/>
                <w:highlight w:val="none"/>
                <w:lang w:val="en-US" w:eastAsia="zh-CN"/>
              </w:rPr>
              <w:t>检测结论</w:t>
            </w:r>
          </w:p>
        </w:tc>
        <w:tc>
          <w:tcPr>
            <w:tcW w:w="3752" w:type="pct"/>
            <w:gridSpan w:val="9"/>
            <w:tcBorders>
              <w:tl2br w:val="nil"/>
              <w:tr2bl w:val="nil"/>
            </w:tcBorders>
            <w:noWrap w:val="0"/>
            <w:vAlign w:val="center"/>
          </w:tcPr>
          <w:p w14:paraId="5718F462">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本次检测，城市区域环境噪声检测点C1处昼间、夜间检测结果均满足《声环境质量标准》（GB3096-2008）4a类标准要求。</w:t>
            </w:r>
          </w:p>
        </w:tc>
      </w:tr>
      <w:tr w14:paraId="57E416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749AF017">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备注</w:t>
            </w:r>
          </w:p>
        </w:tc>
        <w:tc>
          <w:tcPr>
            <w:tcW w:w="3752" w:type="pct"/>
            <w:gridSpan w:val="9"/>
            <w:tcBorders>
              <w:tl2br w:val="nil"/>
              <w:tr2bl w:val="nil"/>
            </w:tcBorders>
            <w:noWrap w:val="0"/>
            <w:vAlign w:val="center"/>
          </w:tcPr>
          <w:p w14:paraId="7043F358">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检测路段名称：S47渝广高速。</w:t>
            </w:r>
          </w:p>
        </w:tc>
      </w:tr>
    </w:tbl>
    <w:p w14:paraId="28000CAF">
      <w:pPr>
        <w:rPr>
          <w:rFonts w:hint="eastAsia" w:eastAsia="宋体"/>
          <w:color w:val="auto"/>
          <w:lang w:eastAsia="zh-CN"/>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7CF35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2EE38808">
            <w:pPr>
              <w:ind w:left="0" w:leftChars="0" w:firstLine="0" w:firstLineChars="0"/>
              <w:jc w:val="center"/>
              <w:rPr>
                <w:rFonts w:hint="eastAsia" w:ascii="Times New Roman" w:hAnsi="Times New Roman" w:eastAsia="宋体" w:cs="Times New Roman"/>
                <w:color w:val="auto"/>
                <w:szCs w:val="24"/>
                <w:vertAlign w:val="baseline"/>
                <w:lang w:eastAsia="zh-CN"/>
              </w:rPr>
            </w:pPr>
            <w:r>
              <w:rPr>
                <w:color w:val="auto"/>
              </w:rPr>
              <w:drawing>
                <wp:inline distT="0" distB="0" distL="114300" distR="114300">
                  <wp:extent cx="4222750" cy="3081655"/>
                  <wp:effectExtent l="0" t="0" r="6350" b="444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64"/>
                          <a:stretch>
                            <a:fillRect/>
                          </a:stretch>
                        </pic:blipFill>
                        <pic:spPr>
                          <a:xfrm>
                            <a:off x="0" y="0"/>
                            <a:ext cx="4222750" cy="3081655"/>
                          </a:xfrm>
                          <a:prstGeom prst="rect">
                            <a:avLst/>
                          </a:prstGeom>
                          <a:noFill/>
                          <a:ln>
                            <a:noFill/>
                          </a:ln>
                        </pic:spPr>
                      </pic:pic>
                    </a:graphicData>
                  </a:graphic>
                </wp:inline>
              </w:drawing>
            </w:r>
          </w:p>
        </w:tc>
      </w:tr>
    </w:tbl>
    <w:p w14:paraId="1E4961D2">
      <w:pPr>
        <w:pStyle w:val="9"/>
        <w:rPr>
          <w:rFonts w:hint="default" w:ascii="Times New Roman" w:hAnsi="Times New Roman" w:cs="Times New Roman"/>
          <w:color w:val="auto"/>
        </w:rPr>
      </w:pPr>
      <w:r>
        <w:rPr>
          <w:rFonts w:hint="default" w:ascii="Times New Roman" w:hAnsi="Times New Roman" w:cs="Times New Roman"/>
          <w:color w:val="auto"/>
        </w:rPr>
        <w:t>图</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图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rPr>
        <w:fldChar w:fldCharType="end"/>
      </w:r>
      <w:r>
        <w:rPr>
          <w:rFonts w:hint="default" w:ascii="Times New Roman" w:hAnsi="Times New Roman" w:eastAsia="宋体" w:cs="Times New Roman"/>
          <w:color w:val="auto"/>
          <w:kern w:val="0"/>
          <w:sz w:val="21"/>
          <w:szCs w:val="21"/>
        </w:rPr>
        <w:t>桂花村官山梁子</w:t>
      </w:r>
      <w:r>
        <w:rPr>
          <w:rFonts w:hint="default" w:ascii="Times New Roman" w:hAnsi="Times New Roman" w:cs="Times New Roman"/>
          <w:color w:val="auto"/>
        </w:rPr>
        <w:t>24小时噪声值与车流量变化曲线图</w:t>
      </w:r>
    </w:p>
    <w:p w14:paraId="02521F6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（2）监测结果分析</w:t>
      </w:r>
    </w:p>
    <w:p w14:paraId="734D3523">
      <w:pPr>
        <w:pStyle w:val="24"/>
        <w:ind w:firstLine="480"/>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①监测结果基本反映了噪声随车流量的增加而增大。</w:t>
      </w:r>
    </w:p>
    <w:p w14:paraId="1125FEC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②</w:t>
      </w:r>
      <w:r>
        <w:rPr>
          <w:rFonts w:hint="eastAsia" w:cs="Times New Roman"/>
          <w:color w:val="auto"/>
          <w:szCs w:val="24"/>
          <w:lang w:val="en-US" w:eastAsia="zh-CN"/>
        </w:rPr>
        <w:t>昼间噪声值普遍比</w:t>
      </w:r>
      <w:r>
        <w:rPr>
          <w:rFonts w:hint="default" w:ascii="Times New Roman" w:hAnsi="Times New Roman" w:cs="Times New Roman"/>
          <w:color w:val="auto"/>
          <w:szCs w:val="24"/>
        </w:rPr>
        <w:t>夜间更高。</w:t>
      </w:r>
    </w:p>
    <w:p w14:paraId="036B2F7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③</w:t>
      </w:r>
      <w:r>
        <w:rPr>
          <w:rFonts w:hint="default" w:ascii="Times New Roman" w:hAnsi="Times New Roman" w:eastAsia="宋体" w:cs="Times New Roman"/>
          <w:color w:val="auto"/>
          <w:kern w:val="0"/>
          <w:sz w:val="21"/>
          <w:szCs w:val="21"/>
        </w:rPr>
        <w:t>桂花村官山梁子</w:t>
      </w:r>
      <w:r>
        <w:rPr>
          <w:rFonts w:hint="default" w:ascii="Times New Roman" w:hAnsi="Times New Roman" w:cs="Times New Roman"/>
          <w:color w:val="auto"/>
          <w:szCs w:val="24"/>
        </w:rPr>
        <w:t>交通噪声24小时连续监测中出现噪声峰值</w:t>
      </w:r>
      <w:r>
        <w:rPr>
          <w:rFonts w:hint="eastAsia" w:cs="Times New Roman"/>
          <w:color w:val="auto"/>
          <w:szCs w:val="24"/>
          <w:lang w:val="en-US" w:eastAsia="zh-CN"/>
        </w:rPr>
        <w:t>55</w:t>
      </w:r>
      <w:r>
        <w:rPr>
          <w:rFonts w:hint="default" w:ascii="Times New Roman" w:hAnsi="Times New Roman" w:cs="Times New Roman"/>
          <w:color w:val="auto"/>
          <w:szCs w:val="24"/>
        </w:rPr>
        <w:t>B</w:t>
      </w:r>
      <w:r>
        <w:rPr>
          <w:rFonts w:hint="eastAsia" w:cs="Times New Roman"/>
          <w:color w:val="auto"/>
          <w:szCs w:val="24"/>
          <w:lang w:eastAsia="zh-CN"/>
        </w:rPr>
        <w:t>（</w:t>
      </w:r>
      <w:r>
        <w:rPr>
          <w:rFonts w:hint="default" w:ascii="Times New Roman" w:hAnsi="Times New Roman" w:cs="Times New Roman"/>
          <w:color w:val="auto"/>
          <w:szCs w:val="24"/>
        </w:rPr>
        <w:t>A</w:t>
      </w:r>
      <w:r>
        <w:rPr>
          <w:rFonts w:hint="eastAsia" w:cs="Times New Roman"/>
          <w:color w:val="auto"/>
          <w:szCs w:val="24"/>
          <w:lang w:eastAsia="zh-CN"/>
        </w:rPr>
        <w:t>）</w:t>
      </w:r>
      <w:r>
        <w:rPr>
          <w:rFonts w:hint="default" w:ascii="Times New Roman" w:hAnsi="Times New Roman" w:cs="Times New Roman"/>
          <w:color w:val="auto"/>
          <w:szCs w:val="24"/>
        </w:rPr>
        <w:t>，较大噪声值主要集中在0</w:t>
      </w:r>
      <w:r>
        <w:rPr>
          <w:rFonts w:hint="eastAsia" w:cs="Times New Roman"/>
          <w:color w:val="auto"/>
          <w:szCs w:val="24"/>
          <w:lang w:val="en-US" w:eastAsia="zh-CN"/>
        </w:rPr>
        <w:t>6:00</w:t>
      </w:r>
      <w:r>
        <w:rPr>
          <w:rFonts w:hint="default" w:ascii="Times New Roman" w:hAnsi="Times New Roman" w:cs="Times New Roman"/>
          <w:color w:val="auto"/>
          <w:szCs w:val="24"/>
        </w:rPr>
        <w:t>-</w:t>
      </w:r>
      <w:r>
        <w:rPr>
          <w:rFonts w:hint="eastAsia" w:cs="Times New Roman"/>
          <w:color w:val="auto"/>
          <w:szCs w:val="24"/>
          <w:lang w:val="en-US" w:eastAsia="zh-CN"/>
        </w:rPr>
        <w:t>09:00</w:t>
      </w:r>
      <w:r>
        <w:rPr>
          <w:rFonts w:hint="default" w:ascii="Times New Roman" w:hAnsi="Times New Roman" w:cs="Times New Roman"/>
          <w:color w:val="auto"/>
          <w:szCs w:val="24"/>
        </w:rPr>
        <w:t>及</w:t>
      </w:r>
      <w:r>
        <w:rPr>
          <w:rFonts w:hint="eastAsia" w:cs="Times New Roman"/>
          <w:color w:val="auto"/>
          <w:szCs w:val="24"/>
          <w:lang w:val="en-US" w:eastAsia="zh-CN"/>
        </w:rPr>
        <w:t>13:00</w:t>
      </w:r>
      <w:r>
        <w:rPr>
          <w:rFonts w:hint="default" w:ascii="Times New Roman" w:hAnsi="Times New Roman" w:cs="Times New Roman"/>
          <w:color w:val="auto"/>
          <w:szCs w:val="24"/>
        </w:rPr>
        <w:t>-</w:t>
      </w:r>
      <w:r>
        <w:rPr>
          <w:rFonts w:hint="eastAsia" w:cs="Times New Roman"/>
          <w:color w:val="auto"/>
          <w:szCs w:val="24"/>
          <w:lang w:val="en-US" w:eastAsia="zh-CN"/>
        </w:rPr>
        <w:t>18:00</w:t>
      </w:r>
      <w:r>
        <w:rPr>
          <w:rFonts w:hint="default" w:ascii="Times New Roman" w:hAnsi="Times New Roman" w:cs="Times New Roman"/>
          <w:color w:val="auto"/>
          <w:szCs w:val="24"/>
        </w:rPr>
        <w:t>。</w:t>
      </w:r>
    </w:p>
    <w:p w14:paraId="2F8B13F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④</w:t>
      </w:r>
      <w:r>
        <w:rPr>
          <w:rFonts w:hint="default" w:ascii="Times New Roman" w:hAnsi="Times New Roman" w:eastAsia="宋体" w:cs="Times New Roman"/>
          <w:color w:val="auto"/>
          <w:kern w:val="0"/>
          <w:sz w:val="21"/>
          <w:szCs w:val="21"/>
        </w:rPr>
        <w:t>桂花村官山梁子</w:t>
      </w:r>
      <w:r>
        <w:rPr>
          <w:rFonts w:hint="default" w:ascii="Times New Roman" w:hAnsi="Times New Roman" w:cs="Times New Roman"/>
          <w:color w:val="auto"/>
          <w:szCs w:val="24"/>
        </w:rPr>
        <w:t>交通噪声24小时连续监测昼间</w:t>
      </w:r>
      <w:r>
        <w:rPr>
          <w:rFonts w:hint="eastAsia" w:cs="Times New Roman"/>
          <w:color w:val="auto"/>
          <w:szCs w:val="24"/>
          <w:lang w:val="en-US" w:eastAsia="zh-CN"/>
        </w:rPr>
        <w:t>等效Leq为52</w:t>
      </w:r>
      <w:r>
        <w:rPr>
          <w:rFonts w:hint="default" w:ascii="Times New Roman" w:hAnsi="Times New Roman" w:cs="Times New Roman"/>
          <w:color w:val="auto"/>
          <w:szCs w:val="24"/>
        </w:rPr>
        <w:t>dB，夜间</w:t>
      </w:r>
      <w:r>
        <w:rPr>
          <w:rFonts w:hint="eastAsia" w:cs="Times New Roman"/>
          <w:color w:val="auto"/>
          <w:szCs w:val="24"/>
          <w:lang w:val="en-US" w:eastAsia="zh-CN"/>
        </w:rPr>
        <w:t>等效Leq</w:t>
      </w:r>
      <w:r>
        <w:rPr>
          <w:rFonts w:hint="default" w:ascii="Times New Roman" w:hAnsi="Times New Roman" w:cs="Times New Roman"/>
          <w:color w:val="auto"/>
          <w:szCs w:val="24"/>
        </w:rPr>
        <w:t>最噪声值</w:t>
      </w:r>
      <w:r>
        <w:rPr>
          <w:rFonts w:hint="eastAsia" w:cs="Times New Roman"/>
          <w:color w:val="auto"/>
          <w:szCs w:val="24"/>
          <w:lang w:val="en-US" w:eastAsia="zh-CN"/>
        </w:rPr>
        <w:t>48</w:t>
      </w:r>
      <w:r>
        <w:rPr>
          <w:rFonts w:hint="default" w:ascii="Times New Roman" w:hAnsi="Times New Roman" w:cs="Times New Roman"/>
          <w:color w:val="auto"/>
          <w:szCs w:val="24"/>
        </w:rPr>
        <w:t>dB，符合</w:t>
      </w:r>
      <w:r>
        <w:rPr>
          <w:rFonts w:hint="eastAsia" w:cs="Times New Roman"/>
          <w:color w:val="auto"/>
          <w:szCs w:val="24"/>
          <w:lang w:val="en-US" w:eastAsia="zh-CN"/>
        </w:rPr>
        <w:t>4a</w:t>
      </w:r>
      <w:r>
        <w:rPr>
          <w:rFonts w:hint="default" w:ascii="Times New Roman" w:hAnsi="Times New Roman" w:cs="Times New Roman"/>
          <w:color w:val="auto"/>
          <w:szCs w:val="24"/>
        </w:rPr>
        <w:t>类区标准。</w:t>
      </w:r>
    </w:p>
    <w:p w14:paraId="02424475">
      <w:pPr>
        <w:pStyle w:val="24"/>
        <w:ind w:firstLine="480"/>
        <w:rPr>
          <w:rFonts w:hint="default" w:ascii="Times New Roman" w:hAnsi="Times New Roman" w:cs="Times New Roman"/>
          <w:color w:val="auto"/>
          <w:szCs w:val="24"/>
          <w:lang w:eastAsia="zh-CN"/>
        </w:rPr>
      </w:pPr>
      <w:r>
        <w:rPr>
          <w:rFonts w:hint="default" w:ascii="Times New Roman" w:hAnsi="Times New Roman" w:cs="Times New Roman"/>
          <w:color w:val="auto"/>
          <w:szCs w:val="24"/>
          <w:lang w:eastAsia="zh-CN"/>
        </w:rPr>
        <w:t>4、降噪效果分析</w:t>
      </w:r>
    </w:p>
    <w:p w14:paraId="5E534C0F">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（1）降噪监测结果</w:t>
      </w:r>
    </w:p>
    <w:p w14:paraId="5DF8B045">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声屏障降噪效果监测结果见下表。</w:t>
      </w:r>
    </w:p>
    <w:p w14:paraId="1D586D4A">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8</w:t>
      </w:r>
      <w:r>
        <w:rPr>
          <w:rFonts w:hint="default" w:ascii="Times New Roman" w:hAnsi="Times New Roman" w:cs="Times New Roman"/>
          <w:color w:val="auto"/>
        </w:rPr>
        <w:fldChar w:fldCharType="end"/>
      </w:r>
      <w:r>
        <w:rPr>
          <w:rFonts w:hint="default" w:ascii="Times New Roman" w:hAnsi="Times New Roman" w:cs="Times New Roman"/>
          <w:color w:val="auto"/>
        </w:rPr>
        <w:t>声屏障降噪效果监测表</w:t>
      </w:r>
    </w:p>
    <w:tbl>
      <w:tblPr>
        <w:tblStyle w:val="20"/>
        <w:tblW w:w="513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178"/>
        <w:gridCol w:w="705"/>
        <w:gridCol w:w="705"/>
        <w:gridCol w:w="324"/>
        <w:gridCol w:w="392"/>
        <w:gridCol w:w="854"/>
        <w:gridCol w:w="727"/>
        <w:gridCol w:w="661"/>
        <w:gridCol w:w="627"/>
        <w:gridCol w:w="837"/>
        <w:gridCol w:w="736"/>
      </w:tblGrid>
      <w:tr w14:paraId="25E0C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restart"/>
            <w:tcBorders>
              <w:tl2br w:val="nil"/>
              <w:tr2bl w:val="nil"/>
            </w:tcBorders>
            <w:noWrap w:val="0"/>
            <w:vAlign w:val="center"/>
          </w:tcPr>
          <w:p w14:paraId="7D22AE9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w:t>
            </w:r>
          </w:p>
          <w:p w14:paraId="498CCDE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时间</w:t>
            </w:r>
          </w:p>
        </w:tc>
        <w:tc>
          <w:tcPr>
            <w:tcW w:w="673" w:type="pct"/>
            <w:vMerge w:val="restart"/>
            <w:tcBorders>
              <w:tl2br w:val="nil"/>
              <w:tr2bl w:val="nil"/>
            </w:tcBorders>
            <w:noWrap w:val="0"/>
            <w:vAlign w:val="center"/>
          </w:tcPr>
          <w:p w14:paraId="07FEDA4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采样位置及编号</w:t>
            </w:r>
          </w:p>
        </w:tc>
        <w:tc>
          <w:tcPr>
            <w:tcW w:w="990" w:type="pct"/>
            <w:gridSpan w:val="3"/>
            <w:tcBorders>
              <w:tl2br w:val="nil"/>
              <w:tr2bl w:val="nil"/>
            </w:tcBorders>
            <w:noWrap w:val="0"/>
            <w:vAlign w:val="center"/>
          </w:tcPr>
          <w:p w14:paraId="2F69381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0429752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711" w:type="pct"/>
            <w:gridSpan w:val="2"/>
            <w:tcBorders>
              <w:tl2br w:val="nil"/>
              <w:tr2bl w:val="nil"/>
            </w:tcBorders>
            <w:noWrap w:val="0"/>
            <w:vAlign w:val="center"/>
          </w:tcPr>
          <w:p w14:paraId="45651B9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6350D8C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793" w:type="pct"/>
            <w:gridSpan w:val="2"/>
            <w:tcBorders>
              <w:tl2br w:val="nil"/>
              <w:tr2bl w:val="nil"/>
            </w:tcBorders>
            <w:noWrap w:val="0"/>
            <w:vAlign w:val="center"/>
          </w:tcPr>
          <w:p w14:paraId="39F514D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检</w:t>
            </w:r>
            <w:r>
              <w:rPr>
                <w:rFonts w:hint="default" w:ascii="Times New Roman" w:hAnsi="Times New Roman" w:eastAsia="宋体" w:cs="Times New Roman"/>
                <w:b/>
                <w:color w:val="auto"/>
                <w:w w:val="100"/>
                <w:kern w:val="0"/>
                <w:sz w:val="21"/>
                <w:szCs w:val="21"/>
              </w:rPr>
              <w:t>测结果</w:t>
            </w:r>
          </w:p>
          <w:p w14:paraId="2BD761B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Leq[dB (A)]</w:t>
            </w:r>
          </w:p>
        </w:tc>
        <w:tc>
          <w:tcPr>
            <w:tcW w:w="836" w:type="pct"/>
            <w:gridSpan w:val="2"/>
            <w:tcBorders>
              <w:tl2br w:val="nil"/>
              <w:tr2bl w:val="nil"/>
            </w:tcBorders>
            <w:noWrap w:val="0"/>
            <w:vAlign w:val="center"/>
          </w:tcPr>
          <w:p w14:paraId="1D36172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平均车流量</w:t>
            </w:r>
          </w:p>
          <w:p w14:paraId="6F6AEAA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（辆</w:t>
            </w:r>
            <w:r>
              <w:rPr>
                <w:rFonts w:hint="default" w:ascii="Times New Roman" w:hAnsi="Times New Roman" w:eastAsia="宋体" w:cs="Times New Roman"/>
                <w:b/>
                <w:color w:val="auto"/>
                <w:w w:val="100"/>
                <w:kern w:val="0"/>
                <w:sz w:val="21"/>
                <w:szCs w:val="21"/>
                <w:lang w:val="en-US" w:eastAsia="zh-CN"/>
              </w:rPr>
              <w:t>/小时）</w:t>
            </w:r>
          </w:p>
        </w:tc>
        <w:tc>
          <w:tcPr>
            <w:tcW w:w="420" w:type="pct"/>
            <w:vMerge w:val="restart"/>
            <w:tcBorders>
              <w:tl2br w:val="nil"/>
              <w:tr2bl w:val="nil"/>
            </w:tcBorders>
            <w:noWrap w:val="0"/>
            <w:vAlign w:val="center"/>
          </w:tcPr>
          <w:p w14:paraId="6FC8834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主要</w:t>
            </w:r>
          </w:p>
          <w:p w14:paraId="34DC1A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color w:val="auto"/>
                <w:w w:val="100"/>
                <w:kern w:val="0"/>
                <w:sz w:val="21"/>
                <w:szCs w:val="21"/>
              </w:rPr>
              <w:t>声源</w:t>
            </w:r>
          </w:p>
        </w:tc>
      </w:tr>
      <w:tr w14:paraId="18B85E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574" w:type="pct"/>
            <w:vMerge w:val="continue"/>
            <w:tcBorders>
              <w:tl2br w:val="nil"/>
              <w:tr2bl w:val="nil"/>
            </w:tcBorders>
            <w:noWrap w:val="0"/>
            <w:vAlign w:val="center"/>
          </w:tcPr>
          <w:p w14:paraId="5A38C4A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673" w:type="pct"/>
            <w:vMerge w:val="continue"/>
            <w:tcBorders>
              <w:tl2br w:val="nil"/>
              <w:tr2bl w:val="nil"/>
            </w:tcBorders>
            <w:noWrap w:val="0"/>
            <w:vAlign w:val="center"/>
          </w:tcPr>
          <w:p w14:paraId="2492FF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b/>
                <w:color w:val="auto"/>
                <w:w w:val="100"/>
                <w:kern w:val="0"/>
                <w:sz w:val="21"/>
                <w:szCs w:val="21"/>
              </w:rPr>
            </w:pPr>
          </w:p>
        </w:tc>
        <w:tc>
          <w:tcPr>
            <w:tcW w:w="402" w:type="pct"/>
            <w:tcBorders>
              <w:tl2br w:val="nil"/>
              <w:tr2bl w:val="nil"/>
            </w:tcBorders>
            <w:noWrap w:val="0"/>
            <w:vAlign w:val="center"/>
          </w:tcPr>
          <w:p w14:paraId="38957C0C">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昼间</w:t>
            </w:r>
            <w:r>
              <w:rPr>
                <w:rFonts w:hint="default" w:ascii="Times New Roman" w:hAnsi="Times New Roman" w:eastAsia="宋体" w:cs="Times New Roman"/>
                <w:b/>
                <w:color w:val="auto"/>
                <w:w w:val="100"/>
                <w:kern w:val="0"/>
                <w:sz w:val="21"/>
                <w:szCs w:val="21"/>
              </w:rPr>
              <w:t>等效声级</w:t>
            </w:r>
          </w:p>
        </w:tc>
        <w:tc>
          <w:tcPr>
            <w:tcW w:w="402" w:type="pct"/>
            <w:tcBorders>
              <w:tl2br w:val="nil"/>
              <w:tr2bl w:val="nil"/>
            </w:tcBorders>
            <w:noWrap w:val="0"/>
            <w:vAlign w:val="center"/>
          </w:tcPr>
          <w:p w14:paraId="1F9F2248">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409" w:type="pct"/>
            <w:gridSpan w:val="2"/>
            <w:tcBorders>
              <w:tl2br w:val="nil"/>
              <w:tr2bl w:val="nil"/>
            </w:tcBorders>
            <w:noWrap w:val="0"/>
            <w:vAlign w:val="center"/>
          </w:tcPr>
          <w:p w14:paraId="4A80BD0A">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大型车</w:t>
            </w:r>
          </w:p>
        </w:tc>
        <w:tc>
          <w:tcPr>
            <w:tcW w:w="487" w:type="pct"/>
            <w:tcBorders>
              <w:tl2br w:val="nil"/>
              <w:tr2bl w:val="nil"/>
            </w:tcBorders>
            <w:noWrap w:val="0"/>
            <w:vAlign w:val="center"/>
          </w:tcPr>
          <w:p w14:paraId="36A1B6CC">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中小型车</w:t>
            </w:r>
          </w:p>
        </w:tc>
        <w:tc>
          <w:tcPr>
            <w:tcW w:w="415" w:type="pct"/>
            <w:tcBorders>
              <w:tl2br w:val="nil"/>
              <w:tr2bl w:val="nil"/>
            </w:tcBorders>
            <w:noWrap w:val="0"/>
            <w:vAlign w:val="center"/>
          </w:tcPr>
          <w:p w14:paraId="02A10840">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lang w:eastAsia="zh-CN"/>
              </w:rPr>
              <w:t>夜间</w:t>
            </w:r>
            <w:r>
              <w:rPr>
                <w:rFonts w:hint="default" w:ascii="Times New Roman" w:hAnsi="Times New Roman" w:eastAsia="宋体" w:cs="Times New Roman"/>
                <w:b/>
                <w:color w:val="auto"/>
                <w:w w:val="100"/>
                <w:kern w:val="0"/>
                <w:sz w:val="21"/>
                <w:szCs w:val="21"/>
              </w:rPr>
              <w:t>等效声级</w:t>
            </w:r>
          </w:p>
        </w:tc>
        <w:tc>
          <w:tcPr>
            <w:tcW w:w="377" w:type="pct"/>
            <w:tcBorders>
              <w:tl2br w:val="nil"/>
              <w:tr2bl w:val="nil"/>
            </w:tcBorders>
            <w:noWrap w:val="0"/>
            <w:vAlign w:val="center"/>
          </w:tcPr>
          <w:p w14:paraId="3FDCBC4D">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rPr>
            </w:pPr>
            <w:r>
              <w:rPr>
                <w:rFonts w:hint="default" w:ascii="Times New Roman" w:hAnsi="Times New Roman" w:eastAsia="宋体" w:cs="Times New Roman"/>
                <w:b/>
                <w:color w:val="auto"/>
                <w:w w:val="100"/>
                <w:kern w:val="0"/>
                <w:sz w:val="21"/>
                <w:szCs w:val="21"/>
              </w:rPr>
              <w:t>结果</w:t>
            </w:r>
          </w:p>
        </w:tc>
        <w:tc>
          <w:tcPr>
            <w:tcW w:w="358" w:type="pct"/>
            <w:tcBorders>
              <w:tl2br w:val="nil"/>
              <w:tr2bl w:val="nil"/>
            </w:tcBorders>
            <w:noWrap w:val="0"/>
            <w:vAlign w:val="center"/>
          </w:tcPr>
          <w:p w14:paraId="0D7C0B97">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大型车</w:t>
            </w:r>
          </w:p>
        </w:tc>
        <w:tc>
          <w:tcPr>
            <w:tcW w:w="478" w:type="pct"/>
            <w:tcBorders>
              <w:tl2br w:val="nil"/>
              <w:tr2bl w:val="nil"/>
            </w:tcBorders>
            <w:noWrap w:val="0"/>
            <w:vAlign w:val="center"/>
          </w:tcPr>
          <w:p w14:paraId="2703BD9B">
            <w:pPr>
              <w:pStyle w:val="39"/>
              <w:keepNext w:val="0"/>
              <w:keepLines w:val="0"/>
              <w:pageBreakBefore w:val="0"/>
              <w:widowControl w:val="0"/>
              <w:kinsoku/>
              <w:wordWrap/>
              <w:overflowPunct/>
              <w:topLinePunct w:val="0"/>
              <w:autoSpaceDE/>
              <w:autoSpaceDN/>
              <w:bidi w:val="0"/>
              <w:adjustRightInd w:val="0"/>
              <w:snapToGrid w:val="0"/>
              <w:ind w:left="-120" w:leftChars="-50" w:right="-120" w:rightChars="-50" w:firstLine="0" w:firstLineChars="0"/>
              <w:textAlignment w:val="auto"/>
              <w:rPr>
                <w:rFonts w:hint="default" w:ascii="Times New Roman" w:hAnsi="Times New Roman" w:eastAsia="宋体" w:cs="Times New Roman"/>
                <w:b/>
                <w:color w:val="auto"/>
                <w:w w:val="100"/>
                <w:kern w:val="0"/>
                <w:sz w:val="21"/>
                <w:szCs w:val="21"/>
                <w:lang w:eastAsia="zh-CN"/>
              </w:rPr>
            </w:pPr>
            <w:r>
              <w:rPr>
                <w:rFonts w:hint="default" w:ascii="Times New Roman" w:hAnsi="Times New Roman" w:eastAsia="宋体" w:cs="Times New Roman"/>
                <w:b/>
                <w:color w:val="auto"/>
                <w:w w:val="100"/>
                <w:kern w:val="0"/>
                <w:sz w:val="21"/>
                <w:szCs w:val="21"/>
                <w:lang w:eastAsia="zh-CN"/>
              </w:rPr>
              <w:t>中小型车</w:t>
            </w:r>
          </w:p>
        </w:tc>
        <w:tc>
          <w:tcPr>
            <w:tcW w:w="420" w:type="pct"/>
            <w:vMerge w:val="continue"/>
            <w:tcBorders>
              <w:tl2br w:val="nil"/>
              <w:tr2bl w:val="nil"/>
            </w:tcBorders>
            <w:noWrap w:val="0"/>
            <w:vAlign w:val="center"/>
          </w:tcPr>
          <w:p w14:paraId="2002002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lang w:eastAsia="zh-CN"/>
              </w:rPr>
            </w:pPr>
          </w:p>
        </w:tc>
      </w:tr>
      <w:tr w14:paraId="426D2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4" w:type="pct"/>
            <w:vMerge w:val="restart"/>
            <w:tcBorders>
              <w:tl2br w:val="nil"/>
              <w:tr2bl w:val="nil"/>
            </w:tcBorders>
            <w:noWrap w:val="0"/>
            <w:vAlign w:val="center"/>
          </w:tcPr>
          <w:p w14:paraId="4CCC53A4">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033CD5D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斑竹村卢家院子（K77+000）声屏障后10m（C12）</w:t>
            </w:r>
          </w:p>
        </w:tc>
        <w:tc>
          <w:tcPr>
            <w:tcW w:w="402" w:type="pct"/>
            <w:tcBorders>
              <w:tl2br w:val="nil"/>
              <w:tr2bl w:val="nil"/>
            </w:tcBorders>
            <w:noWrap w:val="0"/>
            <w:vAlign w:val="center"/>
          </w:tcPr>
          <w:p w14:paraId="18FCE51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402" w:type="pct"/>
            <w:tcBorders>
              <w:tl2br w:val="nil"/>
              <w:tr2bl w:val="nil"/>
            </w:tcBorders>
            <w:noWrap w:val="0"/>
            <w:vAlign w:val="center"/>
          </w:tcPr>
          <w:p w14:paraId="06E3F93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409" w:type="pct"/>
            <w:gridSpan w:val="2"/>
            <w:tcBorders>
              <w:tl2br w:val="nil"/>
              <w:tr2bl w:val="nil"/>
            </w:tcBorders>
            <w:noWrap w:val="0"/>
            <w:vAlign w:val="center"/>
          </w:tcPr>
          <w:p w14:paraId="4090D2A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554018B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710E317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77" w:type="pct"/>
            <w:tcBorders>
              <w:tl2br w:val="nil"/>
              <w:tr2bl w:val="nil"/>
            </w:tcBorders>
            <w:noWrap w:val="0"/>
            <w:vAlign w:val="center"/>
          </w:tcPr>
          <w:p w14:paraId="1709345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58" w:type="pct"/>
            <w:tcBorders>
              <w:tl2br w:val="nil"/>
              <w:tr2bl w:val="nil"/>
            </w:tcBorders>
            <w:noWrap w:val="0"/>
            <w:vAlign w:val="center"/>
          </w:tcPr>
          <w:p w14:paraId="5A61E6D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56A7E04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restart"/>
            <w:tcBorders>
              <w:tl2br w:val="nil"/>
              <w:tr2bl w:val="nil"/>
            </w:tcBorders>
            <w:noWrap w:val="0"/>
            <w:vAlign w:val="center"/>
          </w:tcPr>
          <w:p w14:paraId="5FF32E3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交通噪声</w:t>
            </w:r>
          </w:p>
        </w:tc>
      </w:tr>
      <w:tr w14:paraId="187B85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28618CA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795762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8000F7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402" w:type="pct"/>
            <w:tcBorders>
              <w:tl2br w:val="nil"/>
              <w:tr2bl w:val="nil"/>
            </w:tcBorders>
            <w:noWrap w:val="0"/>
            <w:vAlign w:val="center"/>
          </w:tcPr>
          <w:p w14:paraId="1D765B5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409" w:type="pct"/>
            <w:gridSpan w:val="2"/>
            <w:tcBorders>
              <w:tl2br w:val="nil"/>
              <w:tr2bl w:val="nil"/>
            </w:tcBorders>
            <w:noWrap w:val="0"/>
            <w:vAlign w:val="center"/>
          </w:tcPr>
          <w:p w14:paraId="3E298ED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7921EED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73B4904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77" w:type="pct"/>
            <w:tcBorders>
              <w:tl2br w:val="nil"/>
              <w:tr2bl w:val="nil"/>
            </w:tcBorders>
            <w:noWrap w:val="0"/>
            <w:vAlign w:val="center"/>
          </w:tcPr>
          <w:p w14:paraId="1726A85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58" w:type="pct"/>
            <w:tcBorders>
              <w:tl2br w:val="nil"/>
              <w:tr2bl w:val="nil"/>
            </w:tcBorders>
            <w:noWrap w:val="0"/>
            <w:vAlign w:val="center"/>
          </w:tcPr>
          <w:p w14:paraId="6149974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651E9A8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38C3C5B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p>
        </w:tc>
      </w:tr>
      <w:tr w14:paraId="7F9F07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7B4A11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41EE698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5ECBBCD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402" w:type="pct"/>
            <w:tcBorders>
              <w:tl2br w:val="nil"/>
              <w:tr2bl w:val="nil"/>
            </w:tcBorders>
            <w:noWrap w:val="0"/>
            <w:vAlign w:val="center"/>
          </w:tcPr>
          <w:p w14:paraId="5067B8D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409" w:type="pct"/>
            <w:gridSpan w:val="2"/>
            <w:tcBorders>
              <w:tl2br w:val="nil"/>
              <w:tr2bl w:val="nil"/>
            </w:tcBorders>
            <w:noWrap w:val="0"/>
            <w:vAlign w:val="center"/>
          </w:tcPr>
          <w:p w14:paraId="3BA1CCF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6116736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10593CE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77" w:type="pct"/>
            <w:tcBorders>
              <w:tl2br w:val="nil"/>
              <w:tr2bl w:val="nil"/>
            </w:tcBorders>
            <w:noWrap w:val="0"/>
            <w:vAlign w:val="center"/>
          </w:tcPr>
          <w:p w14:paraId="3A5F101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58" w:type="pct"/>
            <w:tcBorders>
              <w:tl2br w:val="nil"/>
              <w:tr2bl w:val="nil"/>
            </w:tcBorders>
            <w:noWrap w:val="0"/>
            <w:vAlign w:val="center"/>
          </w:tcPr>
          <w:p w14:paraId="3941ADC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4CACBCA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700686E8">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BA12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151C97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73EDF2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FE1D7A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402" w:type="pct"/>
            <w:tcBorders>
              <w:tl2br w:val="nil"/>
              <w:tr2bl w:val="nil"/>
            </w:tcBorders>
            <w:noWrap w:val="0"/>
            <w:vAlign w:val="center"/>
          </w:tcPr>
          <w:p w14:paraId="7678BF4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409" w:type="pct"/>
            <w:gridSpan w:val="2"/>
            <w:tcBorders>
              <w:tl2br w:val="nil"/>
              <w:tr2bl w:val="nil"/>
            </w:tcBorders>
            <w:noWrap w:val="0"/>
            <w:vAlign w:val="center"/>
          </w:tcPr>
          <w:p w14:paraId="1142AD3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2E2C0E1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72F84AD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77" w:type="pct"/>
            <w:tcBorders>
              <w:tl2br w:val="nil"/>
              <w:tr2bl w:val="nil"/>
            </w:tcBorders>
            <w:noWrap w:val="0"/>
            <w:vAlign w:val="center"/>
          </w:tcPr>
          <w:p w14:paraId="283A073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58" w:type="pct"/>
            <w:tcBorders>
              <w:tl2br w:val="nil"/>
              <w:tr2bl w:val="nil"/>
            </w:tcBorders>
            <w:noWrap w:val="0"/>
            <w:vAlign w:val="center"/>
          </w:tcPr>
          <w:p w14:paraId="115F9F9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1FD1640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3EFB4C2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D59B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71984E5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747E53C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斑竹村卢家院子（K77+000）声屏障后</w:t>
            </w: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en-US" w:eastAsia="zh-CN"/>
              </w:rPr>
              <w:t>0m（C1</w:t>
            </w:r>
            <w:r>
              <w:rPr>
                <w:rFonts w:hint="eastAsia" w:cs="Times New Roman"/>
                <w:color w:val="auto"/>
                <w:kern w:val="0"/>
                <w:sz w:val="21"/>
                <w:szCs w:val="21"/>
                <w:lang w:val="en-US" w:eastAsia="zh-CN"/>
              </w:rPr>
              <w:t>3</w:t>
            </w:r>
            <w:r>
              <w:rPr>
                <w:rFonts w:hint="default" w:ascii="Times New Roman" w:hAnsi="Times New Roman" w:eastAsia="宋体" w:cs="Times New Roman"/>
                <w:color w:val="auto"/>
                <w:kern w:val="0"/>
                <w:sz w:val="21"/>
                <w:szCs w:val="21"/>
                <w:lang w:val="en-US" w:eastAsia="zh-CN"/>
              </w:rPr>
              <w:t>）</w:t>
            </w:r>
          </w:p>
        </w:tc>
        <w:tc>
          <w:tcPr>
            <w:tcW w:w="402" w:type="pct"/>
            <w:tcBorders>
              <w:tl2br w:val="nil"/>
              <w:tr2bl w:val="nil"/>
            </w:tcBorders>
            <w:noWrap w:val="0"/>
            <w:vAlign w:val="center"/>
          </w:tcPr>
          <w:p w14:paraId="31ACA7D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402" w:type="pct"/>
            <w:tcBorders>
              <w:tl2br w:val="nil"/>
              <w:tr2bl w:val="nil"/>
            </w:tcBorders>
            <w:noWrap w:val="0"/>
            <w:vAlign w:val="center"/>
          </w:tcPr>
          <w:p w14:paraId="285FE8C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409" w:type="pct"/>
            <w:gridSpan w:val="2"/>
            <w:tcBorders>
              <w:tl2br w:val="nil"/>
              <w:tr2bl w:val="nil"/>
            </w:tcBorders>
            <w:noWrap w:val="0"/>
            <w:vAlign w:val="center"/>
          </w:tcPr>
          <w:p w14:paraId="62706B2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09BEE30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3438D7C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77" w:type="pct"/>
            <w:tcBorders>
              <w:tl2br w:val="nil"/>
              <w:tr2bl w:val="nil"/>
            </w:tcBorders>
            <w:noWrap w:val="0"/>
            <w:vAlign w:val="center"/>
          </w:tcPr>
          <w:p w14:paraId="544F9D9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58" w:type="pct"/>
            <w:tcBorders>
              <w:tl2br w:val="nil"/>
              <w:tr2bl w:val="nil"/>
            </w:tcBorders>
            <w:noWrap w:val="0"/>
            <w:vAlign w:val="center"/>
          </w:tcPr>
          <w:p w14:paraId="3A781FE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2EC3F66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226D9D6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56F84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E16FB6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6DAD934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4D9B56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402" w:type="pct"/>
            <w:tcBorders>
              <w:tl2br w:val="nil"/>
              <w:tr2bl w:val="nil"/>
            </w:tcBorders>
            <w:noWrap w:val="0"/>
            <w:vAlign w:val="center"/>
          </w:tcPr>
          <w:p w14:paraId="0BD70F6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409" w:type="pct"/>
            <w:gridSpan w:val="2"/>
            <w:tcBorders>
              <w:tl2br w:val="nil"/>
              <w:tr2bl w:val="nil"/>
            </w:tcBorders>
            <w:noWrap w:val="0"/>
            <w:vAlign w:val="center"/>
          </w:tcPr>
          <w:p w14:paraId="6A14EE7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131A8C9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67B94E4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77" w:type="pct"/>
            <w:tcBorders>
              <w:tl2br w:val="nil"/>
              <w:tr2bl w:val="nil"/>
            </w:tcBorders>
            <w:noWrap w:val="0"/>
            <w:vAlign w:val="center"/>
          </w:tcPr>
          <w:p w14:paraId="01487C2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58" w:type="pct"/>
            <w:tcBorders>
              <w:tl2br w:val="nil"/>
              <w:tr2bl w:val="nil"/>
            </w:tcBorders>
            <w:noWrap w:val="0"/>
            <w:vAlign w:val="center"/>
          </w:tcPr>
          <w:p w14:paraId="79022D7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073B8F6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2BF81A26">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8CD46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0DF5C68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2976CB7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BEFAB3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402" w:type="pct"/>
            <w:tcBorders>
              <w:tl2br w:val="nil"/>
              <w:tr2bl w:val="nil"/>
            </w:tcBorders>
            <w:noWrap w:val="0"/>
            <w:vAlign w:val="center"/>
          </w:tcPr>
          <w:p w14:paraId="49089CF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409" w:type="pct"/>
            <w:gridSpan w:val="2"/>
            <w:tcBorders>
              <w:tl2br w:val="nil"/>
              <w:tr2bl w:val="nil"/>
            </w:tcBorders>
            <w:noWrap w:val="0"/>
            <w:vAlign w:val="center"/>
          </w:tcPr>
          <w:p w14:paraId="16B1A29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61E324D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73A882F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47</w:t>
            </w:r>
          </w:p>
        </w:tc>
        <w:tc>
          <w:tcPr>
            <w:tcW w:w="377" w:type="pct"/>
            <w:tcBorders>
              <w:tl2br w:val="nil"/>
              <w:tr2bl w:val="nil"/>
            </w:tcBorders>
            <w:noWrap w:val="0"/>
            <w:vAlign w:val="center"/>
          </w:tcPr>
          <w:p w14:paraId="44A4AD5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47</w:t>
            </w:r>
          </w:p>
        </w:tc>
        <w:tc>
          <w:tcPr>
            <w:tcW w:w="358" w:type="pct"/>
            <w:tcBorders>
              <w:tl2br w:val="nil"/>
              <w:tr2bl w:val="nil"/>
            </w:tcBorders>
            <w:noWrap w:val="0"/>
            <w:vAlign w:val="center"/>
          </w:tcPr>
          <w:p w14:paraId="3F83615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15AC1CA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6BC867F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301B26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B193AC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4E75400C">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53700A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402" w:type="pct"/>
            <w:tcBorders>
              <w:tl2br w:val="nil"/>
              <w:tr2bl w:val="nil"/>
            </w:tcBorders>
            <w:noWrap w:val="0"/>
            <w:vAlign w:val="center"/>
          </w:tcPr>
          <w:p w14:paraId="1CC7D3E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409" w:type="pct"/>
            <w:gridSpan w:val="2"/>
            <w:tcBorders>
              <w:tl2br w:val="nil"/>
              <w:tr2bl w:val="nil"/>
            </w:tcBorders>
            <w:noWrap w:val="0"/>
            <w:vAlign w:val="center"/>
          </w:tcPr>
          <w:p w14:paraId="20214F6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1A48406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2FB8527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77" w:type="pct"/>
            <w:tcBorders>
              <w:tl2br w:val="nil"/>
              <w:tr2bl w:val="nil"/>
            </w:tcBorders>
            <w:noWrap w:val="0"/>
            <w:vAlign w:val="center"/>
          </w:tcPr>
          <w:p w14:paraId="261756F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58" w:type="pct"/>
            <w:tcBorders>
              <w:tl2br w:val="nil"/>
              <w:tr2bl w:val="nil"/>
            </w:tcBorders>
            <w:noWrap w:val="0"/>
            <w:vAlign w:val="center"/>
          </w:tcPr>
          <w:p w14:paraId="2440D3F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043468C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14DC974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179F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39E831E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72FA7B6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斑竹村卢家院子（K77+000）声屏障后</w:t>
            </w:r>
            <w:r>
              <w:rPr>
                <w:rFonts w:hint="eastAsia" w:cs="Times New Roman"/>
                <w:color w:val="auto"/>
                <w:kern w:val="0"/>
                <w:sz w:val="21"/>
                <w:szCs w:val="21"/>
                <w:lang w:val="en-US" w:eastAsia="zh-CN"/>
              </w:rPr>
              <w:t>3</w:t>
            </w:r>
            <w:r>
              <w:rPr>
                <w:rFonts w:hint="default" w:ascii="Times New Roman" w:hAnsi="Times New Roman" w:eastAsia="宋体" w:cs="Times New Roman"/>
                <w:color w:val="auto"/>
                <w:kern w:val="0"/>
                <w:sz w:val="21"/>
                <w:szCs w:val="21"/>
                <w:lang w:val="en-US" w:eastAsia="zh-CN"/>
              </w:rPr>
              <w:t>0m（C1</w:t>
            </w:r>
            <w:r>
              <w:rPr>
                <w:rFonts w:hint="eastAsia"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en-US" w:eastAsia="zh-CN"/>
              </w:rPr>
              <w:t>）</w:t>
            </w:r>
          </w:p>
        </w:tc>
        <w:tc>
          <w:tcPr>
            <w:tcW w:w="402" w:type="pct"/>
            <w:tcBorders>
              <w:tl2br w:val="nil"/>
              <w:tr2bl w:val="nil"/>
            </w:tcBorders>
            <w:noWrap w:val="0"/>
            <w:vAlign w:val="center"/>
          </w:tcPr>
          <w:p w14:paraId="3EB6FBC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402" w:type="pct"/>
            <w:tcBorders>
              <w:tl2br w:val="nil"/>
              <w:tr2bl w:val="nil"/>
            </w:tcBorders>
            <w:noWrap w:val="0"/>
            <w:vAlign w:val="center"/>
          </w:tcPr>
          <w:p w14:paraId="2884B78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409" w:type="pct"/>
            <w:gridSpan w:val="2"/>
            <w:tcBorders>
              <w:tl2br w:val="nil"/>
              <w:tr2bl w:val="nil"/>
            </w:tcBorders>
            <w:noWrap w:val="0"/>
            <w:vAlign w:val="center"/>
          </w:tcPr>
          <w:p w14:paraId="0759754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44BE297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57EDF07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77" w:type="pct"/>
            <w:tcBorders>
              <w:tl2br w:val="nil"/>
              <w:tr2bl w:val="nil"/>
            </w:tcBorders>
            <w:noWrap w:val="0"/>
            <w:vAlign w:val="center"/>
          </w:tcPr>
          <w:p w14:paraId="196700E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58" w:type="pct"/>
            <w:tcBorders>
              <w:tl2br w:val="nil"/>
              <w:tr2bl w:val="nil"/>
            </w:tcBorders>
            <w:noWrap w:val="0"/>
            <w:vAlign w:val="center"/>
          </w:tcPr>
          <w:p w14:paraId="6D3A31C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7FB1CB3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3EB40A5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73DD1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3359F8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A0FCF37">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0A9A6C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402" w:type="pct"/>
            <w:tcBorders>
              <w:tl2br w:val="nil"/>
              <w:tr2bl w:val="nil"/>
            </w:tcBorders>
            <w:noWrap w:val="0"/>
            <w:vAlign w:val="center"/>
          </w:tcPr>
          <w:p w14:paraId="021E0A2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409" w:type="pct"/>
            <w:gridSpan w:val="2"/>
            <w:tcBorders>
              <w:tl2br w:val="nil"/>
              <w:tr2bl w:val="nil"/>
            </w:tcBorders>
            <w:noWrap w:val="0"/>
            <w:vAlign w:val="center"/>
          </w:tcPr>
          <w:p w14:paraId="713B565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05058A6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2C5AA51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77" w:type="pct"/>
            <w:tcBorders>
              <w:tl2br w:val="nil"/>
              <w:tr2bl w:val="nil"/>
            </w:tcBorders>
            <w:noWrap w:val="0"/>
            <w:vAlign w:val="center"/>
          </w:tcPr>
          <w:p w14:paraId="2C5EF4D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58" w:type="pct"/>
            <w:tcBorders>
              <w:tl2br w:val="nil"/>
              <w:tr2bl w:val="nil"/>
            </w:tcBorders>
            <w:noWrap w:val="0"/>
            <w:vAlign w:val="center"/>
          </w:tcPr>
          <w:p w14:paraId="5B787A2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5AB8C3C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20402E3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DD20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411D8B0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29A719E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511C4B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402" w:type="pct"/>
            <w:tcBorders>
              <w:tl2br w:val="nil"/>
              <w:tr2bl w:val="nil"/>
            </w:tcBorders>
            <w:noWrap w:val="0"/>
            <w:vAlign w:val="center"/>
          </w:tcPr>
          <w:p w14:paraId="459BC50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409" w:type="pct"/>
            <w:gridSpan w:val="2"/>
            <w:tcBorders>
              <w:tl2br w:val="nil"/>
              <w:tr2bl w:val="nil"/>
            </w:tcBorders>
            <w:noWrap w:val="0"/>
            <w:vAlign w:val="center"/>
          </w:tcPr>
          <w:p w14:paraId="78D9261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3F9987A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03D8D3B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77" w:type="pct"/>
            <w:tcBorders>
              <w:tl2br w:val="nil"/>
              <w:tr2bl w:val="nil"/>
            </w:tcBorders>
            <w:noWrap w:val="0"/>
            <w:vAlign w:val="center"/>
          </w:tcPr>
          <w:p w14:paraId="4FE9B99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58" w:type="pct"/>
            <w:tcBorders>
              <w:tl2br w:val="nil"/>
              <w:tr2bl w:val="nil"/>
            </w:tcBorders>
            <w:noWrap w:val="0"/>
            <w:vAlign w:val="center"/>
          </w:tcPr>
          <w:p w14:paraId="2E2E368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0B6635A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2EC9859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F7E16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F2F484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51966B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2A2177C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402" w:type="pct"/>
            <w:tcBorders>
              <w:tl2br w:val="nil"/>
              <w:tr2bl w:val="nil"/>
            </w:tcBorders>
            <w:noWrap w:val="0"/>
            <w:vAlign w:val="center"/>
          </w:tcPr>
          <w:p w14:paraId="21259DB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409" w:type="pct"/>
            <w:gridSpan w:val="2"/>
            <w:tcBorders>
              <w:tl2br w:val="nil"/>
              <w:tr2bl w:val="nil"/>
            </w:tcBorders>
            <w:noWrap w:val="0"/>
            <w:vAlign w:val="center"/>
          </w:tcPr>
          <w:p w14:paraId="2EDFEAC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3BF0DF6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2620AA6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77" w:type="pct"/>
            <w:tcBorders>
              <w:tl2br w:val="nil"/>
              <w:tr2bl w:val="nil"/>
            </w:tcBorders>
            <w:noWrap w:val="0"/>
            <w:vAlign w:val="center"/>
          </w:tcPr>
          <w:p w14:paraId="59DF174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358" w:type="pct"/>
            <w:tcBorders>
              <w:tl2br w:val="nil"/>
              <w:tr2bl w:val="nil"/>
            </w:tcBorders>
            <w:noWrap w:val="0"/>
            <w:vAlign w:val="center"/>
          </w:tcPr>
          <w:p w14:paraId="136EB0C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7DC7BAE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218FBA22">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061841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61E339D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358CF90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斑竹村卢家院子（K77+000）声屏障后</w:t>
            </w:r>
            <w:r>
              <w:rPr>
                <w:rFonts w:hint="eastAsia"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en-US" w:eastAsia="zh-CN"/>
              </w:rPr>
              <w:t>0m（C1</w:t>
            </w:r>
            <w:r>
              <w:rPr>
                <w:rFonts w:hint="eastAsia" w:cs="Times New Roman"/>
                <w:color w:val="auto"/>
                <w:kern w:val="0"/>
                <w:sz w:val="21"/>
                <w:szCs w:val="21"/>
                <w:lang w:val="en-US" w:eastAsia="zh-CN"/>
              </w:rPr>
              <w:t>5</w:t>
            </w:r>
            <w:r>
              <w:rPr>
                <w:rFonts w:hint="default" w:ascii="Times New Roman" w:hAnsi="Times New Roman" w:eastAsia="宋体" w:cs="Times New Roman"/>
                <w:color w:val="auto"/>
                <w:kern w:val="0"/>
                <w:sz w:val="21"/>
                <w:szCs w:val="21"/>
                <w:lang w:val="en-US" w:eastAsia="zh-CN"/>
              </w:rPr>
              <w:t>）</w:t>
            </w:r>
          </w:p>
        </w:tc>
        <w:tc>
          <w:tcPr>
            <w:tcW w:w="402" w:type="pct"/>
            <w:tcBorders>
              <w:tl2br w:val="nil"/>
              <w:tr2bl w:val="nil"/>
            </w:tcBorders>
            <w:noWrap w:val="0"/>
            <w:vAlign w:val="center"/>
          </w:tcPr>
          <w:p w14:paraId="47E7032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47</w:t>
            </w:r>
          </w:p>
        </w:tc>
        <w:tc>
          <w:tcPr>
            <w:tcW w:w="402" w:type="pct"/>
            <w:tcBorders>
              <w:tl2br w:val="nil"/>
              <w:tr2bl w:val="nil"/>
            </w:tcBorders>
            <w:noWrap w:val="0"/>
            <w:vAlign w:val="center"/>
          </w:tcPr>
          <w:p w14:paraId="73277EA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47</w:t>
            </w:r>
          </w:p>
        </w:tc>
        <w:tc>
          <w:tcPr>
            <w:tcW w:w="409" w:type="pct"/>
            <w:gridSpan w:val="2"/>
            <w:tcBorders>
              <w:tl2br w:val="nil"/>
              <w:tr2bl w:val="nil"/>
            </w:tcBorders>
            <w:noWrap w:val="0"/>
            <w:vAlign w:val="center"/>
          </w:tcPr>
          <w:p w14:paraId="501DD76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36D8185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5979F8A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77" w:type="pct"/>
            <w:tcBorders>
              <w:tl2br w:val="nil"/>
              <w:tr2bl w:val="nil"/>
            </w:tcBorders>
            <w:noWrap w:val="0"/>
            <w:vAlign w:val="center"/>
          </w:tcPr>
          <w:p w14:paraId="7DA6901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58" w:type="pct"/>
            <w:tcBorders>
              <w:tl2br w:val="nil"/>
              <w:tr2bl w:val="nil"/>
            </w:tcBorders>
            <w:noWrap w:val="0"/>
            <w:vAlign w:val="center"/>
          </w:tcPr>
          <w:p w14:paraId="0B21F3F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71130EE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1C25751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43DB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E1AF6B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131C4E7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217F43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402" w:type="pct"/>
            <w:tcBorders>
              <w:tl2br w:val="nil"/>
              <w:tr2bl w:val="nil"/>
            </w:tcBorders>
            <w:noWrap w:val="0"/>
            <w:vAlign w:val="center"/>
          </w:tcPr>
          <w:p w14:paraId="2F8E02C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409" w:type="pct"/>
            <w:gridSpan w:val="2"/>
            <w:tcBorders>
              <w:tl2br w:val="nil"/>
              <w:tr2bl w:val="nil"/>
            </w:tcBorders>
            <w:noWrap w:val="0"/>
            <w:vAlign w:val="center"/>
          </w:tcPr>
          <w:p w14:paraId="6F4D725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38AD2A0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096F948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77" w:type="pct"/>
            <w:tcBorders>
              <w:tl2br w:val="nil"/>
              <w:tr2bl w:val="nil"/>
            </w:tcBorders>
            <w:noWrap w:val="0"/>
            <w:vAlign w:val="center"/>
          </w:tcPr>
          <w:p w14:paraId="4DAAB88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58" w:type="pct"/>
            <w:tcBorders>
              <w:tl2br w:val="nil"/>
              <w:tr2bl w:val="nil"/>
            </w:tcBorders>
            <w:noWrap w:val="0"/>
            <w:vAlign w:val="center"/>
          </w:tcPr>
          <w:p w14:paraId="1A80037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1C0D2FA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1315DC4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37834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69CEEEA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2DD48AF0">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71BD859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402" w:type="pct"/>
            <w:tcBorders>
              <w:tl2br w:val="nil"/>
              <w:tr2bl w:val="nil"/>
            </w:tcBorders>
            <w:noWrap w:val="0"/>
            <w:vAlign w:val="center"/>
          </w:tcPr>
          <w:p w14:paraId="7241957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409" w:type="pct"/>
            <w:gridSpan w:val="2"/>
            <w:tcBorders>
              <w:tl2br w:val="nil"/>
              <w:tr2bl w:val="nil"/>
            </w:tcBorders>
            <w:noWrap w:val="0"/>
            <w:vAlign w:val="center"/>
          </w:tcPr>
          <w:p w14:paraId="451D812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2F951F5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1B38C54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77" w:type="pct"/>
            <w:tcBorders>
              <w:tl2br w:val="nil"/>
              <w:tr2bl w:val="nil"/>
            </w:tcBorders>
            <w:noWrap w:val="0"/>
            <w:vAlign w:val="center"/>
          </w:tcPr>
          <w:p w14:paraId="12698B6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58" w:type="pct"/>
            <w:tcBorders>
              <w:tl2br w:val="nil"/>
              <w:tr2bl w:val="nil"/>
            </w:tcBorders>
            <w:noWrap w:val="0"/>
            <w:vAlign w:val="center"/>
          </w:tcPr>
          <w:p w14:paraId="46217B5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3BF35CC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2B394DD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53E0A5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16F845C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0ADE8FC5">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38A95E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402" w:type="pct"/>
            <w:tcBorders>
              <w:tl2br w:val="nil"/>
              <w:tr2bl w:val="nil"/>
            </w:tcBorders>
            <w:noWrap w:val="0"/>
            <w:vAlign w:val="center"/>
          </w:tcPr>
          <w:p w14:paraId="598B930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46</w:t>
            </w:r>
          </w:p>
        </w:tc>
        <w:tc>
          <w:tcPr>
            <w:tcW w:w="409" w:type="pct"/>
            <w:gridSpan w:val="2"/>
            <w:tcBorders>
              <w:tl2br w:val="nil"/>
              <w:tr2bl w:val="nil"/>
            </w:tcBorders>
            <w:noWrap w:val="0"/>
            <w:vAlign w:val="center"/>
          </w:tcPr>
          <w:p w14:paraId="6A73150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3475823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146D4EA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77" w:type="pct"/>
            <w:tcBorders>
              <w:tl2br w:val="nil"/>
              <w:tr2bl w:val="nil"/>
            </w:tcBorders>
            <w:noWrap w:val="0"/>
            <w:vAlign w:val="center"/>
          </w:tcPr>
          <w:p w14:paraId="7F3CE5E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44</w:t>
            </w:r>
          </w:p>
        </w:tc>
        <w:tc>
          <w:tcPr>
            <w:tcW w:w="358" w:type="pct"/>
            <w:tcBorders>
              <w:tl2br w:val="nil"/>
              <w:tr2bl w:val="nil"/>
            </w:tcBorders>
            <w:noWrap w:val="0"/>
            <w:vAlign w:val="center"/>
          </w:tcPr>
          <w:p w14:paraId="303B471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665A8EF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73C4630A">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27361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3CE542D5">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5F13169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斑竹村卢家院子外开阔处无声屏障10m处</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C16）</w:t>
            </w:r>
          </w:p>
        </w:tc>
        <w:tc>
          <w:tcPr>
            <w:tcW w:w="402" w:type="pct"/>
            <w:tcBorders>
              <w:tl2br w:val="nil"/>
              <w:tr2bl w:val="nil"/>
            </w:tcBorders>
            <w:noWrap w:val="0"/>
            <w:vAlign w:val="center"/>
          </w:tcPr>
          <w:p w14:paraId="364ABE7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402" w:type="pct"/>
            <w:tcBorders>
              <w:tl2br w:val="nil"/>
              <w:tr2bl w:val="nil"/>
            </w:tcBorders>
            <w:noWrap w:val="0"/>
            <w:vAlign w:val="center"/>
          </w:tcPr>
          <w:p w14:paraId="43BB668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409" w:type="pct"/>
            <w:gridSpan w:val="2"/>
            <w:tcBorders>
              <w:tl2br w:val="nil"/>
              <w:tr2bl w:val="nil"/>
            </w:tcBorders>
            <w:noWrap w:val="0"/>
            <w:vAlign w:val="center"/>
          </w:tcPr>
          <w:p w14:paraId="0245F0F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5906431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71D587D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377" w:type="pct"/>
            <w:tcBorders>
              <w:tl2br w:val="nil"/>
              <w:tr2bl w:val="nil"/>
            </w:tcBorders>
            <w:noWrap w:val="0"/>
            <w:vAlign w:val="center"/>
          </w:tcPr>
          <w:p w14:paraId="67DF328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358" w:type="pct"/>
            <w:tcBorders>
              <w:tl2br w:val="nil"/>
              <w:tr2bl w:val="nil"/>
            </w:tcBorders>
            <w:noWrap w:val="0"/>
            <w:vAlign w:val="center"/>
          </w:tcPr>
          <w:p w14:paraId="7DF8D4C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60AEA0A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00BEA78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87E71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6BA9BBC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3B3F126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F15E0B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61</w:t>
            </w:r>
          </w:p>
        </w:tc>
        <w:tc>
          <w:tcPr>
            <w:tcW w:w="402" w:type="pct"/>
            <w:tcBorders>
              <w:tl2br w:val="nil"/>
              <w:tr2bl w:val="nil"/>
            </w:tcBorders>
            <w:noWrap w:val="0"/>
            <w:vAlign w:val="center"/>
          </w:tcPr>
          <w:p w14:paraId="104870A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61</w:t>
            </w:r>
          </w:p>
        </w:tc>
        <w:tc>
          <w:tcPr>
            <w:tcW w:w="409" w:type="pct"/>
            <w:gridSpan w:val="2"/>
            <w:tcBorders>
              <w:tl2br w:val="nil"/>
              <w:tr2bl w:val="nil"/>
            </w:tcBorders>
            <w:noWrap w:val="0"/>
            <w:vAlign w:val="center"/>
          </w:tcPr>
          <w:p w14:paraId="4914471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7F2F3EE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6E701A0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77" w:type="pct"/>
            <w:tcBorders>
              <w:tl2br w:val="nil"/>
              <w:tr2bl w:val="nil"/>
            </w:tcBorders>
            <w:noWrap w:val="0"/>
            <w:vAlign w:val="center"/>
          </w:tcPr>
          <w:p w14:paraId="130FBF4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58" w:type="pct"/>
            <w:tcBorders>
              <w:tl2br w:val="nil"/>
              <w:tr2bl w:val="nil"/>
            </w:tcBorders>
            <w:noWrap w:val="0"/>
            <w:vAlign w:val="center"/>
          </w:tcPr>
          <w:p w14:paraId="0B9B3B9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1EAB172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5A008BC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0C0F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22B5857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3839B78A">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F71AF5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62</w:t>
            </w:r>
          </w:p>
        </w:tc>
        <w:tc>
          <w:tcPr>
            <w:tcW w:w="402" w:type="pct"/>
            <w:tcBorders>
              <w:tl2br w:val="nil"/>
              <w:tr2bl w:val="nil"/>
            </w:tcBorders>
            <w:noWrap w:val="0"/>
            <w:vAlign w:val="center"/>
          </w:tcPr>
          <w:p w14:paraId="19AAC4B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62</w:t>
            </w:r>
          </w:p>
        </w:tc>
        <w:tc>
          <w:tcPr>
            <w:tcW w:w="409" w:type="pct"/>
            <w:gridSpan w:val="2"/>
            <w:tcBorders>
              <w:tl2br w:val="nil"/>
              <w:tr2bl w:val="nil"/>
            </w:tcBorders>
            <w:noWrap w:val="0"/>
            <w:vAlign w:val="center"/>
          </w:tcPr>
          <w:p w14:paraId="3295E02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1AEE39D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0AE4ABD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377" w:type="pct"/>
            <w:tcBorders>
              <w:tl2br w:val="nil"/>
              <w:tr2bl w:val="nil"/>
            </w:tcBorders>
            <w:noWrap w:val="0"/>
            <w:vAlign w:val="center"/>
          </w:tcPr>
          <w:p w14:paraId="79E62B7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358" w:type="pct"/>
            <w:tcBorders>
              <w:tl2br w:val="nil"/>
              <w:tr2bl w:val="nil"/>
            </w:tcBorders>
            <w:noWrap w:val="0"/>
            <w:vAlign w:val="center"/>
          </w:tcPr>
          <w:p w14:paraId="4E08644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3280730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restart"/>
            <w:tcBorders>
              <w:tl2br w:val="nil"/>
              <w:tr2bl w:val="nil"/>
            </w:tcBorders>
            <w:noWrap w:val="0"/>
            <w:vAlign w:val="center"/>
          </w:tcPr>
          <w:p w14:paraId="46E436A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交通噪声</w:t>
            </w:r>
          </w:p>
        </w:tc>
      </w:tr>
      <w:tr w14:paraId="5BB757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307AF19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6440682">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9851A7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402" w:type="pct"/>
            <w:tcBorders>
              <w:tl2br w:val="nil"/>
              <w:tr2bl w:val="nil"/>
            </w:tcBorders>
            <w:noWrap w:val="0"/>
            <w:vAlign w:val="center"/>
          </w:tcPr>
          <w:p w14:paraId="26F5A06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409" w:type="pct"/>
            <w:gridSpan w:val="2"/>
            <w:tcBorders>
              <w:tl2br w:val="nil"/>
              <w:tr2bl w:val="nil"/>
            </w:tcBorders>
            <w:noWrap w:val="0"/>
            <w:vAlign w:val="center"/>
          </w:tcPr>
          <w:p w14:paraId="2EF921B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2669A1A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793A80D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77" w:type="pct"/>
            <w:tcBorders>
              <w:tl2br w:val="nil"/>
              <w:tr2bl w:val="nil"/>
            </w:tcBorders>
            <w:noWrap w:val="0"/>
            <w:vAlign w:val="center"/>
          </w:tcPr>
          <w:p w14:paraId="335D1B4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58" w:type="pct"/>
            <w:tcBorders>
              <w:tl2br w:val="nil"/>
              <w:tr2bl w:val="nil"/>
            </w:tcBorders>
            <w:noWrap w:val="0"/>
            <w:vAlign w:val="center"/>
          </w:tcPr>
          <w:p w14:paraId="2DCC133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049475E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47FFA86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p>
        </w:tc>
      </w:tr>
      <w:tr w14:paraId="5E04F3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5CDA002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15E3FFA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斑竹村卢家院子外开阔处无声屏障</w:t>
            </w: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en-US" w:eastAsia="zh-CN"/>
              </w:rPr>
              <w:t>0m处</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C1</w:t>
            </w:r>
            <w:r>
              <w:rPr>
                <w:rFonts w:hint="eastAsia" w:cs="Times New Roman"/>
                <w:color w:val="auto"/>
                <w:kern w:val="0"/>
                <w:sz w:val="21"/>
                <w:szCs w:val="21"/>
                <w:lang w:val="en-US" w:eastAsia="zh-CN"/>
              </w:rPr>
              <w:t>7</w:t>
            </w:r>
            <w:r>
              <w:rPr>
                <w:rFonts w:hint="default" w:ascii="Times New Roman" w:hAnsi="Times New Roman" w:eastAsia="宋体" w:cs="Times New Roman"/>
                <w:color w:val="auto"/>
                <w:kern w:val="0"/>
                <w:sz w:val="21"/>
                <w:szCs w:val="21"/>
                <w:lang w:val="en-US" w:eastAsia="zh-CN"/>
              </w:rPr>
              <w:t>）</w:t>
            </w:r>
          </w:p>
        </w:tc>
        <w:tc>
          <w:tcPr>
            <w:tcW w:w="402" w:type="pct"/>
            <w:tcBorders>
              <w:tl2br w:val="nil"/>
              <w:tr2bl w:val="nil"/>
            </w:tcBorders>
            <w:noWrap w:val="0"/>
            <w:vAlign w:val="center"/>
          </w:tcPr>
          <w:p w14:paraId="5608104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02" w:type="pct"/>
            <w:tcBorders>
              <w:tl2br w:val="nil"/>
              <w:tr2bl w:val="nil"/>
            </w:tcBorders>
            <w:noWrap w:val="0"/>
            <w:vAlign w:val="center"/>
          </w:tcPr>
          <w:p w14:paraId="4E32D9D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09" w:type="pct"/>
            <w:gridSpan w:val="2"/>
            <w:tcBorders>
              <w:tl2br w:val="nil"/>
              <w:tr2bl w:val="nil"/>
            </w:tcBorders>
            <w:noWrap w:val="0"/>
            <w:vAlign w:val="center"/>
          </w:tcPr>
          <w:p w14:paraId="58D8DFF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5F08E6B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21D9994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77" w:type="pct"/>
            <w:tcBorders>
              <w:tl2br w:val="nil"/>
              <w:tr2bl w:val="nil"/>
            </w:tcBorders>
            <w:noWrap w:val="0"/>
            <w:vAlign w:val="center"/>
          </w:tcPr>
          <w:p w14:paraId="0EFAC47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58" w:type="pct"/>
            <w:tcBorders>
              <w:tl2br w:val="nil"/>
              <w:tr2bl w:val="nil"/>
            </w:tcBorders>
            <w:noWrap w:val="0"/>
            <w:vAlign w:val="center"/>
          </w:tcPr>
          <w:p w14:paraId="0244757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73049C5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00D07B6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p>
        </w:tc>
      </w:tr>
      <w:tr w14:paraId="6B7B46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629F5DF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34E2403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47E68F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58</w:t>
            </w:r>
          </w:p>
        </w:tc>
        <w:tc>
          <w:tcPr>
            <w:tcW w:w="402" w:type="pct"/>
            <w:tcBorders>
              <w:tl2br w:val="nil"/>
              <w:tr2bl w:val="nil"/>
            </w:tcBorders>
            <w:noWrap w:val="0"/>
            <w:vAlign w:val="center"/>
          </w:tcPr>
          <w:p w14:paraId="0CD9F45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58</w:t>
            </w:r>
          </w:p>
        </w:tc>
        <w:tc>
          <w:tcPr>
            <w:tcW w:w="409" w:type="pct"/>
            <w:gridSpan w:val="2"/>
            <w:tcBorders>
              <w:tl2br w:val="nil"/>
              <w:tr2bl w:val="nil"/>
            </w:tcBorders>
            <w:noWrap w:val="0"/>
            <w:vAlign w:val="center"/>
          </w:tcPr>
          <w:p w14:paraId="6B37685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4E510A6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216FC2D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53</w:t>
            </w:r>
          </w:p>
        </w:tc>
        <w:tc>
          <w:tcPr>
            <w:tcW w:w="377" w:type="pct"/>
            <w:tcBorders>
              <w:tl2br w:val="nil"/>
              <w:tr2bl w:val="nil"/>
            </w:tcBorders>
            <w:noWrap w:val="0"/>
            <w:vAlign w:val="center"/>
          </w:tcPr>
          <w:p w14:paraId="542B4BD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53</w:t>
            </w:r>
          </w:p>
        </w:tc>
        <w:tc>
          <w:tcPr>
            <w:tcW w:w="358" w:type="pct"/>
            <w:tcBorders>
              <w:tl2br w:val="nil"/>
              <w:tr2bl w:val="nil"/>
            </w:tcBorders>
            <w:noWrap w:val="0"/>
            <w:vAlign w:val="center"/>
          </w:tcPr>
          <w:p w14:paraId="43C09F2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3F021E4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48439A7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p>
        </w:tc>
      </w:tr>
      <w:tr w14:paraId="374BB1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69F44BD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68C302BD">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59E0470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58</w:t>
            </w:r>
          </w:p>
        </w:tc>
        <w:tc>
          <w:tcPr>
            <w:tcW w:w="402" w:type="pct"/>
            <w:tcBorders>
              <w:tl2br w:val="nil"/>
              <w:tr2bl w:val="nil"/>
            </w:tcBorders>
            <w:noWrap w:val="0"/>
            <w:vAlign w:val="center"/>
          </w:tcPr>
          <w:p w14:paraId="6040A76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58</w:t>
            </w:r>
          </w:p>
        </w:tc>
        <w:tc>
          <w:tcPr>
            <w:tcW w:w="409" w:type="pct"/>
            <w:gridSpan w:val="2"/>
            <w:tcBorders>
              <w:tl2br w:val="nil"/>
              <w:tr2bl w:val="nil"/>
            </w:tcBorders>
            <w:noWrap w:val="0"/>
            <w:vAlign w:val="center"/>
          </w:tcPr>
          <w:p w14:paraId="6F0DCB8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69D2040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27AD905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53</w:t>
            </w:r>
          </w:p>
        </w:tc>
        <w:tc>
          <w:tcPr>
            <w:tcW w:w="377" w:type="pct"/>
            <w:tcBorders>
              <w:tl2br w:val="nil"/>
              <w:tr2bl w:val="nil"/>
            </w:tcBorders>
            <w:noWrap w:val="0"/>
            <w:vAlign w:val="center"/>
          </w:tcPr>
          <w:p w14:paraId="23F65F9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53</w:t>
            </w:r>
          </w:p>
        </w:tc>
        <w:tc>
          <w:tcPr>
            <w:tcW w:w="358" w:type="pct"/>
            <w:tcBorders>
              <w:tl2br w:val="nil"/>
              <w:tr2bl w:val="nil"/>
            </w:tcBorders>
            <w:noWrap w:val="0"/>
            <w:vAlign w:val="center"/>
          </w:tcPr>
          <w:p w14:paraId="1F1E6FC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5FC3719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1158A2A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p>
        </w:tc>
      </w:tr>
      <w:tr w14:paraId="5E7F08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6B3FB3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72C459AB">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1E83247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02" w:type="pct"/>
            <w:tcBorders>
              <w:tl2br w:val="nil"/>
              <w:tr2bl w:val="nil"/>
            </w:tcBorders>
            <w:noWrap w:val="0"/>
            <w:vAlign w:val="center"/>
          </w:tcPr>
          <w:p w14:paraId="510E41A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09" w:type="pct"/>
            <w:gridSpan w:val="2"/>
            <w:tcBorders>
              <w:tl2br w:val="nil"/>
              <w:tr2bl w:val="nil"/>
            </w:tcBorders>
            <w:noWrap w:val="0"/>
            <w:vAlign w:val="center"/>
          </w:tcPr>
          <w:p w14:paraId="0AD1AB0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1BBDF1C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18333B6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377" w:type="pct"/>
            <w:tcBorders>
              <w:tl2br w:val="nil"/>
              <w:tr2bl w:val="nil"/>
            </w:tcBorders>
            <w:noWrap w:val="0"/>
            <w:vAlign w:val="center"/>
          </w:tcPr>
          <w:p w14:paraId="1F70794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358" w:type="pct"/>
            <w:tcBorders>
              <w:tl2br w:val="nil"/>
              <w:tr2bl w:val="nil"/>
            </w:tcBorders>
            <w:noWrap w:val="0"/>
            <w:vAlign w:val="center"/>
          </w:tcPr>
          <w:p w14:paraId="1B2549A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15B3AD1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0FDCC2B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p>
        </w:tc>
      </w:tr>
      <w:tr w14:paraId="6B0997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566AC4C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1F07A159">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斑竹村卢家院子外开阔处无声屏障</w:t>
            </w:r>
            <w:r>
              <w:rPr>
                <w:rFonts w:hint="eastAsia" w:cs="Times New Roman"/>
                <w:color w:val="auto"/>
                <w:kern w:val="0"/>
                <w:sz w:val="21"/>
                <w:szCs w:val="21"/>
                <w:lang w:val="en-US" w:eastAsia="zh-CN"/>
              </w:rPr>
              <w:t>3</w:t>
            </w:r>
            <w:r>
              <w:rPr>
                <w:rFonts w:hint="default" w:ascii="Times New Roman" w:hAnsi="Times New Roman" w:eastAsia="宋体" w:cs="Times New Roman"/>
                <w:color w:val="auto"/>
                <w:kern w:val="0"/>
                <w:sz w:val="21"/>
                <w:szCs w:val="21"/>
                <w:lang w:val="en-US" w:eastAsia="zh-CN"/>
              </w:rPr>
              <w:t>0m处</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C1</w:t>
            </w:r>
            <w:r>
              <w:rPr>
                <w:rFonts w:hint="eastAsia" w:cs="Times New Roman"/>
                <w:color w:val="auto"/>
                <w:kern w:val="0"/>
                <w:sz w:val="21"/>
                <w:szCs w:val="21"/>
                <w:lang w:val="en-US" w:eastAsia="zh-CN"/>
              </w:rPr>
              <w:t>8</w:t>
            </w:r>
            <w:r>
              <w:rPr>
                <w:rFonts w:hint="default" w:ascii="Times New Roman" w:hAnsi="Times New Roman" w:eastAsia="宋体" w:cs="Times New Roman"/>
                <w:color w:val="auto"/>
                <w:kern w:val="0"/>
                <w:sz w:val="21"/>
                <w:szCs w:val="21"/>
                <w:lang w:val="en-US" w:eastAsia="zh-CN"/>
              </w:rPr>
              <w:t>）</w:t>
            </w:r>
          </w:p>
        </w:tc>
        <w:tc>
          <w:tcPr>
            <w:tcW w:w="402" w:type="pct"/>
            <w:tcBorders>
              <w:tl2br w:val="nil"/>
              <w:tr2bl w:val="nil"/>
            </w:tcBorders>
            <w:noWrap w:val="0"/>
            <w:vAlign w:val="center"/>
          </w:tcPr>
          <w:p w14:paraId="7F0EC3E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402" w:type="pct"/>
            <w:tcBorders>
              <w:tl2br w:val="nil"/>
              <w:tr2bl w:val="nil"/>
            </w:tcBorders>
            <w:noWrap w:val="0"/>
            <w:vAlign w:val="center"/>
          </w:tcPr>
          <w:p w14:paraId="2EA8C4E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409" w:type="pct"/>
            <w:gridSpan w:val="2"/>
            <w:tcBorders>
              <w:tl2br w:val="nil"/>
              <w:tr2bl w:val="nil"/>
            </w:tcBorders>
            <w:noWrap w:val="0"/>
            <w:vAlign w:val="center"/>
          </w:tcPr>
          <w:p w14:paraId="6BF93A1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1471931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36A68DB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377" w:type="pct"/>
            <w:tcBorders>
              <w:tl2br w:val="nil"/>
              <w:tr2bl w:val="nil"/>
            </w:tcBorders>
            <w:noWrap w:val="0"/>
            <w:vAlign w:val="center"/>
          </w:tcPr>
          <w:p w14:paraId="1375D24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358" w:type="pct"/>
            <w:tcBorders>
              <w:tl2br w:val="nil"/>
              <w:tr2bl w:val="nil"/>
            </w:tcBorders>
            <w:noWrap w:val="0"/>
            <w:vAlign w:val="center"/>
          </w:tcPr>
          <w:p w14:paraId="7ADEE47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4631886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188899A7">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EA64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05C96B3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72F031D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50B47ED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402" w:type="pct"/>
            <w:tcBorders>
              <w:tl2br w:val="nil"/>
              <w:tr2bl w:val="nil"/>
            </w:tcBorders>
            <w:noWrap w:val="0"/>
            <w:vAlign w:val="center"/>
          </w:tcPr>
          <w:p w14:paraId="4CD2DCC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409" w:type="pct"/>
            <w:gridSpan w:val="2"/>
            <w:tcBorders>
              <w:tl2br w:val="nil"/>
              <w:tr2bl w:val="nil"/>
            </w:tcBorders>
            <w:noWrap w:val="0"/>
            <w:vAlign w:val="center"/>
          </w:tcPr>
          <w:p w14:paraId="2A21672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4ABAF95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3CB3D14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377" w:type="pct"/>
            <w:tcBorders>
              <w:tl2br w:val="nil"/>
              <w:tr2bl w:val="nil"/>
            </w:tcBorders>
            <w:noWrap w:val="0"/>
            <w:vAlign w:val="center"/>
          </w:tcPr>
          <w:p w14:paraId="307754D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52</w:t>
            </w:r>
          </w:p>
        </w:tc>
        <w:tc>
          <w:tcPr>
            <w:tcW w:w="358" w:type="pct"/>
            <w:tcBorders>
              <w:tl2br w:val="nil"/>
              <w:tr2bl w:val="nil"/>
            </w:tcBorders>
            <w:noWrap w:val="0"/>
            <w:vAlign w:val="center"/>
          </w:tcPr>
          <w:p w14:paraId="60D9E31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0319696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70B755C3">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213C04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53C6F7B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49FA48D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C86E76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02" w:type="pct"/>
            <w:tcBorders>
              <w:tl2br w:val="nil"/>
              <w:tr2bl w:val="nil"/>
            </w:tcBorders>
            <w:noWrap w:val="0"/>
            <w:vAlign w:val="center"/>
          </w:tcPr>
          <w:p w14:paraId="18E1533D">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09" w:type="pct"/>
            <w:gridSpan w:val="2"/>
            <w:tcBorders>
              <w:tl2br w:val="nil"/>
              <w:tr2bl w:val="nil"/>
            </w:tcBorders>
            <w:noWrap w:val="0"/>
            <w:vAlign w:val="center"/>
          </w:tcPr>
          <w:p w14:paraId="5932907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2C30163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48A3F31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377" w:type="pct"/>
            <w:tcBorders>
              <w:tl2br w:val="nil"/>
              <w:tr2bl w:val="nil"/>
            </w:tcBorders>
            <w:noWrap w:val="0"/>
            <w:vAlign w:val="center"/>
          </w:tcPr>
          <w:p w14:paraId="72F9C67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51</w:t>
            </w:r>
          </w:p>
        </w:tc>
        <w:tc>
          <w:tcPr>
            <w:tcW w:w="358" w:type="pct"/>
            <w:tcBorders>
              <w:tl2br w:val="nil"/>
              <w:tr2bl w:val="nil"/>
            </w:tcBorders>
            <w:noWrap w:val="0"/>
            <w:vAlign w:val="center"/>
          </w:tcPr>
          <w:p w14:paraId="640C4BF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2DB2474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68AA2C0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9CC13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4E5DD289">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5A951613">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65E021D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402" w:type="pct"/>
            <w:tcBorders>
              <w:tl2br w:val="nil"/>
              <w:tr2bl w:val="nil"/>
            </w:tcBorders>
            <w:noWrap w:val="0"/>
            <w:vAlign w:val="center"/>
          </w:tcPr>
          <w:p w14:paraId="483D2A0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409" w:type="pct"/>
            <w:gridSpan w:val="2"/>
            <w:tcBorders>
              <w:tl2br w:val="nil"/>
              <w:tr2bl w:val="nil"/>
            </w:tcBorders>
            <w:noWrap w:val="0"/>
            <w:vAlign w:val="center"/>
          </w:tcPr>
          <w:p w14:paraId="03A1F37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38E0859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5C724EE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377" w:type="pct"/>
            <w:tcBorders>
              <w:tl2br w:val="nil"/>
              <w:tr2bl w:val="nil"/>
            </w:tcBorders>
            <w:noWrap w:val="0"/>
            <w:vAlign w:val="center"/>
          </w:tcPr>
          <w:p w14:paraId="64E9EDF3">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358" w:type="pct"/>
            <w:tcBorders>
              <w:tl2br w:val="nil"/>
              <w:tr2bl w:val="nil"/>
            </w:tcBorders>
            <w:noWrap w:val="0"/>
            <w:vAlign w:val="center"/>
          </w:tcPr>
          <w:p w14:paraId="17553AD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1DD686B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2ADBB031">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493F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0511D30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27</w:t>
            </w:r>
          </w:p>
        </w:tc>
        <w:tc>
          <w:tcPr>
            <w:tcW w:w="673" w:type="pct"/>
            <w:vMerge w:val="restart"/>
            <w:tcBorders>
              <w:tl2br w:val="nil"/>
              <w:tr2bl w:val="nil"/>
            </w:tcBorders>
            <w:noWrap w:val="0"/>
            <w:vAlign w:val="center"/>
          </w:tcPr>
          <w:p w14:paraId="058ED7E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斑竹村卢家院子外开阔处无声屏障</w:t>
            </w:r>
            <w:r>
              <w:rPr>
                <w:rFonts w:hint="eastAsia"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en-US" w:eastAsia="zh-CN"/>
              </w:rPr>
              <w:t>0m处</w:t>
            </w:r>
            <w:r>
              <w:rPr>
                <w:rFonts w:hint="eastAsia"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C1</w:t>
            </w:r>
            <w:r>
              <w:rPr>
                <w:rFonts w:hint="eastAsia" w:cs="Times New Roman"/>
                <w:color w:val="auto"/>
                <w:kern w:val="0"/>
                <w:sz w:val="21"/>
                <w:szCs w:val="21"/>
                <w:lang w:val="en-US" w:eastAsia="zh-CN"/>
              </w:rPr>
              <w:t>9</w:t>
            </w:r>
            <w:r>
              <w:rPr>
                <w:rFonts w:hint="default" w:ascii="Times New Roman" w:hAnsi="Times New Roman" w:eastAsia="宋体" w:cs="Times New Roman"/>
                <w:color w:val="auto"/>
                <w:kern w:val="0"/>
                <w:sz w:val="21"/>
                <w:szCs w:val="21"/>
                <w:lang w:val="en-US" w:eastAsia="zh-CN"/>
              </w:rPr>
              <w:t>）</w:t>
            </w:r>
          </w:p>
        </w:tc>
        <w:tc>
          <w:tcPr>
            <w:tcW w:w="402" w:type="pct"/>
            <w:tcBorders>
              <w:tl2br w:val="nil"/>
              <w:tr2bl w:val="nil"/>
            </w:tcBorders>
            <w:noWrap w:val="0"/>
            <w:vAlign w:val="center"/>
          </w:tcPr>
          <w:p w14:paraId="1FD50FDC">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02" w:type="pct"/>
            <w:tcBorders>
              <w:tl2br w:val="nil"/>
              <w:tr2bl w:val="nil"/>
            </w:tcBorders>
            <w:noWrap w:val="0"/>
            <w:vAlign w:val="center"/>
          </w:tcPr>
          <w:p w14:paraId="5D68B381">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09" w:type="pct"/>
            <w:gridSpan w:val="2"/>
            <w:tcBorders>
              <w:tl2br w:val="nil"/>
              <w:tr2bl w:val="nil"/>
            </w:tcBorders>
            <w:noWrap w:val="0"/>
            <w:vAlign w:val="center"/>
          </w:tcPr>
          <w:p w14:paraId="4723D24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69</w:t>
            </w:r>
          </w:p>
        </w:tc>
        <w:tc>
          <w:tcPr>
            <w:tcW w:w="487" w:type="pct"/>
            <w:tcBorders>
              <w:tl2br w:val="nil"/>
              <w:tr2bl w:val="nil"/>
            </w:tcBorders>
            <w:noWrap w:val="0"/>
            <w:vAlign w:val="center"/>
          </w:tcPr>
          <w:p w14:paraId="7628120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255</w:t>
            </w:r>
          </w:p>
        </w:tc>
        <w:tc>
          <w:tcPr>
            <w:tcW w:w="415" w:type="pct"/>
            <w:tcBorders>
              <w:tl2br w:val="nil"/>
              <w:tr2bl w:val="nil"/>
            </w:tcBorders>
            <w:noWrap w:val="0"/>
            <w:vAlign w:val="center"/>
          </w:tcPr>
          <w:p w14:paraId="04CF557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47</w:t>
            </w:r>
          </w:p>
        </w:tc>
        <w:tc>
          <w:tcPr>
            <w:tcW w:w="377" w:type="pct"/>
            <w:tcBorders>
              <w:tl2br w:val="nil"/>
              <w:tr2bl w:val="nil"/>
            </w:tcBorders>
            <w:noWrap w:val="0"/>
            <w:vAlign w:val="center"/>
          </w:tcPr>
          <w:p w14:paraId="1B97C0B7">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47</w:t>
            </w:r>
          </w:p>
        </w:tc>
        <w:tc>
          <w:tcPr>
            <w:tcW w:w="358" w:type="pct"/>
            <w:tcBorders>
              <w:tl2br w:val="nil"/>
              <w:tr2bl w:val="nil"/>
            </w:tcBorders>
            <w:noWrap w:val="0"/>
            <w:vAlign w:val="center"/>
          </w:tcPr>
          <w:p w14:paraId="6A8D1F7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51AFFE6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120</w:t>
            </w:r>
          </w:p>
        </w:tc>
        <w:tc>
          <w:tcPr>
            <w:tcW w:w="420" w:type="pct"/>
            <w:vMerge w:val="continue"/>
            <w:tcBorders>
              <w:tl2br w:val="nil"/>
              <w:tr2bl w:val="nil"/>
            </w:tcBorders>
            <w:noWrap w:val="0"/>
            <w:vAlign w:val="center"/>
          </w:tcPr>
          <w:p w14:paraId="1E88EF1C">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41613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2074CDB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3ED1CCE1">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0D3FA5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402" w:type="pct"/>
            <w:tcBorders>
              <w:tl2br w:val="nil"/>
              <w:tr2bl w:val="nil"/>
            </w:tcBorders>
            <w:noWrap w:val="0"/>
            <w:vAlign w:val="center"/>
          </w:tcPr>
          <w:p w14:paraId="03295745">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409" w:type="pct"/>
            <w:gridSpan w:val="2"/>
            <w:tcBorders>
              <w:tl2br w:val="nil"/>
              <w:tr2bl w:val="nil"/>
            </w:tcBorders>
            <w:noWrap w:val="0"/>
            <w:vAlign w:val="center"/>
          </w:tcPr>
          <w:p w14:paraId="14564FE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96</w:t>
            </w:r>
          </w:p>
        </w:tc>
        <w:tc>
          <w:tcPr>
            <w:tcW w:w="487" w:type="pct"/>
            <w:tcBorders>
              <w:tl2br w:val="nil"/>
              <w:tr2bl w:val="nil"/>
            </w:tcBorders>
            <w:noWrap w:val="0"/>
            <w:vAlign w:val="center"/>
          </w:tcPr>
          <w:p w14:paraId="4EFD28F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234</w:t>
            </w:r>
          </w:p>
        </w:tc>
        <w:tc>
          <w:tcPr>
            <w:tcW w:w="415" w:type="pct"/>
            <w:tcBorders>
              <w:tl2br w:val="nil"/>
              <w:tr2bl w:val="nil"/>
            </w:tcBorders>
            <w:noWrap w:val="0"/>
            <w:vAlign w:val="center"/>
          </w:tcPr>
          <w:p w14:paraId="15214546">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77" w:type="pct"/>
            <w:tcBorders>
              <w:tl2br w:val="nil"/>
              <w:tr2bl w:val="nil"/>
            </w:tcBorders>
            <w:noWrap w:val="0"/>
            <w:vAlign w:val="center"/>
          </w:tcPr>
          <w:p w14:paraId="44474C2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58" w:type="pct"/>
            <w:tcBorders>
              <w:tl2br w:val="nil"/>
              <w:tr2bl w:val="nil"/>
            </w:tcBorders>
            <w:noWrap w:val="0"/>
            <w:vAlign w:val="center"/>
          </w:tcPr>
          <w:p w14:paraId="361155C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57</w:t>
            </w:r>
          </w:p>
        </w:tc>
        <w:tc>
          <w:tcPr>
            <w:tcW w:w="478" w:type="pct"/>
            <w:tcBorders>
              <w:tl2br w:val="nil"/>
              <w:tr2bl w:val="nil"/>
            </w:tcBorders>
            <w:noWrap w:val="0"/>
            <w:vAlign w:val="center"/>
          </w:tcPr>
          <w:p w14:paraId="55C70DF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66</w:t>
            </w:r>
          </w:p>
        </w:tc>
        <w:tc>
          <w:tcPr>
            <w:tcW w:w="420" w:type="pct"/>
            <w:vMerge w:val="continue"/>
            <w:tcBorders>
              <w:tl2br w:val="nil"/>
              <w:tr2bl w:val="nil"/>
            </w:tcBorders>
            <w:noWrap w:val="0"/>
            <w:vAlign w:val="center"/>
          </w:tcPr>
          <w:p w14:paraId="0DBEC750">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32645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restart"/>
            <w:tcBorders>
              <w:tl2br w:val="nil"/>
              <w:tr2bl w:val="nil"/>
            </w:tcBorders>
            <w:noWrap w:val="0"/>
            <w:vAlign w:val="center"/>
          </w:tcPr>
          <w:p w14:paraId="79FE040F">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r>
              <w:rPr>
                <w:rFonts w:hint="default" w:ascii="Times New Roman" w:hAnsi="Times New Roman" w:eastAsia="宋体" w:cs="Times New Roman"/>
                <w:color w:val="auto"/>
                <w:spacing w:val="0"/>
                <w:w w:val="100"/>
                <w:kern w:val="2"/>
                <w:sz w:val="21"/>
                <w:szCs w:val="21"/>
                <w:lang w:val="en-US" w:eastAsia="zh-CN" w:bidi="ar-SA"/>
              </w:rPr>
              <w:t>2026.</w:t>
            </w:r>
            <w:r>
              <w:rPr>
                <w:rFonts w:hint="eastAsia" w:ascii="Times New Roman" w:hAnsi="Times New Roman" w:eastAsia="宋体" w:cs="Times New Roman"/>
                <w:color w:val="auto"/>
                <w:spacing w:val="0"/>
                <w:w w:val="100"/>
                <w:kern w:val="2"/>
                <w:sz w:val="21"/>
                <w:szCs w:val="21"/>
                <w:lang w:val="en-US" w:eastAsia="zh-CN" w:bidi="ar-SA"/>
              </w:rPr>
              <w:t>1</w:t>
            </w:r>
            <w:r>
              <w:rPr>
                <w:rFonts w:hint="default" w:ascii="Times New Roman" w:hAnsi="Times New Roman" w:eastAsia="宋体" w:cs="Times New Roman"/>
                <w:color w:val="auto"/>
                <w:spacing w:val="0"/>
                <w:w w:val="100"/>
                <w:kern w:val="2"/>
                <w:sz w:val="21"/>
                <w:szCs w:val="21"/>
                <w:lang w:val="en-US" w:eastAsia="zh-CN" w:bidi="ar-SA"/>
              </w:rPr>
              <w:t>.</w:t>
            </w:r>
            <w:r>
              <w:rPr>
                <w:rFonts w:hint="eastAsia" w:ascii="Times New Roman" w:hAnsi="Times New Roman" w:eastAsia="宋体" w:cs="Times New Roman"/>
                <w:color w:val="auto"/>
                <w:spacing w:val="0"/>
                <w:w w:val="100"/>
                <w:kern w:val="2"/>
                <w:sz w:val="21"/>
                <w:szCs w:val="21"/>
                <w:lang w:val="en-US" w:eastAsia="zh-CN" w:bidi="ar-SA"/>
              </w:rPr>
              <w:t>28</w:t>
            </w:r>
          </w:p>
        </w:tc>
        <w:tc>
          <w:tcPr>
            <w:tcW w:w="673" w:type="pct"/>
            <w:vMerge w:val="continue"/>
            <w:tcBorders>
              <w:tl2br w:val="nil"/>
              <w:tr2bl w:val="nil"/>
            </w:tcBorders>
            <w:noWrap w:val="0"/>
            <w:vAlign w:val="center"/>
          </w:tcPr>
          <w:p w14:paraId="21C548DF">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4BCB7FEB">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402" w:type="pct"/>
            <w:tcBorders>
              <w:tl2br w:val="nil"/>
              <w:tr2bl w:val="nil"/>
            </w:tcBorders>
            <w:noWrap w:val="0"/>
            <w:vAlign w:val="center"/>
          </w:tcPr>
          <w:p w14:paraId="63B433F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56</w:t>
            </w:r>
          </w:p>
        </w:tc>
        <w:tc>
          <w:tcPr>
            <w:tcW w:w="409" w:type="pct"/>
            <w:gridSpan w:val="2"/>
            <w:tcBorders>
              <w:tl2br w:val="nil"/>
              <w:tr2bl w:val="nil"/>
            </w:tcBorders>
            <w:noWrap w:val="0"/>
            <w:vAlign w:val="center"/>
          </w:tcPr>
          <w:p w14:paraId="45A6A19F">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54</w:t>
            </w:r>
          </w:p>
        </w:tc>
        <w:tc>
          <w:tcPr>
            <w:tcW w:w="487" w:type="pct"/>
            <w:tcBorders>
              <w:tl2br w:val="nil"/>
              <w:tr2bl w:val="nil"/>
            </w:tcBorders>
            <w:noWrap w:val="0"/>
            <w:vAlign w:val="center"/>
          </w:tcPr>
          <w:p w14:paraId="1049BD5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219</w:t>
            </w:r>
          </w:p>
        </w:tc>
        <w:tc>
          <w:tcPr>
            <w:tcW w:w="415" w:type="pct"/>
            <w:tcBorders>
              <w:tl2br w:val="nil"/>
              <w:tr2bl w:val="nil"/>
            </w:tcBorders>
            <w:noWrap w:val="0"/>
            <w:vAlign w:val="center"/>
          </w:tcPr>
          <w:p w14:paraId="767AE9E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77" w:type="pct"/>
            <w:tcBorders>
              <w:tl2br w:val="nil"/>
              <w:tr2bl w:val="nil"/>
            </w:tcBorders>
            <w:noWrap w:val="0"/>
            <w:vAlign w:val="center"/>
          </w:tcPr>
          <w:p w14:paraId="58533004">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48</w:t>
            </w:r>
          </w:p>
        </w:tc>
        <w:tc>
          <w:tcPr>
            <w:tcW w:w="358" w:type="pct"/>
            <w:tcBorders>
              <w:tl2br w:val="nil"/>
              <w:tr2bl w:val="nil"/>
            </w:tcBorders>
            <w:noWrap w:val="0"/>
            <w:vAlign w:val="center"/>
          </w:tcPr>
          <w:p w14:paraId="5EDF9F8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478" w:type="pct"/>
            <w:tcBorders>
              <w:tl2br w:val="nil"/>
              <w:tr2bl w:val="nil"/>
            </w:tcBorders>
            <w:noWrap w:val="0"/>
            <w:vAlign w:val="center"/>
          </w:tcPr>
          <w:p w14:paraId="5D6018E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153</w:t>
            </w:r>
          </w:p>
        </w:tc>
        <w:tc>
          <w:tcPr>
            <w:tcW w:w="420" w:type="pct"/>
            <w:vMerge w:val="continue"/>
            <w:tcBorders>
              <w:tl2br w:val="nil"/>
              <w:tr2bl w:val="nil"/>
            </w:tcBorders>
            <w:noWrap w:val="0"/>
            <w:vAlign w:val="center"/>
          </w:tcPr>
          <w:p w14:paraId="5A3CA93E">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19F33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74" w:type="pct"/>
            <w:vMerge w:val="continue"/>
            <w:tcBorders>
              <w:tl2br w:val="nil"/>
              <w:tr2bl w:val="nil"/>
            </w:tcBorders>
            <w:noWrap w:val="0"/>
            <w:vAlign w:val="center"/>
          </w:tcPr>
          <w:p w14:paraId="57080B7B">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pacing w:val="0"/>
                <w:w w:val="100"/>
                <w:kern w:val="2"/>
                <w:sz w:val="21"/>
                <w:szCs w:val="21"/>
                <w:lang w:val="en-US" w:eastAsia="zh-CN" w:bidi="ar-SA"/>
              </w:rPr>
            </w:pPr>
          </w:p>
        </w:tc>
        <w:tc>
          <w:tcPr>
            <w:tcW w:w="673" w:type="pct"/>
            <w:vMerge w:val="continue"/>
            <w:tcBorders>
              <w:tl2br w:val="nil"/>
              <w:tr2bl w:val="nil"/>
            </w:tcBorders>
            <w:noWrap w:val="0"/>
            <w:vAlign w:val="center"/>
          </w:tcPr>
          <w:p w14:paraId="22582F7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lang w:val="en-US" w:eastAsia="zh-CN"/>
              </w:rPr>
            </w:pPr>
          </w:p>
        </w:tc>
        <w:tc>
          <w:tcPr>
            <w:tcW w:w="402" w:type="pct"/>
            <w:tcBorders>
              <w:tl2br w:val="nil"/>
              <w:tr2bl w:val="nil"/>
            </w:tcBorders>
            <w:noWrap w:val="0"/>
            <w:vAlign w:val="center"/>
          </w:tcPr>
          <w:p w14:paraId="37930A4A">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402" w:type="pct"/>
            <w:tcBorders>
              <w:tl2br w:val="nil"/>
              <w:tr2bl w:val="nil"/>
            </w:tcBorders>
            <w:noWrap w:val="0"/>
            <w:vAlign w:val="center"/>
          </w:tcPr>
          <w:p w14:paraId="465BFDE9">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409" w:type="pct"/>
            <w:gridSpan w:val="2"/>
            <w:tcBorders>
              <w:tl2br w:val="nil"/>
              <w:tr2bl w:val="nil"/>
            </w:tcBorders>
            <w:noWrap w:val="0"/>
            <w:vAlign w:val="center"/>
          </w:tcPr>
          <w:p w14:paraId="57DA6D70">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132</w:t>
            </w:r>
          </w:p>
        </w:tc>
        <w:tc>
          <w:tcPr>
            <w:tcW w:w="487" w:type="pct"/>
            <w:tcBorders>
              <w:tl2br w:val="nil"/>
              <w:tr2bl w:val="nil"/>
            </w:tcBorders>
            <w:noWrap w:val="0"/>
            <w:vAlign w:val="center"/>
          </w:tcPr>
          <w:p w14:paraId="39429A5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246</w:t>
            </w:r>
          </w:p>
        </w:tc>
        <w:tc>
          <w:tcPr>
            <w:tcW w:w="415" w:type="pct"/>
            <w:tcBorders>
              <w:tl2br w:val="nil"/>
              <w:tr2bl w:val="nil"/>
            </w:tcBorders>
            <w:noWrap w:val="0"/>
            <w:vAlign w:val="center"/>
          </w:tcPr>
          <w:p w14:paraId="4B74472E">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77" w:type="pct"/>
            <w:tcBorders>
              <w:tl2br w:val="nil"/>
              <w:tr2bl w:val="nil"/>
            </w:tcBorders>
            <w:noWrap w:val="0"/>
            <w:vAlign w:val="center"/>
          </w:tcPr>
          <w:p w14:paraId="7235E14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49</w:t>
            </w:r>
          </w:p>
        </w:tc>
        <w:tc>
          <w:tcPr>
            <w:tcW w:w="358" w:type="pct"/>
            <w:tcBorders>
              <w:tl2br w:val="nil"/>
              <w:tr2bl w:val="nil"/>
            </w:tcBorders>
            <w:noWrap w:val="0"/>
            <w:vAlign w:val="center"/>
          </w:tcPr>
          <w:p w14:paraId="5143E942">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78" w:type="pct"/>
            <w:tcBorders>
              <w:tl2br w:val="nil"/>
              <w:tr2bl w:val="nil"/>
            </w:tcBorders>
            <w:noWrap w:val="0"/>
            <w:vAlign w:val="center"/>
          </w:tcPr>
          <w:p w14:paraId="686B9398">
            <w:pPr>
              <w:keepNext w:val="0"/>
              <w:keepLines w:val="0"/>
              <w:pageBreakBefore w:val="0"/>
              <w:widowControl w:val="0"/>
              <w:kinsoku/>
              <w:wordWrap/>
              <w:overflowPunct/>
              <w:topLinePunct w:val="0"/>
              <w:autoSpaceDE/>
              <w:autoSpaceDN/>
              <w:bidi w:val="0"/>
              <w:adjustRightInd w:val="0"/>
              <w:snapToGrid w:val="0"/>
              <w:spacing w:line="240" w:lineRule="auto"/>
              <w:ind w:left="-96" w:leftChars="-40" w:right="-96" w:rightChars="-40" w:firstLine="0" w:firstLine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42</w:t>
            </w:r>
          </w:p>
        </w:tc>
        <w:tc>
          <w:tcPr>
            <w:tcW w:w="420" w:type="pct"/>
            <w:vMerge w:val="continue"/>
            <w:tcBorders>
              <w:tl2br w:val="nil"/>
              <w:tr2bl w:val="nil"/>
            </w:tcBorders>
            <w:noWrap w:val="0"/>
            <w:vAlign w:val="center"/>
          </w:tcPr>
          <w:p w14:paraId="0D442D4D">
            <w:pPr>
              <w:pStyle w:val="39"/>
              <w:keepNext w:val="0"/>
              <w:keepLines w:val="0"/>
              <w:pageBreakBefore w:val="0"/>
              <w:widowControl w:val="0"/>
              <w:kinsoku/>
              <w:wordWrap/>
              <w:overflowPunct/>
              <w:topLinePunct w:val="0"/>
              <w:autoSpaceDE/>
              <w:autoSpaceDN/>
              <w:bidi w:val="0"/>
              <w:ind w:left="-57" w:leftChars="0" w:right="-57" w:rightChars="0" w:firstLine="0" w:firstLineChars="0"/>
              <w:textAlignment w:val="auto"/>
              <w:rPr>
                <w:rFonts w:hint="default" w:ascii="Times New Roman" w:hAnsi="Times New Roman" w:eastAsia="宋体" w:cs="Times New Roman"/>
                <w:color w:val="auto"/>
                <w:sz w:val="21"/>
                <w:szCs w:val="21"/>
                <w:lang w:eastAsia="zh-CN"/>
              </w:rPr>
            </w:pPr>
          </w:p>
        </w:tc>
      </w:tr>
      <w:tr w14:paraId="68B19C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08FEB46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评价标准值</w:t>
            </w:r>
          </w:p>
        </w:tc>
        <w:tc>
          <w:tcPr>
            <w:tcW w:w="3752" w:type="pct"/>
            <w:gridSpan w:val="10"/>
            <w:tcBorders>
              <w:tl2br w:val="nil"/>
              <w:tr2bl w:val="nil"/>
            </w:tcBorders>
            <w:noWrap w:val="0"/>
            <w:vAlign w:val="center"/>
          </w:tcPr>
          <w:p w14:paraId="69350A44">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C12-C14、C16-C18</w:t>
            </w:r>
            <w:r>
              <w:rPr>
                <w:rFonts w:hint="eastAsia" w:cs="Times New Roman"/>
                <w:color w:val="auto"/>
                <w:sz w:val="21"/>
                <w:szCs w:val="21"/>
                <w:lang w:eastAsia="zh-CN"/>
              </w:rPr>
              <w:t>：</w:t>
            </w:r>
            <w:r>
              <w:rPr>
                <w:rFonts w:hint="default" w:ascii="Times New Roman" w:hAnsi="Times New Roman" w:eastAsia="宋体" w:cs="Times New Roman"/>
                <w:color w:val="auto"/>
                <w:sz w:val="21"/>
                <w:szCs w:val="21"/>
                <w:lang w:eastAsia="zh-CN"/>
              </w:rPr>
              <w:t>昼间≤70dB：夜间≤55dB:C15、C19：昼间≤60dB；夜间≤50dB。</w:t>
            </w:r>
          </w:p>
        </w:tc>
      </w:tr>
      <w:tr w14:paraId="06817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33B191F8">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评价依据</w:t>
            </w:r>
          </w:p>
        </w:tc>
        <w:tc>
          <w:tcPr>
            <w:tcW w:w="3752" w:type="pct"/>
            <w:gridSpan w:val="10"/>
            <w:tcBorders>
              <w:tl2br w:val="nil"/>
              <w:tr2bl w:val="nil"/>
            </w:tcBorders>
            <w:noWrap w:val="0"/>
            <w:vAlign w:val="center"/>
          </w:tcPr>
          <w:p w14:paraId="1C742CF6">
            <w:pPr>
              <w:keepNext w:val="0"/>
              <w:keepLines w:val="0"/>
              <w:pageBreakBefore w:val="0"/>
              <w:widowControl w:val="0"/>
              <w:kinsoku/>
              <w:wordWrap/>
              <w:overflowPunct/>
              <w:topLinePunct w:val="0"/>
              <w:autoSpaceDE/>
              <w:autoSpaceDN/>
              <w:bidi w:val="0"/>
              <w:adjustRightInd w:val="0"/>
              <w:snapToGrid w:val="0"/>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0"/>
                <w:w w:val="100"/>
                <w:kern w:val="2"/>
                <w:sz w:val="21"/>
                <w:szCs w:val="21"/>
                <w:lang w:val="en-US" w:eastAsia="zh-CN" w:bidi="ar-SA"/>
              </w:rPr>
              <w:t>《声环境质量标准》（GB 3096-2008）中2类</w:t>
            </w:r>
            <w:r>
              <w:rPr>
                <w:rFonts w:hint="eastAsia" w:cs="Times New Roman"/>
                <w:color w:val="auto"/>
                <w:spacing w:val="0"/>
                <w:w w:val="100"/>
                <w:kern w:val="2"/>
                <w:sz w:val="21"/>
                <w:szCs w:val="21"/>
                <w:lang w:val="en-US" w:eastAsia="zh-CN" w:bidi="ar-SA"/>
              </w:rPr>
              <w:t>、4a</w:t>
            </w:r>
            <w:r>
              <w:rPr>
                <w:rFonts w:hint="default" w:ascii="Times New Roman" w:hAnsi="Times New Roman" w:eastAsia="宋体" w:cs="Times New Roman"/>
                <w:color w:val="auto"/>
                <w:spacing w:val="0"/>
                <w:w w:val="100"/>
                <w:kern w:val="2"/>
                <w:sz w:val="21"/>
                <w:szCs w:val="21"/>
                <w:lang w:val="en-US" w:eastAsia="zh-CN" w:bidi="ar-SA"/>
              </w:rPr>
              <w:t>标准。</w:t>
            </w:r>
          </w:p>
        </w:tc>
      </w:tr>
      <w:tr w14:paraId="34A449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57E21E9B">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kern w:val="0"/>
                <w:sz w:val="21"/>
                <w:szCs w:val="21"/>
                <w:highlight w:val="none"/>
                <w:lang w:val="en-US" w:eastAsia="zh-CN"/>
              </w:rPr>
              <w:t>检测结论</w:t>
            </w:r>
          </w:p>
        </w:tc>
        <w:tc>
          <w:tcPr>
            <w:tcW w:w="3752" w:type="pct"/>
            <w:gridSpan w:val="10"/>
            <w:tcBorders>
              <w:tl2br w:val="nil"/>
              <w:tr2bl w:val="nil"/>
            </w:tcBorders>
            <w:noWrap w:val="0"/>
            <w:vAlign w:val="center"/>
          </w:tcPr>
          <w:p w14:paraId="63C367AD">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次检测，城市区域环境噪声检测点C12-C14、C17、C18处昼间、夜间检测结果均满足《声环境质量标准》（GB3096-2008）4a类标准要求C16处昼间检测结果满足《声环境质量标准》（GB3096-2008）4a类标准要求，C16处夜间检测结果不满足《声环境质量标准》（GB3096-2008）4a类标准要求，C15、C19处昼间、夜间检测结果均满足《声环境质量标准》（GB3096-2008）2类标准要求。</w:t>
            </w:r>
          </w:p>
        </w:tc>
      </w:tr>
      <w:tr w14:paraId="100802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247" w:type="pct"/>
            <w:gridSpan w:val="2"/>
            <w:tcBorders>
              <w:tl2br w:val="nil"/>
              <w:tr2bl w:val="nil"/>
            </w:tcBorders>
            <w:noWrap w:val="0"/>
            <w:vAlign w:val="center"/>
          </w:tcPr>
          <w:p w14:paraId="123A28B6">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备注</w:t>
            </w:r>
          </w:p>
        </w:tc>
        <w:tc>
          <w:tcPr>
            <w:tcW w:w="3752" w:type="pct"/>
            <w:gridSpan w:val="10"/>
            <w:tcBorders>
              <w:tl2br w:val="nil"/>
              <w:tr2bl w:val="nil"/>
            </w:tcBorders>
            <w:noWrap w:val="0"/>
            <w:vAlign w:val="center"/>
          </w:tcPr>
          <w:p w14:paraId="1C4C2525">
            <w:pPr>
              <w:keepNext w:val="0"/>
              <w:keepLines w:val="0"/>
              <w:pageBreakBefore w:val="0"/>
              <w:widowControl w:val="0"/>
              <w:kinsoku/>
              <w:wordWrap/>
              <w:overflowPunct/>
              <w:topLinePunct w:val="0"/>
              <w:autoSpaceDE/>
              <w:autoSpaceDN/>
              <w:bidi w:val="0"/>
              <w:adjustRightInd/>
              <w:snapToGrid/>
              <w:spacing w:line="240" w:lineRule="auto"/>
              <w:ind w:left="-57" w:leftChars="0" w:right="-57"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检测路段名称：S47渝广高速。</w:t>
            </w:r>
          </w:p>
        </w:tc>
      </w:tr>
    </w:tbl>
    <w:p w14:paraId="5196129D">
      <w:pPr>
        <w:spacing w:before="240"/>
        <w:ind w:firstLine="480"/>
        <w:rPr>
          <w:rFonts w:hint="default" w:ascii="Times New Roman" w:hAnsi="Times New Roman" w:cs="Times New Roman"/>
          <w:color w:val="auto"/>
          <w:szCs w:val="24"/>
        </w:rPr>
      </w:pPr>
      <w:r>
        <w:rPr>
          <w:rFonts w:hint="default" w:ascii="Times New Roman" w:hAnsi="Times New Roman" w:cs="Times New Roman"/>
          <w:color w:val="auto"/>
          <w:szCs w:val="24"/>
        </w:rPr>
        <w:t>（2）降噪效果评价</w:t>
      </w:r>
    </w:p>
    <w:p w14:paraId="16C66C62">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本次调查为验证声屏障的实际降噪效果，通过对</w:t>
      </w:r>
      <w:r>
        <w:rPr>
          <w:rFonts w:hint="default" w:ascii="Times New Roman" w:hAnsi="Times New Roman" w:eastAsia="宋体" w:cs="Times New Roman"/>
          <w:color w:val="auto"/>
          <w:kern w:val="0"/>
          <w:sz w:val="21"/>
          <w:szCs w:val="21"/>
          <w:lang w:val="en-US" w:eastAsia="zh-CN"/>
        </w:rPr>
        <w:t>卢家院子</w:t>
      </w:r>
      <w:r>
        <w:rPr>
          <w:rStyle w:val="25"/>
          <w:rFonts w:hint="eastAsia" w:cs="Times New Roman"/>
          <w:color w:val="auto"/>
          <w:szCs w:val="24"/>
          <w:lang w:val="en-US" w:eastAsia="zh-CN"/>
        </w:rPr>
        <w:t>声屏障</w:t>
      </w:r>
      <w:r>
        <w:rPr>
          <w:rFonts w:hint="default" w:ascii="Times New Roman" w:hAnsi="Times New Roman" w:cs="Times New Roman"/>
          <w:color w:val="auto"/>
          <w:szCs w:val="24"/>
        </w:rPr>
        <w:t>内外同步监测，其降噪效果如下表。</w:t>
      </w:r>
    </w:p>
    <w:p w14:paraId="5CEB4B9F">
      <w:pPr>
        <w:pStyle w:val="9"/>
        <w:rPr>
          <w:rFonts w:hint="eastAsia" w:ascii="Times New Roman" w:hAnsi="Times New Roman" w:eastAsia="宋体" w:cs="Times New Roman"/>
          <w:color w:val="auto"/>
          <w:lang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6.3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9</w:t>
      </w:r>
      <w:r>
        <w:rPr>
          <w:rFonts w:hint="default" w:ascii="Times New Roman" w:hAnsi="Times New Roman" w:cs="Times New Roman"/>
          <w:color w:val="auto"/>
        </w:rPr>
        <w:fldChar w:fldCharType="end"/>
      </w:r>
      <w:r>
        <w:rPr>
          <w:rFonts w:hint="default" w:ascii="Times New Roman" w:hAnsi="Times New Roman" w:cs="Times New Roman"/>
          <w:color w:val="auto"/>
        </w:rPr>
        <w:t>声屏障降噪量单位：dB</w:t>
      </w:r>
      <w:r>
        <w:rPr>
          <w:rFonts w:hint="eastAsia" w:cs="Times New Roman"/>
          <w:color w:val="auto"/>
          <w:lang w:eastAsia="zh-CN"/>
        </w:rPr>
        <w:t>（</w:t>
      </w:r>
      <w:r>
        <w:rPr>
          <w:rFonts w:hint="default" w:ascii="Times New Roman" w:hAnsi="Times New Roman" w:cs="Times New Roman"/>
          <w:color w:val="auto"/>
        </w:rPr>
        <w:t>A</w:t>
      </w:r>
      <w:r>
        <w:rPr>
          <w:rFonts w:hint="eastAsia" w:cs="Times New Roman"/>
          <w:color w:val="auto"/>
          <w:lang w:eastAsia="zh-CN"/>
        </w:rPr>
        <w:t>）</w:t>
      </w:r>
    </w:p>
    <w:tbl>
      <w:tblPr>
        <w:tblStyle w:val="2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02"/>
        <w:gridCol w:w="990"/>
        <w:gridCol w:w="990"/>
        <w:gridCol w:w="990"/>
        <w:gridCol w:w="990"/>
        <w:gridCol w:w="990"/>
        <w:gridCol w:w="990"/>
        <w:gridCol w:w="990"/>
        <w:gridCol w:w="990"/>
      </w:tblGrid>
      <w:tr w14:paraId="408726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53" w:type="pct"/>
            <w:tcBorders>
              <w:top w:val="single" w:color="000000" w:sz="4" w:space="0"/>
              <w:left w:val="single" w:color="000000" w:sz="4" w:space="0"/>
              <w:bottom w:val="single" w:color="000000" w:sz="4" w:space="0"/>
              <w:right w:val="single" w:color="000000" w:sz="4" w:space="0"/>
            </w:tcBorders>
            <w:noWrap/>
            <w:vAlign w:val="center"/>
          </w:tcPr>
          <w:p w14:paraId="503FCB1D">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距离</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4516B8F9">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一次昼间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43BD0C14">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二次昼间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69CC3582">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一次夜间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21F64A02">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二次夜间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79568218">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三次昼间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56DEA48">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四次昼间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05B613FF">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三次夜间</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622A8903">
            <w:pPr>
              <w:widowControl/>
              <w:spacing w:line="240" w:lineRule="auto"/>
              <w:ind w:firstLine="0" w:firstLineChars="0"/>
              <w:jc w:val="center"/>
              <w:rPr>
                <w:rFonts w:hint="eastAsia" w:ascii="Times New Roman" w:hAnsi="Times New Roman" w:eastAsia="宋体" w:cs="Times New Roman"/>
                <w:b/>
                <w:bCs/>
                <w:color w:val="auto"/>
                <w:kern w:val="0"/>
                <w:sz w:val="21"/>
                <w:szCs w:val="21"/>
                <w:lang w:val="en-US" w:eastAsia="zh-CN"/>
              </w:rPr>
            </w:pPr>
            <w:r>
              <w:rPr>
                <w:rFonts w:hint="eastAsia" w:ascii="Times New Roman" w:hAnsi="Times New Roman" w:eastAsia="宋体" w:cs="Times New Roman"/>
                <w:b/>
                <w:bCs/>
                <w:color w:val="auto"/>
                <w:kern w:val="0"/>
                <w:sz w:val="21"/>
                <w:szCs w:val="21"/>
                <w:lang w:val="en-US" w:eastAsia="zh-CN"/>
              </w:rPr>
              <w:t>四次夜间</w:t>
            </w:r>
          </w:p>
        </w:tc>
      </w:tr>
      <w:tr w14:paraId="4E397F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53" w:type="pct"/>
            <w:tcBorders>
              <w:top w:val="single" w:color="000000" w:sz="4" w:space="0"/>
              <w:left w:val="single" w:color="000000" w:sz="4" w:space="0"/>
              <w:bottom w:val="single" w:color="000000" w:sz="4" w:space="0"/>
              <w:right w:val="single" w:color="000000" w:sz="4" w:space="0"/>
            </w:tcBorders>
            <w:noWrap/>
            <w:vAlign w:val="center"/>
          </w:tcPr>
          <w:p w14:paraId="1487AA09">
            <w:pPr>
              <w:widowControl/>
              <w:spacing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10m</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A20FA58">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24D14F9">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9</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D4F684C">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598EDB6">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4F4C1272">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10</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0A29E75">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9</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1B16DF29">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FB773ED">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r>
      <w:tr w14:paraId="33943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53" w:type="pct"/>
            <w:tcBorders>
              <w:top w:val="single" w:color="000000" w:sz="4" w:space="0"/>
              <w:left w:val="single" w:color="000000" w:sz="4" w:space="0"/>
              <w:bottom w:val="single" w:color="000000" w:sz="4" w:space="0"/>
              <w:right w:val="single" w:color="000000" w:sz="4" w:space="0"/>
            </w:tcBorders>
            <w:noWrap/>
            <w:vAlign w:val="center"/>
          </w:tcPr>
          <w:p w14:paraId="376481D3">
            <w:pPr>
              <w:widowControl/>
              <w:spacing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20m</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7984044">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068DA5AF">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F9DCAAE">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C5971E2">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2EB353B3">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C1F321B">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1C61DB20">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037F4FF6">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r>
      <w:tr w14:paraId="5DC34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53" w:type="pct"/>
            <w:tcBorders>
              <w:top w:val="single" w:color="000000" w:sz="4" w:space="0"/>
              <w:left w:val="single" w:color="000000" w:sz="4" w:space="0"/>
              <w:bottom w:val="single" w:color="000000" w:sz="4" w:space="0"/>
              <w:right w:val="single" w:color="000000" w:sz="4" w:space="0"/>
            </w:tcBorders>
            <w:noWrap/>
            <w:vAlign w:val="center"/>
          </w:tcPr>
          <w:p w14:paraId="732918FB">
            <w:pPr>
              <w:widowControl/>
              <w:spacing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30m</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C6AD01D">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2D9633E3">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77C2C03D">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7C42B230">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419A17D1">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74A9CEF">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3249ACFC">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0EEAA3A3">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r>
      <w:tr w14:paraId="0B6C2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53" w:type="pct"/>
            <w:tcBorders>
              <w:top w:val="single" w:color="000000" w:sz="4" w:space="0"/>
              <w:left w:val="single" w:color="000000" w:sz="4" w:space="0"/>
              <w:bottom w:val="single" w:color="000000" w:sz="4" w:space="0"/>
              <w:right w:val="single" w:color="000000" w:sz="4" w:space="0"/>
            </w:tcBorders>
            <w:noWrap/>
            <w:vAlign w:val="center"/>
          </w:tcPr>
          <w:p w14:paraId="414E0C83">
            <w:pPr>
              <w:widowControl/>
              <w:spacing w:line="240" w:lineRule="auto"/>
              <w:ind w:firstLine="0" w:firstLineChars="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40m</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10487011">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144746A">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009939A4">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73CCE7D3">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4</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16E4F92A">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09C47134">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9</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5A515D27">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4</w:t>
            </w:r>
          </w:p>
        </w:tc>
        <w:tc>
          <w:tcPr>
            <w:tcW w:w="580" w:type="pct"/>
            <w:tcBorders>
              <w:top w:val="single" w:color="000000" w:sz="4" w:space="0"/>
              <w:left w:val="single" w:color="000000" w:sz="4" w:space="0"/>
              <w:bottom w:val="single" w:color="000000" w:sz="4" w:space="0"/>
              <w:right w:val="single" w:color="000000" w:sz="4" w:space="0"/>
            </w:tcBorders>
            <w:noWrap/>
            <w:vAlign w:val="center"/>
          </w:tcPr>
          <w:p w14:paraId="7D9A9819">
            <w:pPr>
              <w:widowControl/>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w:t>
            </w:r>
          </w:p>
        </w:tc>
      </w:tr>
    </w:tbl>
    <w:p w14:paraId="09D50476">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从表中可以看出，降噪效果总体较好，采取声屏障以后所有的监测噪声均可以达标。</w:t>
      </w:r>
    </w:p>
    <w:p w14:paraId="25A78198">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6.3.4</w:t>
      </w:r>
      <w:r>
        <w:rPr>
          <w:rFonts w:hint="default" w:ascii="Times New Roman" w:hAnsi="Times New Roman" w:cs="Times New Roman"/>
          <w:color w:val="auto"/>
        </w:rPr>
        <w:t>运营中期交通噪声校核</w:t>
      </w:r>
    </w:p>
    <w:p w14:paraId="6CDD383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根据《建设项目竣工环境保护验收技术规范公路》</w:t>
      </w:r>
      <w:r>
        <w:rPr>
          <w:rFonts w:hint="eastAsia" w:cs="Times New Roman"/>
          <w:color w:val="auto"/>
          <w:szCs w:val="24"/>
          <w:lang w:eastAsia="zh-CN"/>
        </w:rPr>
        <w:t>（</w:t>
      </w:r>
      <w:r>
        <w:rPr>
          <w:rFonts w:hint="default" w:ascii="Times New Roman" w:hAnsi="Times New Roman" w:cs="Times New Roman"/>
          <w:color w:val="auto"/>
          <w:szCs w:val="24"/>
        </w:rPr>
        <w:t>HJ552-2010</w:t>
      </w:r>
      <w:r>
        <w:rPr>
          <w:rFonts w:hint="eastAsia" w:cs="Times New Roman"/>
          <w:color w:val="auto"/>
          <w:szCs w:val="24"/>
          <w:lang w:eastAsia="zh-CN"/>
        </w:rPr>
        <w:t>）</w:t>
      </w:r>
      <w:r>
        <w:rPr>
          <w:rFonts w:hint="default" w:ascii="Times New Roman" w:hAnsi="Times New Roman" w:cs="Times New Roman"/>
          <w:color w:val="auto"/>
          <w:szCs w:val="24"/>
        </w:rPr>
        <w:t>要求：“验收调查的公路建设项目按实际交通量进行调查，注明实际交通量。未达到预测交通量的75%时，应对中期预测交通量进行校核，并按校核的中期预测交通量对主要环境保护措施进行复核。”</w:t>
      </w:r>
    </w:p>
    <w:p w14:paraId="3A2B01D8">
      <w:pPr>
        <w:pStyle w:val="24"/>
        <w:ind w:firstLine="480"/>
        <w:rPr>
          <w:rFonts w:hint="eastAsia" w:ascii="Times New Roman" w:hAnsi="Times New Roman" w:eastAsia="宋体" w:cs="Times New Roman"/>
          <w:color w:val="auto"/>
          <w:szCs w:val="24"/>
          <w:lang w:val="en-US" w:eastAsia="zh-CN"/>
        </w:rPr>
      </w:pPr>
      <w:r>
        <w:rPr>
          <w:rFonts w:hint="eastAsia" w:cs="Times New Roman"/>
          <w:color w:val="auto"/>
          <w:szCs w:val="24"/>
          <w:lang w:val="en-US" w:eastAsia="zh-CN"/>
        </w:rPr>
        <w:t>本次车流量校核详见章节2.5.2，根据校核结果，无需对</w:t>
      </w:r>
      <w:r>
        <w:rPr>
          <w:rFonts w:hint="default" w:ascii="Times New Roman" w:hAnsi="Times New Roman" w:cs="Times New Roman"/>
          <w:color w:val="auto"/>
          <w:szCs w:val="24"/>
        </w:rPr>
        <w:t>中期预测交通量进行校核</w:t>
      </w:r>
      <w:r>
        <w:rPr>
          <w:rFonts w:hint="eastAsia" w:cs="Times New Roman"/>
          <w:color w:val="auto"/>
          <w:szCs w:val="24"/>
          <w:lang w:eastAsia="zh-CN"/>
        </w:rPr>
        <w:t>。</w:t>
      </w:r>
    </w:p>
    <w:p w14:paraId="0E550AD1">
      <w:pPr>
        <w:pStyle w:val="3"/>
        <w:numPr>
          <w:ilvl w:val="0"/>
          <w:numId w:val="0"/>
        </w:numPr>
        <w:ind w:left="578" w:leftChars="0" w:hanging="578" w:firstLineChars="0"/>
        <w:rPr>
          <w:rFonts w:hint="default" w:ascii="Times New Roman" w:hAnsi="Times New Roman" w:cs="Times New Roman"/>
          <w:color w:val="auto"/>
        </w:rPr>
      </w:pPr>
      <w:bookmarkStart w:id="151" w:name="_Toc25467"/>
      <w:bookmarkStart w:id="152" w:name="_Toc27966"/>
      <w:r>
        <w:rPr>
          <w:rFonts w:hint="eastAsia" w:ascii="Times New Roman" w:hAnsi="Times New Roman" w:cs="Times New Roman"/>
          <w:b/>
          <w:bCs/>
          <w:color w:val="auto"/>
          <w:kern w:val="2"/>
          <w:sz w:val="32"/>
          <w:szCs w:val="32"/>
          <w:lang w:val="en-US" w:eastAsia="zh-CN" w:bidi="ar-SA"/>
        </w:rPr>
        <w:t>6.4</w:t>
      </w:r>
      <w:r>
        <w:rPr>
          <w:rFonts w:hint="default" w:ascii="Times New Roman" w:hAnsi="Times New Roman" w:cs="Times New Roman"/>
          <w:color w:val="auto"/>
        </w:rPr>
        <w:t>声环境影响调查结论</w:t>
      </w:r>
      <w:bookmarkEnd w:id="151"/>
      <w:bookmarkEnd w:id="152"/>
    </w:p>
    <w:p w14:paraId="146927F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（1）敏感目标核实与调查：</w:t>
      </w:r>
    </w:p>
    <w:p w14:paraId="658EA2B7">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根据《广安市过境高速公路东环线及渝广高速支线项目（重庆合川境）（重新报批）环境影响报告书》（报批稿）及现场核实，本项目运营期声环境保护目标共</w:t>
      </w:r>
      <w:r>
        <w:rPr>
          <w:rFonts w:hint="eastAsia" w:ascii="Times New Roman" w:hAnsi="Times New Roman" w:eastAsia="宋体" w:cs="Times New Roman"/>
          <w:color w:val="auto"/>
          <w:szCs w:val="24"/>
          <w:lang w:val="en-US" w:eastAsia="zh-CN"/>
        </w:rPr>
        <w:t>2</w:t>
      </w:r>
      <w:r>
        <w:rPr>
          <w:rFonts w:hint="eastAsia" w:cs="Times New Roman"/>
          <w:color w:val="auto"/>
          <w:szCs w:val="24"/>
          <w:lang w:val="en-US" w:eastAsia="zh-CN"/>
        </w:rPr>
        <w:t>7</w:t>
      </w:r>
      <w:r>
        <w:rPr>
          <w:rFonts w:hint="default" w:ascii="Times New Roman" w:hAnsi="Times New Roman" w:eastAsia="宋体" w:cs="Times New Roman"/>
          <w:color w:val="auto"/>
          <w:szCs w:val="24"/>
        </w:rPr>
        <w:t>处，均为沿线分散居民点。本次验收对环评阶段要求落实降噪措施、线路变动后临近的敏感点进行了代表性监测，共对桂花村吊脚楼居民点、大田村华家屋基居民点、斑竹村马鞍桥居民点、斑竹村石梁子居民点、斑竹村新竹湾居民点、2#斑竹村长五间居民点、1#石窝村八角庙居民点等7处敏感点开展了声环境质量监测。</w:t>
      </w:r>
    </w:p>
    <w:p w14:paraId="6A0F3E5F">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（2）环保措施落实情况：</w:t>
      </w:r>
    </w:p>
    <w:p w14:paraId="0F69E5EA">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建设单位已根据重新报批环评（渝</w:t>
      </w:r>
      <w:r>
        <w:rPr>
          <w:rFonts w:hint="eastAsia" w:cs="Times New Roman"/>
          <w:color w:val="auto"/>
          <w:szCs w:val="24"/>
          <w:lang w:eastAsia="zh-CN"/>
        </w:rPr>
        <w:t>（</w:t>
      </w:r>
      <w:r>
        <w:rPr>
          <w:rFonts w:hint="default" w:ascii="Times New Roman" w:hAnsi="Times New Roman" w:eastAsia="宋体" w:cs="Times New Roman"/>
          <w:color w:val="auto"/>
          <w:szCs w:val="24"/>
        </w:rPr>
        <w:t>合</w:t>
      </w:r>
      <w:r>
        <w:rPr>
          <w:rFonts w:hint="eastAsia" w:cs="Times New Roman"/>
          <w:color w:val="auto"/>
          <w:szCs w:val="24"/>
          <w:lang w:eastAsia="zh-CN"/>
        </w:rPr>
        <w:t>）</w:t>
      </w:r>
      <w:r>
        <w:rPr>
          <w:rFonts w:hint="default" w:ascii="Times New Roman" w:hAnsi="Times New Roman" w:eastAsia="宋体" w:cs="Times New Roman"/>
          <w:color w:val="auto"/>
          <w:szCs w:val="24"/>
        </w:rPr>
        <w:t>环准〔2026〕12号）要求及工程线路、敏感点的实际变动情况，对声污染防治措施进行了优化和落实。原环评设计声屏障2100m，因线路调整导致敏感点分布变化，实际在响水村蔡家垭口居民点、大田村狮子寨居民点等7处预测超标的敏感点路段建设了共计1058m的3m高直立式声屏障。本次验收监测表明，已安装声屏障的敏感点声环境质量达标，措施具有针对性且有效。</w:t>
      </w:r>
    </w:p>
    <w:p w14:paraId="69771381">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（3）运营期声环境质量现状：</w:t>
      </w:r>
    </w:p>
    <w:p w14:paraId="0E3691A7">
      <w:pPr>
        <w:pStyle w:val="24"/>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1）</w:t>
      </w:r>
      <w:r>
        <w:rPr>
          <w:rFonts w:hint="default" w:ascii="Times New Roman" w:hAnsi="Times New Roman" w:eastAsia="宋体" w:cs="Times New Roman"/>
          <w:color w:val="auto"/>
          <w:szCs w:val="24"/>
        </w:rPr>
        <w:t>敏感点监测结果：</w:t>
      </w:r>
    </w:p>
    <w:p w14:paraId="64A587F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在现状车流量（2026年1月监测期日均车流量约</w:t>
      </w:r>
      <w:r>
        <w:rPr>
          <w:rFonts w:hint="eastAsia" w:cs="Times New Roman"/>
          <w:color w:val="auto"/>
          <w:lang w:val="en-US" w:eastAsia="zh-CN"/>
        </w:rPr>
        <w:t>8442</w:t>
      </w:r>
      <w:r>
        <w:rPr>
          <w:rFonts w:hint="default" w:ascii="Times New Roman" w:hAnsi="Times New Roman" w:eastAsia="宋体" w:cs="Times New Roman"/>
          <w:color w:val="auto"/>
          <w:szCs w:val="24"/>
        </w:rPr>
        <w:t>pcu，约为环评预测近期交通量的93.15%）下，本次监测的所有7处敏感点，其临路首排建筑窗外的昼、夜间等效声级监测值均满足《声环境质量标准》（GB3096-2008）相应2类或4a类标准限值要求。</w:t>
      </w:r>
    </w:p>
    <w:p w14:paraId="610EAB16">
      <w:pPr>
        <w:pStyle w:val="24"/>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2）</w:t>
      </w:r>
      <w:r>
        <w:rPr>
          <w:rFonts w:hint="default" w:ascii="Times New Roman" w:hAnsi="Times New Roman" w:eastAsia="宋体" w:cs="Times New Roman"/>
          <w:color w:val="auto"/>
          <w:szCs w:val="24"/>
        </w:rPr>
        <w:t>交通噪声时空分布：</w:t>
      </w:r>
    </w:p>
    <w:p w14:paraId="117DD78B">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于桂花村官山梁子（K69+870）处进行的24小时连续监测显示，昼间等效声级为52dB</w:t>
      </w:r>
      <w:r>
        <w:rPr>
          <w:rFonts w:hint="eastAsia" w:cs="Times New Roman"/>
          <w:color w:val="auto"/>
          <w:szCs w:val="24"/>
          <w:lang w:eastAsia="zh-CN"/>
        </w:rPr>
        <w:t>（</w:t>
      </w:r>
      <w:r>
        <w:rPr>
          <w:rFonts w:hint="default" w:ascii="Times New Roman" w:hAnsi="Times New Roman" w:eastAsia="宋体" w:cs="Times New Roman"/>
          <w:color w:val="auto"/>
          <w:szCs w:val="24"/>
        </w:rPr>
        <w:t>A</w:t>
      </w:r>
      <w:r>
        <w:rPr>
          <w:rFonts w:hint="eastAsia" w:cs="Times New Roman"/>
          <w:color w:val="auto"/>
          <w:szCs w:val="24"/>
          <w:lang w:eastAsia="zh-CN"/>
        </w:rPr>
        <w:t>）</w:t>
      </w:r>
      <w:r>
        <w:rPr>
          <w:rFonts w:hint="default" w:ascii="Times New Roman" w:hAnsi="Times New Roman" w:eastAsia="宋体" w:cs="Times New Roman"/>
          <w:color w:val="auto"/>
          <w:szCs w:val="24"/>
        </w:rPr>
        <w:t>，夜间等效声级为48 dB</w:t>
      </w:r>
      <w:r>
        <w:rPr>
          <w:rFonts w:hint="eastAsia" w:cs="Times New Roman"/>
          <w:color w:val="auto"/>
          <w:szCs w:val="24"/>
          <w:lang w:eastAsia="zh-CN"/>
        </w:rPr>
        <w:t>（</w:t>
      </w:r>
      <w:r>
        <w:rPr>
          <w:rFonts w:hint="default" w:ascii="Times New Roman" w:hAnsi="Times New Roman" w:eastAsia="宋体" w:cs="Times New Roman"/>
          <w:color w:val="auto"/>
          <w:szCs w:val="24"/>
        </w:rPr>
        <w:t>A</w:t>
      </w:r>
      <w:r>
        <w:rPr>
          <w:rFonts w:hint="eastAsia" w:cs="Times New Roman"/>
          <w:color w:val="auto"/>
          <w:szCs w:val="24"/>
          <w:lang w:eastAsia="zh-CN"/>
        </w:rPr>
        <w:t>）</w:t>
      </w:r>
      <w:r>
        <w:rPr>
          <w:rFonts w:hint="default" w:ascii="Times New Roman" w:hAnsi="Times New Roman" w:eastAsia="宋体" w:cs="Times New Roman"/>
          <w:color w:val="auto"/>
          <w:szCs w:val="24"/>
        </w:rPr>
        <w:t>，均满足4a类标准。噪声水平与车流量变化趋势一致，昼间高于夜间。</w:t>
      </w:r>
    </w:p>
    <w:p w14:paraId="6872710A">
      <w:pPr>
        <w:pStyle w:val="24"/>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3）</w:t>
      </w:r>
      <w:r>
        <w:rPr>
          <w:rFonts w:hint="default" w:ascii="Times New Roman" w:hAnsi="Times New Roman" w:eastAsia="宋体" w:cs="Times New Roman"/>
          <w:color w:val="auto"/>
          <w:szCs w:val="24"/>
        </w:rPr>
        <w:t>噪声距离衰减规律：</w:t>
      </w:r>
    </w:p>
    <w:p w14:paraId="25A3774D">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在响水村双龙屋基（K73+750）及大田村瓦房沟（K76+500）​ 两处开阔断面进行的衰减监测表明，交通噪声随距离增加而衰减的规律明显。距公路中心线20m、40m（4a类区）处噪声值达标；40m以外（2类区）的监测点噪声值亦满足2类标准，与环评预测规律基本吻合。</w:t>
      </w:r>
    </w:p>
    <w:p w14:paraId="696D6408">
      <w:pPr>
        <w:pStyle w:val="24"/>
        <w:ind w:firstLine="480"/>
        <w:rPr>
          <w:rFonts w:hint="default" w:ascii="Times New Roman" w:hAnsi="Times New Roman" w:eastAsia="宋体" w:cs="Times New Roman"/>
          <w:color w:val="auto"/>
          <w:szCs w:val="24"/>
        </w:rPr>
      </w:pPr>
      <w:r>
        <w:rPr>
          <w:rFonts w:hint="eastAsia" w:ascii="Times New Roman" w:hAnsi="Times New Roman" w:eastAsia="宋体" w:cs="Times New Roman"/>
          <w:color w:val="auto"/>
          <w:szCs w:val="24"/>
          <w:lang w:val="en-US" w:eastAsia="zh-CN"/>
        </w:rPr>
        <w:t>4）</w:t>
      </w:r>
      <w:r>
        <w:rPr>
          <w:rFonts w:hint="default" w:ascii="Times New Roman" w:hAnsi="Times New Roman" w:eastAsia="宋体" w:cs="Times New Roman"/>
          <w:color w:val="auto"/>
          <w:szCs w:val="24"/>
        </w:rPr>
        <w:t>声屏障降噪效果验证：</w:t>
      </w:r>
    </w:p>
    <w:p w14:paraId="65C59BC9">
      <w:pPr>
        <w:pStyle w:val="24"/>
        <w:ind w:firstLine="48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对斑竹村卢家院子（K77+000）路段声屏障的降噪效果监测表明，声屏障后方10m</w:t>
      </w:r>
      <w:r>
        <w:rPr>
          <w:rFonts w:hint="eastAsia" w:cs="Times New Roman"/>
          <w:color w:val="auto"/>
          <w:szCs w:val="24"/>
          <w:lang w:eastAsia="zh-CN"/>
        </w:rPr>
        <w:t>～</w:t>
      </w:r>
      <w:r>
        <w:rPr>
          <w:rFonts w:hint="default" w:ascii="Times New Roman" w:hAnsi="Times New Roman" w:eastAsia="宋体" w:cs="Times New Roman"/>
          <w:color w:val="auto"/>
          <w:szCs w:val="24"/>
        </w:rPr>
        <w:t>40m处的噪声值较无屏障开阔对照点同等距离处降低3~10dB</w:t>
      </w:r>
      <w:r>
        <w:rPr>
          <w:rFonts w:hint="eastAsia" w:cs="Times New Roman"/>
          <w:color w:val="auto"/>
          <w:szCs w:val="24"/>
          <w:lang w:eastAsia="zh-CN"/>
        </w:rPr>
        <w:t>（</w:t>
      </w:r>
      <w:r>
        <w:rPr>
          <w:rFonts w:hint="default" w:ascii="Times New Roman" w:hAnsi="Times New Roman" w:eastAsia="宋体" w:cs="Times New Roman"/>
          <w:color w:val="auto"/>
          <w:szCs w:val="24"/>
        </w:rPr>
        <w:t>A</w:t>
      </w:r>
      <w:r>
        <w:rPr>
          <w:rFonts w:hint="eastAsia" w:cs="Times New Roman"/>
          <w:color w:val="auto"/>
          <w:szCs w:val="24"/>
          <w:lang w:eastAsia="zh-CN"/>
        </w:rPr>
        <w:t>）</w:t>
      </w:r>
      <w:r>
        <w:rPr>
          <w:rFonts w:hint="default" w:ascii="Times New Roman" w:hAnsi="Times New Roman" w:eastAsia="宋体" w:cs="Times New Roman"/>
          <w:color w:val="auto"/>
          <w:szCs w:val="24"/>
        </w:rPr>
        <w:t>，证实已建声屏障起到了显著的降噪效果，保障了屏障后敏感点的声环境质量达标。</w:t>
      </w:r>
    </w:p>
    <w:p w14:paraId="6618B1DE">
      <w:pPr>
        <w:pStyle w:val="24"/>
        <w:ind w:firstLine="480"/>
        <w:rPr>
          <w:rFonts w:hint="default"/>
          <w:color w:val="auto"/>
          <w:lang w:val="en-US" w:eastAsia="zh-CN"/>
        </w:rPr>
      </w:pPr>
      <w:r>
        <w:rPr>
          <w:rFonts w:hint="default" w:ascii="Times New Roman" w:hAnsi="Times New Roman" w:eastAsia="宋体" w:cs="Times New Roman"/>
          <w:color w:val="auto"/>
          <w:szCs w:val="24"/>
        </w:rPr>
        <w:t>综上，本工程在施工期及运营期已按照重新报批环评及批复要求，对声环境敏感点落实了相应的噪声防治措施。根据竣工环保验收监测结果，在现状交通量条件下，沿线各监测敏感点的声环境质量达标，已采取的声屏障措施有效。环评报告提出的“运营期跟踪监测”要求已在本次验收中落实，监测结果作为本结论的依据。为应对远期交通增长可能带来的影响，建设单位已承诺加强远期跟踪监测，并预留噪声治理费用，确保声环境质量持续符合要求。</w:t>
      </w:r>
      <w:r>
        <w:rPr>
          <w:rFonts w:hint="default"/>
          <w:color w:val="auto"/>
          <w:lang w:val="en-US" w:eastAsia="zh-CN"/>
        </w:rPr>
        <w:br w:type="page"/>
      </w:r>
    </w:p>
    <w:p w14:paraId="3918D68B">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default" w:ascii="Times New Roman" w:hAnsi="Times New Roman" w:eastAsia="宋体" w:cs="Times New Roman"/>
          <w:color w:val="auto"/>
          <w:sz w:val="36"/>
          <w:szCs w:val="36"/>
          <w:lang w:val="en-US" w:eastAsia="zh-CN"/>
        </w:rPr>
      </w:pPr>
      <w:bookmarkStart w:id="153" w:name="_Toc14665"/>
      <w:r>
        <w:rPr>
          <w:rFonts w:hint="default" w:ascii="Times New Roman" w:hAnsi="Times New Roman" w:eastAsia="宋体" w:cs="Times New Roman"/>
          <w:color w:val="auto"/>
          <w:sz w:val="36"/>
          <w:szCs w:val="36"/>
          <w:lang w:val="en-US" w:eastAsia="zh-CN"/>
        </w:rPr>
        <w:t>7 环境空气影响调查​</w:t>
      </w:r>
      <w:bookmarkEnd w:id="153"/>
    </w:p>
    <w:p w14:paraId="7FA56BC6">
      <w:pPr>
        <w:pStyle w:val="3"/>
        <w:numPr>
          <w:ilvl w:val="0"/>
          <w:numId w:val="0"/>
        </w:numPr>
        <w:ind w:left="578" w:leftChars="0" w:hanging="578" w:firstLineChars="0"/>
        <w:rPr>
          <w:rFonts w:hint="default" w:ascii="Times New Roman" w:hAnsi="Times New Roman" w:cs="Times New Roman"/>
          <w:color w:val="auto"/>
        </w:rPr>
      </w:pPr>
      <w:bookmarkStart w:id="154" w:name="_Toc16641"/>
      <w:r>
        <w:rPr>
          <w:rFonts w:hint="default" w:ascii="Times New Roman" w:hAnsi="Times New Roman" w:eastAsia="宋体" w:cs="Times New Roman"/>
          <w:b/>
          <w:bCs/>
          <w:color w:val="auto"/>
          <w:kern w:val="2"/>
          <w:sz w:val="32"/>
          <w:szCs w:val="32"/>
          <w:lang w:val="en-US" w:eastAsia="zh-CN" w:bidi="ar-SA"/>
        </w:rPr>
        <w:t>7.</w:t>
      </w:r>
      <w:r>
        <w:rPr>
          <w:rFonts w:hint="eastAsia" w:ascii="Times New Roman" w:hAnsi="Times New Roman" w:eastAsia="宋体" w:cs="Times New Roman"/>
          <w:b/>
          <w:bCs/>
          <w:color w:val="auto"/>
          <w:kern w:val="2"/>
          <w:sz w:val="32"/>
          <w:szCs w:val="32"/>
          <w:lang w:val="en-US" w:eastAsia="zh-CN" w:bidi="ar-SA"/>
        </w:rPr>
        <w:t>1</w:t>
      </w:r>
      <w:r>
        <w:rPr>
          <w:rFonts w:hint="default" w:ascii="Times New Roman" w:hAnsi="Times New Roman" w:eastAsia="宋体" w:cs="Times New Roman"/>
          <w:b/>
          <w:bCs/>
          <w:color w:val="auto"/>
          <w:kern w:val="2"/>
          <w:sz w:val="32"/>
          <w:szCs w:val="32"/>
          <w:lang w:val="en-US" w:eastAsia="zh-CN" w:bidi="ar-SA"/>
        </w:rPr>
        <w:t xml:space="preserve"> </w:t>
      </w:r>
      <w:bookmarkStart w:id="155" w:name="_Toc13140"/>
      <w:r>
        <w:rPr>
          <w:rFonts w:hint="default" w:ascii="Times New Roman" w:hAnsi="Times New Roman" w:cs="Times New Roman"/>
          <w:color w:val="auto"/>
        </w:rPr>
        <w:t>施工期环境空气影响调查</w:t>
      </w:r>
      <w:bookmarkEnd w:id="154"/>
      <w:bookmarkEnd w:id="155"/>
    </w:p>
    <w:p w14:paraId="69FF542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据调查，各标段在施工期间均采取了措施避免施工作业对施工区域及道路沿线居民环境空气带来的影响，环保措施主要包括以下方面：</w:t>
      </w:r>
    </w:p>
    <w:p w14:paraId="0CBE1EE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①水泥、砂和石灰等易洒落散装物料在装卸、使用、运输、转运等过程中，加强管理，装载时不宜过满，确保运输过程中不散落，并采取防风遮盖措施，以减少扬尘。</w:t>
      </w:r>
    </w:p>
    <w:p w14:paraId="01B5BE0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②在粉状物料堆放场四周设置挡风墙（网），合理安排堆垛位置，必要时在堆垛表面掺合外加剂或喷洒润滑剂使材料稳定，减少起尘量，并采取加盖篷布等遮挡措施。</w:t>
      </w:r>
    </w:p>
    <w:p w14:paraId="7EE1285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③在开挖、钻孔时对干燥断面洒水喷湿，使作业面保持一定的湿度；对施工场地范围内由于植被破坏而使表土松散干涸的场地，也洒水喷湿防止粉尘；回填土方时，在表层土质干燥时适当洒水，防止回填作业时产生粉尘扬起；施工</w:t>
      </w:r>
      <w:r>
        <w:rPr>
          <w:rFonts w:hint="eastAsia" w:cs="Times New Roman"/>
          <w:color w:val="auto"/>
          <w:szCs w:val="24"/>
          <w:lang w:eastAsia="zh-CN"/>
        </w:rPr>
        <w:t>期间</w:t>
      </w:r>
      <w:r>
        <w:rPr>
          <w:rFonts w:hint="default" w:ascii="Times New Roman" w:hAnsi="Times New Roman" w:cs="Times New Roman"/>
          <w:color w:val="auto"/>
          <w:szCs w:val="24"/>
        </w:rPr>
        <w:t>加强回表土临时堆放场的管理，制定土方表面压实、定期喷湿的措施，防止扬尘对环境的影响。</w:t>
      </w:r>
    </w:p>
    <w:p w14:paraId="5E68D19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④合理选择施工场地、灰土拌和站等位置，尽量</w:t>
      </w:r>
      <w:r>
        <w:rPr>
          <w:rFonts w:hint="eastAsia" w:cs="Times New Roman"/>
          <w:color w:val="auto"/>
          <w:szCs w:val="24"/>
          <w:lang w:eastAsia="zh-CN"/>
        </w:rPr>
        <w:t>选择</w:t>
      </w:r>
      <w:r>
        <w:rPr>
          <w:rFonts w:hint="default" w:ascii="Times New Roman" w:hAnsi="Times New Roman" w:cs="Times New Roman"/>
          <w:color w:val="auto"/>
          <w:szCs w:val="24"/>
        </w:rPr>
        <w:t>在居民点等环境敏感点下风向，场地周围设置围屏，并选用密封式并配有消烟除尘装置的灰土拌和设备，施工结束后进行灰土施工工场的清场工作。</w:t>
      </w:r>
    </w:p>
    <w:p w14:paraId="58A0570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⑤由于道路扬尘量与车辆的行驶速度有关，速度越快，扬尘量越大，因此，在施工场地对施工车辆实施限速行驶，同时施工现场主要运输道路尽量采用硬化路面并进行洒水抑尘；在施工场地出口放置防尘垫，对运输车辆现场设置洗车场，用水清洗车体和轮胎；施工运输车辆不允许超载，选择对周围环境影响较小的运输路线，定时对运输路线进行清扫，运输车辆出场时必须封闭，避免在运输过程中的</w:t>
      </w:r>
      <w:r>
        <w:rPr>
          <w:rFonts w:hint="eastAsia" w:cs="Times New Roman"/>
          <w:color w:val="auto"/>
          <w:szCs w:val="24"/>
          <w:lang w:eastAsia="zh-CN"/>
        </w:rPr>
        <w:t>抛撒</w:t>
      </w:r>
      <w:r>
        <w:rPr>
          <w:rFonts w:hint="default" w:ascii="Times New Roman" w:hAnsi="Times New Roman" w:cs="Times New Roman"/>
          <w:color w:val="auto"/>
          <w:szCs w:val="24"/>
        </w:rPr>
        <w:t>现象。</w:t>
      </w:r>
    </w:p>
    <w:p w14:paraId="76B8FF9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⑥禁止在风天进行渣土堆放作业，建材堆放地点相对集中，临时废弃土石堆场及时清运，并对堆场以毡布覆盖，裸露地面进行硬化和绿化，减少建材的露天堆放时间；加强开挖出的土石方围栏，表面用毡布覆盖，并及时将多余弃土外运。</w:t>
      </w:r>
    </w:p>
    <w:p w14:paraId="4F4D9B9E">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⑦项目工地做到“六必须”“六不准”：必须湿法作业、必须打围、必须硬化道路、必须设置冲洗设备设施、必须配齐保洁人员、必须定时清扫施工现场；“六不准”包括不准车辆带泥出门、不准运渣车辆超载、不准高空抛撒建渣、不准现场搅拌混凝土、不准场地积水、不准现场焚烧废弃物。</w:t>
      </w:r>
    </w:p>
    <w:p w14:paraId="2BAEFF3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⑧响应国务院《大气污染防治行动计划》国发〔2013〕37号，并严格执行《重庆市贯彻国务院打赢蓝天保卫战三年行动计划实施方案》，在遇到灰霾天气或空气质量严重污染时，施工单位应停止施工。</w:t>
      </w:r>
    </w:p>
    <w:p w14:paraId="5DA19F4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⑨在施工过程中加强对沿线环境敏感目标的扬尘防治措施：环境敏感目标的上风向位置不设置拌和场、堆料场等；环境保护目标附近在土方工程作业时洒水压尘，尽量缩短起尘操作时间。遇到四级或四级以上大风天气，停止土方作业，同时作业处覆以防尘网。</w:t>
      </w:r>
    </w:p>
    <w:p w14:paraId="6ECEB11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⑩</w:t>
      </w:r>
      <w:r>
        <w:rPr>
          <w:rFonts w:hint="eastAsia" w:cs="Times New Roman"/>
          <w:color w:val="auto"/>
          <w:szCs w:val="24"/>
          <w:lang w:eastAsia="zh-CN"/>
        </w:rPr>
        <w:t>拌和站</w:t>
      </w:r>
      <w:r>
        <w:rPr>
          <w:rFonts w:hint="default" w:ascii="Times New Roman" w:hAnsi="Times New Roman" w:cs="Times New Roman"/>
          <w:color w:val="auto"/>
          <w:szCs w:val="24"/>
        </w:rPr>
        <w:t>搅拌工序密闭并设置除尘设备。水泥筒仓设置仓顶除尘器，同时加强厂区洒水降尘，确保粉尘达标排放。碎石加工场、钢筋加工场、预制场及材料堆放场等定期洒水降尘，确保粉尘达标排放。</w:t>
      </w:r>
    </w:p>
    <w:p w14:paraId="3535523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综上，建设单位很好</w:t>
      </w:r>
      <w:r>
        <w:rPr>
          <w:rFonts w:hint="eastAsia" w:cs="Times New Roman"/>
          <w:color w:val="auto"/>
          <w:szCs w:val="24"/>
          <w:lang w:eastAsia="zh-CN"/>
        </w:rPr>
        <w:t>地</w:t>
      </w:r>
      <w:r>
        <w:rPr>
          <w:rFonts w:hint="default" w:ascii="Times New Roman" w:hAnsi="Times New Roman" w:cs="Times New Roman"/>
          <w:color w:val="auto"/>
          <w:szCs w:val="24"/>
        </w:rPr>
        <w:t>落实了环评报告中施工期的相关措施，在落实环评的各项措施后，未对环境空气造成明显影响。</w:t>
      </w:r>
    </w:p>
    <w:p w14:paraId="507B590C">
      <w:pPr>
        <w:pStyle w:val="24"/>
        <w:ind w:firstLine="480"/>
        <w:rPr>
          <w:rFonts w:hint="default" w:ascii="Times New Roman" w:hAnsi="Times New Roman" w:eastAsia="宋体" w:cs="Times New Roman"/>
          <w:color w:val="auto"/>
          <w:lang w:val="en-US" w:eastAsia="zh-CN"/>
        </w:rPr>
      </w:pPr>
    </w:p>
    <w:p w14:paraId="74980937">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56" w:name="_Toc3325"/>
      <w:r>
        <w:rPr>
          <w:rFonts w:hint="default" w:ascii="Times New Roman" w:hAnsi="Times New Roman" w:eastAsia="宋体" w:cs="Times New Roman"/>
          <w:b/>
          <w:bCs/>
          <w:color w:val="auto"/>
          <w:kern w:val="2"/>
          <w:sz w:val="32"/>
          <w:szCs w:val="32"/>
          <w:lang w:val="en-US" w:eastAsia="zh-CN" w:bidi="ar-SA"/>
        </w:rPr>
        <w:t>7.</w:t>
      </w:r>
      <w:r>
        <w:rPr>
          <w:rFonts w:hint="eastAsia" w:ascii="Times New Roman" w:hAnsi="Times New Roman" w:eastAsia="宋体" w:cs="Times New Roman"/>
          <w:b/>
          <w:bCs/>
          <w:color w:val="auto"/>
          <w:kern w:val="2"/>
          <w:sz w:val="32"/>
          <w:szCs w:val="32"/>
          <w:lang w:val="en-US" w:eastAsia="zh-CN" w:bidi="ar-SA"/>
        </w:rPr>
        <w:t>2</w:t>
      </w:r>
      <w:r>
        <w:rPr>
          <w:rFonts w:hint="default" w:ascii="Times New Roman" w:hAnsi="Times New Roman" w:eastAsia="宋体" w:cs="Times New Roman"/>
          <w:b/>
          <w:bCs/>
          <w:color w:val="auto"/>
          <w:kern w:val="2"/>
          <w:sz w:val="32"/>
          <w:szCs w:val="32"/>
          <w:lang w:val="en-US" w:eastAsia="zh-CN" w:bidi="ar-SA"/>
        </w:rPr>
        <w:t xml:space="preserve"> 运营期大气环境影响及措施落实情况​</w:t>
      </w:r>
      <w:bookmarkEnd w:id="156"/>
    </w:p>
    <w:p w14:paraId="5E42A062">
      <w:pPr>
        <w:pStyle w:val="4"/>
        <w:numPr>
          <w:ilvl w:val="0"/>
          <w:numId w:val="0"/>
        </w:numPr>
        <w:ind w:left="720" w:leftChars="0" w:hanging="720" w:firstLineChars="0"/>
        <w:rPr>
          <w:rFonts w:hint="default" w:ascii="Times New Roman" w:hAnsi="Times New Roman" w:eastAsia="宋体" w:cs="Times New Roman"/>
          <w:b/>
          <w:bCs/>
          <w:color w:val="auto"/>
          <w:kern w:val="2"/>
          <w:sz w:val="30"/>
          <w:szCs w:val="32"/>
          <w:lang w:val="en-US" w:eastAsia="zh-CN" w:bidi="ar-SA"/>
        </w:rPr>
      </w:pPr>
      <w:r>
        <w:rPr>
          <w:rFonts w:hint="default" w:ascii="Times New Roman" w:hAnsi="Times New Roman" w:eastAsia="宋体" w:cs="Times New Roman"/>
          <w:b/>
          <w:bCs/>
          <w:color w:val="auto"/>
          <w:kern w:val="2"/>
          <w:sz w:val="30"/>
          <w:szCs w:val="32"/>
          <w:lang w:val="en-US" w:eastAsia="zh-CN" w:bidi="ar-SA"/>
        </w:rPr>
        <w:t>7.</w:t>
      </w:r>
      <w:r>
        <w:rPr>
          <w:rFonts w:hint="eastAsia" w:ascii="Times New Roman" w:hAnsi="Times New Roman" w:eastAsia="宋体"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.1运营期大气环境污染物​</w:t>
      </w:r>
    </w:p>
    <w:p w14:paraId="0EF14416">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（1）汽车尾气：主要污染物为NO₂、CO，排放量与车流量正相关。</w:t>
      </w:r>
    </w:p>
    <w:p w14:paraId="47AC7C60">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（2）收费站污水设施：一体化污水处理设施运行无臭气</w:t>
      </w:r>
      <w:r>
        <w:rPr>
          <w:rFonts w:hint="eastAsia" w:cs="Times New Roman"/>
          <w:color w:val="auto"/>
          <w:lang w:val="en-US" w:eastAsia="zh-CN"/>
        </w:rPr>
        <w:t>外溢</w:t>
      </w:r>
      <w:r>
        <w:rPr>
          <w:rFonts w:hint="default" w:ascii="Times New Roman" w:hAnsi="Times New Roman" w:cs="Times New Roman"/>
          <w:color w:val="auto"/>
          <w:lang w:val="en-US" w:eastAsia="zh-CN"/>
        </w:rPr>
        <w:t>记录。</w:t>
      </w:r>
    </w:p>
    <w:p w14:paraId="38FF1F21">
      <w:pPr>
        <w:pStyle w:val="4"/>
        <w:numPr>
          <w:ilvl w:val="0"/>
          <w:numId w:val="0"/>
        </w:numPr>
        <w:ind w:left="720" w:leftChars="0" w:hanging="720" w:firstLineChars="0"/>
        <w:rPr>
          <w:rFonts w:hint="default" w:ascii="Times New Roman" w:hAnsi="Times New Roman" w:eastAsia="宋体" w:cs="Times New Roman"/>
          <w:b/>
          <w:bCs/>
          <w:color w:val="auto"/>
          <w:kern w:val="2"/>
          <w:sz w:val="30"/>
          <w:szCs w:val="32"/>
          <w:lang w:val="en-US" w:eastAsia="zh-CN" w:bidi="ar-SA"/>
        </w:rPr>
      </w:pPr>
      <w:r>
        <w:rPr>
          <w:rFonts w:hint="default" w:ascii="Times New Roman" w:hAnsi="Times New Roman" w:eastAsia="宋体" w:cs="Times New Roman"/>
          <w:b/>
          <w:bCs/>
          <w:color w:val="auto"/>
          <w:kern w:val="2"/>
          <w:sz w:val="30"/>
          <w:szCs w:val="32"/>
          <w:lang w:val="en-US" w:eastAsia="zh-CN" w:bidi="ar-SA"/>
        </w:rPr>
        <w:t>7.</w:t>
      </w:r>
      <w:r>
        <w:rPr>
          <w:rFonts w:hint="eastAsia" w:ascii="Times New Roman" w:hAnsi="Times New Roman" w:eastAsia="宋体"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.2防治措施​</w:t>
      </w:r>
    </w:p>
    <w:p w14:paraId="61AF35A7">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（1）尾气扩散控制：</w:t>
      </w:r>
    </w:p>
    <w:p w14:paraId="3915C144">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1）路基边坡及中央分隔带种植马尾松、塔柏等本地物种（恢复面积10.84hm²），增强污染物吸附能力。</w:t>
      </w:r>
    </w:p>
    <w:p w14:paraId="2116039A">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2）敏感点路段限速80km/h，减少怠速排放。</w:t>
      </w:r>
    </w:p>
    <w:p w14:paraId="7DF03730">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（2）管理措施：</w:t>
      </w:r>
    </w:p>
    <w:p w14:paraId="54F72181">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加强路面养护，减少扬尘；定期清洗防撞护栏及声屏障。</w:t>
      </w:r>
    </w:p>
    <w:p w14:paraId="1BFAB28B">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57" w:name="_Toc19347"/>
      <w:r>
        <w:rPr>
          <w:rFonts w:hint="default" w:ascii="Times New Roman" w:hAnsi="Times New Roman" w:eastAsia="宋体" w:cs="Times New Roman"/>
          <w:b/>
          <w:bCs/>
          <w:color w:val="auto"/>
          <w:kern w:val="2"/>
          <w:sz w:val="32"/>
          <w:szCs w:val="32"/>
          <w:lang w:val="en-US" w:eastAsia="zh-CN" w:bidi="ar-SA"/>
        </w:rPr>
        <w:t>7.</w:t>
      </w:r>
      <w:r>
        <w:rPr>
          <w:rFonts w:hint="eastAsia" w:ascii="Times New Roman" w:hAnsi="Times New Roman" w:eastAsia="宋体" w:cs="Times New Roman"/>
          <w:b/>
          <w:bCs/>
          <w:color w:val="auto"/>
          <w:kern w:val="2"/>
          <w:sz w:val="32"/>
          <w:szCs w:val="32"/>
          <w:lang w:val="en-US" w:eastAsia="zh-CN" w:bidi="ar-SA"/>
        </w:rPr>
        <w:t>3</w:t>
      </w:r>
      <w:r>
        <w:rPr>
          <w:rFonts w:hint="default" w:ascii="Times New Roman" w:hAnsi="Times New Roman" w:eastAsia="宋体" w:cs="Times New Roman"/>
          <w:b/>
          <w:bCs/>
          <w:color w:val="auto"/>
          <w:kern w:val="2"/>
          <w:sz w:val="32"/>
          <w:szCs w:val="32"/>
          <w:lang w:val="en-US" w:eastAsia="zh-CN" w:bidi="ar-SA"/>
        </w:rPr>
        <w:t xml:space="preserve"> 与环评批复符合性分析​</w:t>
      </w:r>
      <w:bookmarkEnd w:id="157"/>
    </w:p>
    <w:p w14:paraId="66615F21">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施工期：未开展专项监测，依托监理巡查记录及公众零投诉验证措施有效性。</w:t>
      </w:r>
    </w:p>
    <w:p w14:paraId="3806E848">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运营期：环评未要求尾气监测，仅要求加强绿化维护，现状植被覆盖率达标。</w:t>
      </w:r>
    </w:p>
    <w:p w14:paraId="7E39AA8E">
      <w:pPr>
        <w:pStyle w:val="3"/>
        <w:numPr>
          <w:ilvl w:val="1"/>
          <w:numId w:val="0"/>
        </w:numPr>
        <w:ind w:left="578" w:leftChars="0" w:hanging="578" w:firstLineChars="0"/>
        <w:rPr>
          <w:rFonts w:hint="eastAsia" w:ascii="Times New Roman" w:hAnsi="Times New Roman" w:eastAsia="宋体" w:cs="Times New Roman"/>
          <w:b/>
          <w:bCs/>
          <w:color w:val="auto"/>
          <w:kern w:val="2"/>
          <w:sz w:val="32"/>
          <w:szCs w:val="32"/>
          <w:lang w:val="en-US" w:eastAsia="zh-CN" w:bidi="ar-SA"/>
        </w:rPr>
      </w:pPr>
      <w:bookmarkStart w:id="158" w:name="_Toc1124"/>
      <w:r>
        <w:rPr>
          <w:rFonts w:hint="eastAsia" w:ascii="Times New Roman" w:hAnsi="Times New Roman" w:eastAsia="宋体" w:cs="Times New Roman"/>
          <w:b/>
          <w:bCs/>
          <w:color w:val="auto"/>
          <w:kern w:val="2"/>
          <w:sz w:val="32"/>
          <w:szCs w:val="32"/>
          <w:lang w:val="en-US" w:eastAsia="zh-CN" w:bidi="ar-SA"/>
        </w:rPr>
        <w:t>7.4 小结</w:t>
      </w:r>
      <w:bookmarkEnd w:id="158"/>
    </w:p>
    <w:p w14:paraId="6A855D3A">
      <w:pPr>
        <w:pStyle w:val="24"/>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竣工验收现场踏勘及公众参与调查结果，项目施工期严格落实环评提出的各项环保措施，有效控制和减轻了工程建设对沿线环境空气的影响；运营期汽车尾气排放对周边环境空气质量影响可控，收费站污水处理设施运行稳定，未对周边环境造成显著影响。施工期及运营期均未收到环境空气污染相关投诉，表明环境空气质量管控效果符合竣工环保验收要求。</w:t>
      </w:r>
    </w:p>
    <w:p w14:paraId="64A71145">
      <w:pPr>
        <w:pStyle w:val="24"/>
        <w:ind w:firstLine="480"/>
        <w:rPr>
          <w:rFonts w:hint="default" w:ascii="Times New Roman" w:hAnsi="Times New Roman" w:cs="Times New Roman"/>
          <w:color w:val="auto"/>
          <w:lang w:val="en-US" w:eastAsia="zh-CN"/>
        </w:rPr>
      </w:pPr>
    </w:p>
    <w:p w14:paraId="16638F68">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br w:type="page"/>
      </w:r>
    </w:p>
    <w:p w14:paraId="28D13B1D">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default" w:ascii="Times New Roman" w:hAnsi="Times New Roman" w:eastAsia="宋体" w:cs="Times New Roman"/>
          <w:color w:val="auto"/>
          <w:sz w:val="36"/>
          <w:szCs w:val="36"/>
          <w:lang w:val="en-US" w:eastAsia="zh-CN"/>
        </w:rPr>
      </w:pPr>
      <w:bookmarkStart w:id="159" w:name="_Toc10149"/>
      <w:r>
        <w:rPr>
          <w:rFonts w:hint="eastAsia" w:ascii="Times New Roman" w:hAnsi="Times New Roman" w:eastAsia="宋体" w:cs="Times New Roman"/>
          <w:color w:val="auto"/>
          <w:sz w:val="36"/>
          <w:szCs w:val="36"/>
          <w:lang w:val="en-US" w:eastAsia="zh-CN"/>
        </w:rPr>
        <w:t>8</w:t>
      </w:r>
      <w:r>
        <w:rPr>
          <w:rFonts w:hint="default" w:ascii="Times New Roman" w:hAnsi="Times New Roman" w:eastAsia="宋体" w:cs="Times New Roman"/>
          <w:color w:val="auto"/>
          <w:sz w:val="36"/>
          <w:szCs w:val="36"/>
          <w:lang w:val="en-US" w:eastAsia="zh-CN"/>
        </w:rPr>
        <w:t xml:space="preserve"> 水环境影响调查​</w:t>
      </w:r>
      <w:bookmarkEnd w:id="159"/>
    </w:p>
    <w:p w14:paraId="2D4BA534">
      <w:pPr>
        <w:pStyle w:val="3"/>
        <w:numPr>
          <w:ilvl w:val="0"/>
          <w:numId w:val="0"/>
        </w:numPr>
        <w:ind w:left="578" w:leftChars="0" w:hanging="578" w:firstLineChars="0"/>
        <w:rPr>
          <w:rFonts w:hint="default" w:ascii="Times New Roman" w:hAnsi="Times New Roman" w:cs="Times New Roman"/>
          <w:color w:val="auto"/>
        </w:rPr>
      </w:pPr>
      <w:bookmarkStart w:id="160" w:name="_Toc4725"/>
      <w:r>
        <w:rPr>
          <w:rFonts w:hint="default" w:ascii="Times New Roman" w:hAnsi="Times New Roman" w:eastAsia="宋体" w:cs="Times New Roman"/>
          <w:b/>
          <w:bCs/>
          <w:color w:val="auto"/>
          <w:kern w:val="2"/>
          <w:sz w:val="32"/>
          <w:szCs w:val="32"/>
          <w:lang w:val="en-US" w:eastAsia="zh-CN" w:bidi="ar-SA"/>
        </w:rPr>
        <w:t xml:space="preserve">8.1 </w:t>
      </w:r>
      <w:r>
        <w:rPr>
          <w:rFonts w:hint="default" w:ascii="Times New Roman" w:hAnsi="Times New Roman" w:cs="Times New Roman"/>
          <w:color w:val="auto"/>
          <w:lang w:eastAsia="zh-CN"/>
        </w:rPr>
        <w:t>地表水</w:t>
      </w:r>
      <w:r>
        <w:rPr>
          <w:rFonts w:hint="default" w:ascii="Times New Roman" w:hAnsi="Times New Roman" w:cs="Times New Roman"/>
          <w:color w:val="auto"/>
        </w:rPr>
        <w:t>环境保护目标</w:t>
      </w:r>
      <w:bookmarkEnd w:id="160"/>
    </w:p>
    <w:p w14:paraId="45688287">
      <w:pPr>
        <w:pStyle w:val="2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1、沿线主要河流水体调查​</w:t>
      </w:r>
    </w:p>
    <w:p w14:paraId="2217A574">
      <w:pPr>
        <w:pStyle w:val="24"/>
        <w:ind w:firstLine="480"/>
        <w:rPr>
          <w:rFonts w:hint="default" w:ascii="Times New Roman" w:hAnsi="Times New Roman" w:cs="Times New Roman"/>
          <w:color w:val="auto"/>
          <w:lang w:val="en-US" w:eastAsia="zh-CN"/>
        </w:rPr>
      </w:pPr>
      <w:r>
        <w:rPr>
          <w:rFonts w:hint="eastAsia" w:cs="Times New Roman"/>
          <w:color w:val="auto"/>
          <w:lang w:val="en-US" w:eastAsia="zh-CN"/>
        </w:rPr>
        <w:t>项目实际线路穿越的主要水体同重新报批阶段跨越河流基本一致，即跨越</w:t>
      </w:r>
      <w:r>
        <w:rPr>
          <w:rFonts w:hint="default" w:ascii="Times New Roman" w:hAnsi="Times New Roman" w:eastAsia="宋体" w:cs="Times New Roman"/>
          <w:color w:val="auto"/>
          <w:spacing w:val="-4"/>
          <w:sz w:val="24"/>
          <w:szCs w:val="24"/>
        </w:rPr>
        <w:t>小沟渠</w:t>
      </w:r>
      <w:r>
        <w:rPr>
          <w:rFonts w:hint="eastAsia" w:cs="Times New Roman"/>
          <w:color w:val="auto"/>
          <w:lang w:val="en-US" w:eastAsia="zh-CN"/>
        </w:rPr>
        <w:t>、</w:t>
      </w:r>
      <w:r>
        <w:rPr>
          <w:rFonts w:hint="default" w:ascii="Times New Roman" w:hAnsi="Times New Roman" w:eastAsia="宋体" w:cs="Times New Roman"/>
          <w:color w:val="auto"/>
          <w:spacing w:val="0"/>
          <w:w w:val="100"/>
          <w:kern w:val="0"/>
          <w:position w:val="0"/>
          <w:sz w:val="24"/>
          <w:szCs w:val="24"/>
        </w:rPr>
        <w:t>代峨溪</w:t>
      </w:r>
      <w:r>
        <w:rPr>
          <w:rFonts w:hint="eastAsia" w:cs="Times New Roman"/>
          <w:color w:val="auto"/>
          <w:lang w:val="en-US" w:eastAsia="zh-CN"/>
        </w:rPr>
        <w:t>、团</w:t>
      </w:r>
      <w:r>
        <w:rPr>
          <w:rFonts w:hint="default" w:ascii="Times New Roman" w:hAnsi="Times New Roman" w:eastAsia="宋体" w:cs="Times New Roman"/>
          <w:color w:val="auto"/>
          <w:spacing w:val="0"/>
          <w:w w:val="100"/>
          <w:kern w:val="0"/>
          <w:position w:val="0"/>
          <w:sz w:val="24"/>
          <w:szCs w:val="24"/>
        </w:rPr>
        <w:t>结水库泄流沟</w:t>
      </w:r>
      <w:r>
        <w:rPr>
          <w:rFonts w:hint="eastAsia" w:cs="Times New Roman"/>
          <w:color w:val="auto"/>
          <w:lang w:val="en-US" w:eastAsia="zh-CN"/>
        </w:rPr>
        <w:t>。各路段不涉及饮用水水源保护区。据</w:t>
      </w:r>
    </w:p>
    <w:p w14:paraId="3BB45C0B">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61" w:name="_Toc23351"/>
      <w:bookmarkStart w:id="162" w:name="_Toc5753"/>
      <w:r>
        <w:rPr>
          <w:rFonts w:hint="eastAsia" w:ascii="Times New Roman" w:hAnsi="Times New Roman" w:eastAsia="宋体" w:cs="Times New Roman"/>
          <w:b/>
          <w:bCs/>
          <w:color w:val="auto"/>
          <w:kern w:val="2"/>
          <w:sz w:val="32"/>
          <w:szCs w:val="32"/>
          <w:lang w:val="en-US" w:eastAsia="zh-CN" w:bidi="ar-SA"/>
        </w:rPr>
        <w:t xml:space="preserve">8.2 </w:t>
      </w:r>
      <w:r>
        <w:rPr>
          <w:rFonts w:hint="default" w:ascii="Times New Roman" w:hAnsi="Times New Roman" w:eastAsia="宋体" w:cs="Times New Roman"/>
          <w:b/>
          <w:bCs/>
          <w:color w:val="auto"/>
          <w:kern w:val="2"/>
          <w:sz w:val="32"/>
          <w:szCs w:val="32"/>
          <w:lang w:val="en-US" w:eastAsia="zh-CN" w:bidi="ar-SA"/>
        </w:rPr>
        <w:t>施工期地表水环境保护措施调查</w:t>
      </w:r>
      <w:bookmarkEnd w:id="161"/>
      <w:bookmarkEnd w:id="162"/>
    </w:p>
    <w:p w14:paraId="092AAD2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高速公路施工期对地表水环境可能产生的影响主要来自以下几个方面：桥梁施工时，基础施工造成水体中泥沙量大量增加，导致水体悬浮物和浊度大大增加，若在施工环节不加以控制，将影响河流水质。施工队伍具有流动性和施工人员分散性、临时性，对施工生活污水做到集中处理难度较大，施工人员的生活污水、生活垃圾若不妥善处理，直接排入溪沟，将对其水质产生严重影响。施工材料如沥青、油料、化学品物质等保管不善被暴雨冲刷进入水体，引起水体污染。大量施工机械产生的含油污水以及油料的泄漏、废油料的倾倒引起水体的油污染。针对上述可能引起水环境污染的因素，工程在施工期主要采取了以下环保措施以避免施工期对水环境的污染：</w:t>
      </w:r>
    </w:p>
    <w:p w14:paraId="390421F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（1）施工人员进场前，各施工单位组织进行了施工人员水环境保护教育培训。</w:t>
      </w:r>
    </w:p>
    <w:p w14:paraId="0196316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（2）合理安排施工工期，减少和避免雨季进行路基开挖。</w:t>
      </w:r>
    </w:p>
    <w:p w14:paraId="29D2702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3）施工用料的堆放远离水体，选择暴雨径流难以冲刷的地方；部分施工用料若堆放在桥位附近，在材料堆放场四边挖明沟、沉沙井、设挡墙等，防止被暴雨径流进入水体，影响水质，各类材料均备有防雨遮雨设施；施工材料油料、化学品等有害物质堆放场地均设置在沿线跨越河流300m以外区域，并设</w:t>
      </w:r>
      <w:r>
        <w:rPr>
          <w:rFonts w:hint="eastAsia" w:cs="Times New Roman"/>
          <w:color w:val="auto"/>
          <w:szCs w:val="24"/>
          <w:lang w:eastAsia="zh-CN"/>
        </w:rPr>
        <w:t>篷</w:t>
      </w:r>
      <w:r>
        <w:rPr>
          <w:rFonts w:hint="default" w:ascii="Times New Roman" w:hAnsi="Times New Roman" w:cs="Times New Roman"/>
          <w:color w:val="auto"/>
          <w:szCs w:val="24"/>
        </w:rPr>
        <w:t>盖，减少雨水冲刷造成污染。</w:t>
      </w:r>
    </w:p>
    <w:p w14:paraId="15637FD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（4）</w:t>
      </w:r>
      <w:r>
        <w:rPr>
          <w:rFonts w:hint="default" w:ascii="Times New Roman" w:hAnsi="Times New Roman" w:eastAsia="宋体" w:cs="Times New Roman"/>
          <w:color w:val="auto"/>
          <w:lang w:eastAsia="zh-CN"/>
        </w:rPr>
        <w:t>桥梁</w:t>
      </w:r>
      <w:r>
        <w:rPr>
          <w:rFonts w:hint="default" w:ascii="Times New Roman" w:hAnsi="Times New Roman" w:eastAsia="宋体" w:cs="Times New Roman"/>
          <w:color w:val="auto"/>
          <w:lang w:val="en-US" w:eastAsia="zh-CN"/>
        </w:rPr>
        <w:t>无涉水桥墩</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根据现场踏勘和查阅施工资料，代峨溪属于季节性河流，除丰水期外，河道内水量较低或者无水量，根据上述情况，施工单位将桥梁安排在枯水期，减缓了对</w:t>
      </w:r>
      <w:r>
        <w:rPr>
          <w:rFonts w:hint="default" w:ascii="Times New Roman" w:hAnsi="Times New Roman" w:eastAsia="宋体" w:cs="Times New Roman"/>
          <w:color w:val="auto"/>
          <w:lang w:eastAsia="zh-CN"/>
        </w:rPr>
        <w:t>沿线河流水质</w:t>
      </w:r>
      <w:r>
        <w:rPr>
          <w:rFonts w:hint="default" w:ascii="Times New Roman" w:hAnsi="Times New Roman" w:eastAsia="宋体" w:cs="Times New Roman"/>
          <w:color w:val="auto"/>
          <w:lang w:val="en-US" w:eastAsia="zh-CN"/>
        </w:rPr>
        <w:t>的</w:t>
      </w:r>
      <w:r>
        <w:rPr>
          <w:rFonts w:hint="default" w:ascii="Times New Roman" w:hAnsi="Times New Roman" w:eastAsia="宋体" w:cs="Times New Roman"/>
          <w:color w:val="auto"/>
          <w:lang w:eastAsia="zh-CN"/>
        </w:rPr>
        <w:t>影响</w:t>
      </w:r>
      <w:r>
        <w:rPr>
          <w:rFonts w:hint="default" w:ascii="Times New Roman" w:hAnsi="Times New Roman" w:cs="Times New Roman"/>
          <w:color w:val="auto"/>
          <w:szCs w:val="24"/>
        </w:rPr>
        <w:t>。</w:t>
      </w:r>
    </w:p>
    <w:p w14:paraId="2F08889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（5）选用先进的设备、机械，有效地减少跑、冒、滴、漏的数量及机械维修次数，从而减少含油污水的产生量。</w:t>
      </w:r>
    </w:p>
    <w:p w14:paraId="2457AD6C">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Cs w:val="24"/>
        </w:rPr>
        <w:t>（6）</w:t>
      </w:r>
      <w:r>
        <w:rPr>
          <w:rFonts w:hint="default" w:ascii="Times New Roman" w:hAnsi="Times New Roman" w:eastAsia="宋体" w:cs="Times New Roman"/>
          <w:color w:val="auto"/>
          <w:sz w:val="24"/>
          <w:highlight w:val="none"/>
          <w:lang w:eastAsia="zh-CN"/>
        </w:rPr>
        <w:t>根据现场调查以及向施工单位咨询，施工单位在施工过程中，桥梁面向河道侧设置了临时拦挡，以防止建筑垃圾、土石方等滚落进入河道。同时在桥梁施工区域的边坡用塑料布进行覆盖，以</w:t>
      </w:r>
      <w:r>
        <w:rPr>
          <w:rFonts w:hint="eastAsia" w:cs="Times New Roman"/>
          <w:color w:val="auto"/>
          <w:sz w:val="24"/>
          <w:highlight w:val="none"/>
          <w:lang w:eastAsia="zh-CN"/>
        </w:rPr>
        <w:t>减少</w:t>
      </w:r>
      <w:r>
        <w:rPr>
          <w:rFonts w:hint="default" w:ascii="Times New Roman" w:hAnsi="Times New Roman" w:eastAsia="宋体" w:cs="Times New Roman"/>
          <w:color w:val="auto"/>
          <w:sz w:val="24"/>
          <w:highlight w:val="none"/>
          <w:lang w:eastAsia="zh-CN"/>
        </w:rPr>
        <w:t>径流对河道的影响。在施工现场未发现施工废油、废水等随意排放遗迹。</w:t>
      </w:r>
    </w:p>
    <w:p w14:paraId="187843EF">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（7）</w:t>
      </w:r>
      <w:r>
        <w:rPr>
          <w:rFonts w:hint="default" w:ascii="Times New Roman" w:hAnsi="Times New Roman" w:eastAsia="宋体" w:cs="Times New Roman"/>
          <w:snapToGrid w:val="0"/>
          <w:color w:val="auto"/>
          <w:kern w:val="0"/>
          <w:sz w:val="24"/>
          <w:szCs w:val="21"/>
          <w:highlight w:val="none"/>
          <w:lang w:val="en-US" w:eastAsia="zh-CN" w:bidi="ar-SA"/>
        </w:rPr>
        <w:t>施工单位施工生活营地主要为租用当地居民用房。施工人员办公、生活过程有生活污水产生，主要利用居民房屋原有的生活污水处理设施处理后用作农肥。根据现场调查，在施工现场未发现施工生活营地生活污水随意排放遗迹</w:t>
      </w:r>
      <w:r>
        <w:rPr>
          <w:rFonts w:hint="default" w:ascii="Times New Roman" w:hAnsi="Times New Roman" w:cs="Times New Roman"/>
          <w:color w:val="auto"/>
          <w:szCs w:val="24"/>
        </w:rPr>
        <w:t>。</w:t>
      </w:r>
    </w:p>
    <w:p w14:paraId="5C2138C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（8）混凝土拌合系统设三级沉淀池，冲洗废水经处理后回用于生产或者洒水降尘。</w:t>
      </w:r>
    </w:p>
    <w:p w14:paraId="0EA1C0A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（9）机械修理场所设置隔油池，含油废水经隔油沉淀后回用，施工机械设备维修使用后的废油，包括擦油布、棉纱等，必须集中交由有资质单位回收处理，不乱倒乱放。</w:t>
      </w:r>
    </w:p>
    <w:p w14:paraId="01C1D2D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根据调查，</w:t>
      </w:r>
      <w:r>
        <w:rPr>
          <w:rFonts w:hint="eastAsia" w:cs="Times New Roman"/>
          <w:color w:val="auto"/>
          <w:szCs w:val="24"/>
          <w:lang w:val="en-US" w:eastAsia="zh-CN"/>
        </w:rPr>
        <w:t>项目</w:t>
      </w:r>
      <w:r>
        <w:rPr>
          <w:rFonts w:hint="default" w:ascii="Times New Roman" w:hAnsi="Times New Roman" w:cs="Times New Roman"/>
          <w:color w:val="auto"/>
          <w:szCs w:val="24"/>
        </w:rPr>
        <w:t>全线各施工区域水环境保护措施基本到位，未发生重大水污染事件；施工</w:t>
      </w:r>
      <w:r>
        <w:rPr>
          <w:rFonts w:hint="eastAsia" w:cs="Times New Roman"/>
          <w:color w:val="auto"/>
          <w:szCs w:val="24"/>
          <w:lang w:eastAsia="zh-CN"/>
        </w:rPr>
        <w:t>场地</w:t>
      </w:r>
      <w:r>
        <w:rPr>
          <w:rFonts w:hint="default" w:ascii="Times New Roman" w:hAnsi="Times New Roman" w:cs="Times New Roman"/>
          <w:color w:val="auto"/>
          <w:szCs w:val="24"/>
        </w:rPr>
        <w:t>按环保要求设置了隔油池和沉淀池等污水处理设施，起到了较好的水环境保护作用。</w:t>
      </w:r>
    </w:p>
    <w:p w14:paraId="7BCAFE24">
      <w:pPr>
        <w:pStyle w:val="3"/>
        <w:numPr>
          <w:ilvl w:val="0"/>
          <w:numId w:val="0"/>
        </w:numPr>
        <w:ind w:left="578" w:leftChars="0" w:hanging="578" w:firstLineChars="0"/>
        <w:rPr>
          <w:rFonts w:hint="default" w:ascii="Times New Roman" w:hAnsi="Times New Roman" w:cs="Times New Roman"/>
          <w:color w:val="auto"/>
        </w:rPr>
      </w:pPr>
      <w:bookmarkStart w:id="163" w:name="_Toc22496"/>
      <w:bookmarkStart w:id="164" w:name="_Toc4238"/>
      <w:r>
        <w:rPr>
          <w:rFonts w:hint="eastAsia" w:ascii="Times New Roman" w:hAnsi="Times New Roman" w:cs="Times New Roman"/>
          <w:b/>
          <w:bCs/>
          <w:color w:val="auto"/>
          <w:kern w:val="2"/>
          <w:sz w:val="32"/>
          <w:szCs w:val="32"/>
          <w:lang w:val="en-US" w:eastAsia="zh-CN" w:bidi="ar-SA"/>
        </w:rPr>
        <w:t>8.3</w:t>
      </w:r>
      <w:r>
        <w:rPr>
          <w:rFonts w:hint="default" w:ascii="Times New Roman" w:hAnsi="Times New Roman" w:cs="Times New Roman"/>
          <w:color w:val="auto"/>
        </w:rPr>
        <w:t>营运期水环境保护措施</w:t>
      </w:r>
      <w:bookmarkEnd w:id="163"/>
      <w:bookmarkEnd w:id="164"/>
    </w:p>
    <w:p w14:paraId="4151F19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高速公路营运期水环境变化主要来自两方面：一是路面径流冲刷物对水环境的影响；二是收费站等区域生活污水排放对水环境的影响。</w:t>
      </w:r>
    </w:p>
    <w:p w14:paraId="42B61E49">
      <w:pPr>
        <w:pStyle w:val="4"/>
        <w:numPr>
          <w:ilvl w:val="0"/>
          <w:numId w:val="0"/>
        </w:numPr>
        <w:ind w:left="720" w:leftChars="0" w:hanging="720" w:firstLineChars="0"/>
        <w:rPr>
          <w:rFonts w:hint="default" w:ascii="Times New Roman" w:hAnsi="Times New Roman" w:cs="Times New Roman"/>
          <w:color w:val="auto"/>
        </w:rPr>
      </w:pPr>
      <w:bookmarkStart w:id="165" w:name="_Toc32374"/>
      <w:bookmarkStart w:id="166" w:name="_Toc28892"/>
      <w:r>
        <w:rPr>
          <w:rFonts w:hint="eastAsia" w:ascii="Times New Roman" w:hAnsi="Times New Roman" w:eastAsia="宋体"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.3.1</w:t>
      </w:r>
      <w:r>
        <w:rPr>
          <w:rFonts w:hint="default" w:ascii="Times New Roman" w:hAnsi="Times New Roman" w:cs="Times New Roman"/>
          <w:color w:val="auto"/>
        </w:rPr>
        <w:t>运营期</w:t>
      </w:r>
      <w:bookmarkEnd w:id="165"/>
      <w:bookmarkEnd w:id="166"/>
      <w:r>
        <w:rPr>
          <w:rFonts w:hint="default" w:ascii="Times New Roman" w:hAnsi="Times New Roman" w:cs="Times New Roman"/>
          <w:color w:val="auto"/>
        </w:rPr>
        <w:t>桥面径流影响调查与分析</w:t>
      </w:r>
    </w:p>
    <w:p w14:paraId="4790CDC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）路面集水排放对水环境的影响分析</w:t>
      </w:r>
    </w:p>
    <w:p w14:paraId="2A4E5306">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路面集水对水环境可能产生的主要影响是路面集水随处漫流，对地表径流的影响。据调查，</w:t>
      </w:r>
      <w:r>
        <w:rPr>
          <w:rFonts w:hint="eastAsia" w:cs="Times New Roman"/>
          <w:color w:val="auto"/>
          <w:szCs w:val="24"/>
          <w:lang w:val="en-US" w:eastAsia="zh-CN"/>
        </w:rPr>
        <w:t>道路</w:t>
      </w:r>
      <w:r>
        <w:rPr>
          <w:rFonts w:hint="default" w:ascii="Times New Roman" w:hAnsi="Times New Roman" w:cs="Times New Roman"/>
          <w:color w:val="auto"/>
          <w:szCs w:val="24"/>
        </w:rPr>
        <w:t>全线进行了路基、路面综合排水设计，路面集水排放系统主要由土质、混凝土边沟、排水沟、急流槽、</w:t>
      </w:r>
      <w:r>
        <w:rPr>
          <w:rFonts w:hint="eastAsia" w:cs="Times New Roman"/>
          <w:color w:val="auto"/>
          <w:szCs w:val="24"/>
          <w:lang w:eastAsia="zh-CN"/>
        </w:rPr>
        <w:t>沉沙池</w:t>
      </w:r>
      <w:r>
        <w:rPr>
          <w:rFonts w:hint="default" w:ascii="Times New Roman" w:hAnsi="Times New Roman" w:cs="Times New Roman"/>
          <w:color w:val="auto"/>
          <w:szCs w:val="24"/>
        </w:rPr>
        <w:t>组成，基本上消除了随处漫流的现象。排水沟和边沟采用土质边沟、混凝土边沟相结合；路面雨水经土层过滤后，</w:t>
      </w:r>
      <w:r>
        <w:rPr>
          <w:rFonts w:hint="eastAsia" w:cs="Times New Roman"/>
          <w:color w:val="auto"/>
          <w:szCs w:val="24"/>
          <w:lang w:eastAsia="zh-CN"/>
        </w:rPr>
        <w:t>进入</w:t>
      </w:r>
      <w:r>
        <w:rPr>
          <w:rFonts w:hint="default" w:ascii="Times New Roman" w:hAnsi="Times New Roman" w:cs="Times New Roman"/>
          <w:color w:val="auto"/>
          <w:szCs w:val="24"/>
        </w:rPr>
        <w:t>沿线河流，对沿线水体影响较小。</w:t>
      </w:r>
    </w:p>
    <w:p w14:paraId="48754183">
      <w:pPr>
        <w:ind w:left="480" w:firstLine="0" w:firstLineChars="0"/>
        <w:rPr>
          <w:rFonts w:hint="default" w:ascii="Times New Roman" w:hAnsi="Times New Roman" w:cs="Times New Roman"/>
          <w:color w:val="auto"/>
          <w:szCs w:val="24"/>
        </w:rPr>
      </w:pPr>
      <w:r>
        <w:rPr>
          <w:rFonts w:hint="default" w:ascii="Times New Roman" w:hAnsi="Times New Roman" w:cs="Times New Roman"/>
          <w:color w:val="auto"/>
          <w:szCs w:val="24"/>
        </w:rPr>
        <w:t>（2）桥</w:t>
      </w: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lang w:val="en-US" w:eastAsia="zh-CN"/>
        </w:rPr>
        <w:t>路</w:t>
      </w:r>
      <w:r>
        <w:rPr>
          <w:rFonts w:hint="eastAsia" w:ascii="Times New Roman" w:hAnsi="Times New Roman" w:cs="Times New Roman"/>
          <w:color w:val="auto"/>
          <w:szCs w:val="24"/>
          <w:lang w:eastAsia="zh-CN"/>
        </w:rPr>
        <w:t>）</w:t>
      </w:r>
      <w:r>
        <w:rPr>
          <w:rFonts w:hint="default" w:ascii="Times New Roman" w:hAnsi="Times New Roman" w:cs="Times New Roman"/>
          <w:color w:val="auto"/>
          <w:szCs w:val="24"/>
        </w:rPr>
        <w:t>面径流对沿线水环境的影响分析</w:t>
      </w:r>
    </w:p>
    <w:p w14:paraId="3E0BD57B">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项目采用边沟收集路面径流，集中排放至沿线沟渠。边沟截留了降水在路面和路基边坡上形成的径流，不会产生雨水漫流的现象，避免了雨水径流对沿线农田的冲刷。根据工程分析，路面径流污染物以COD 、BOD</w:t>
      </w:r>
      <w:r>
        <w:rPr>
          <w:rFonts w:hint="default" w:ascii="Times New Roman" w:hAnsi="Times New Roman" w:eastAsia="宋体" w:cs="Times New Roman"/>
          <w:color w:val="auto"/>
          <w:sz w:val="24"/>
          <w:highlight w:val="none"/>
          <w:vertAlign w:val="subscript"/>
          <w:lang w:val="en-US" w:eastAsia="zh-CN"/>
        </w:rPr>
        <w:t>5</w:t>
      </w:r>
      <w:r>
        <w:rPr>
          <w:rFonts w:hint="default" w:ascii="Times New Roman" w:hAnsi="Times New Roman" w:eastAsia="宋体" w:cs="Times New Roman"/>
          <w:color w:val="auto"/>
          <w:sz w:val="24"/>
          <w:highlight w:val="none"/>
          <w:lang w:val="en-US" w:eastAsia="zh-CN"/>
        </w:rPr>
        <w:t>、SS和石油类为主，通常从降雨初期到形成径流的30分钟内，雨水中的悬浮物和油类物质浓度较高，30分钟后其浓度随降雨历时延长下降较快，降雨历时40～60 分钟之后，路面基本被冲洗干净，路（桥）面径流污染物浓度基本稳定在较低水平。</w:t>
      </w:r>
    </w:p>
    <w:p w14:paraId="4ECB7D98">
      <w:pPr>
        <w:bidi w:val="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在降雨初期，路面径流通过降水稀释、边坡的吸附等作用。路面径流从公路边沟、雨水管出口进入周边水体后，将在径流落水点附近的局部小范围内造成污染物浓度的瞬时升高，但随着水体的湍流混合，污染物迅速在整个断面上混合均匀，其对受纳水体污染物浓度升高的贡献微乎其微，基本不会对沿线水体水质造成影响。</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54038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6FF71871">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cs="Times New Roman"/>
                <w:color w:val="auto"/>
                <w:vertAlign w:val="baseline"/>
                <w:lang w:val="en-US" w:eastAsia="zh-CN"/>
              </w:rPr>
            </w:pPr>
            <w:r>
              <w:rPr>
                <w:color w:val="auto"/>
              </w:rPr>
              <w:drawing>
                <wp:inline distT="0" distB="0" distL="114300" distR="114300">
                  <wp:extent cx="5273675" cy="3002280"/>
                  <wp:effectExtent l="0" t="0" r="3175" b="762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49"/>
                          <a:stretch>
                            <a:fillRect/>
                          </a:stretch>
                        </pic:blipFill>
                        <pic:spPr>
                          <a:xfrm>
                            <a:off x="0" y="0"/>
                            <a:ext cx="5273675" cy="3002280"/>
                          </a:xfrm>
                          <a:prstGeom prst="rect">
                            <a:avLst/>
                          </a:prstGeom>
                          <a:noFill/>
                          <a:ln>
                            <a:noFill/>
                          </a:ln>
                        </pic:spPr>
                      </pic:pic>
                    </a:graphicData>
                  </a:graphic>
                </wp:inline>
              </w:drawing>
            </w:r>
          </w:p>
        </w:tc>
      </w:tr>
      <w:tr w14:paraId="75C76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14:paraId="5A43C993">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color w:val="auto"/>
              </w:rPr>
            </w:pPr>
            <w:r>
              <w:rPr>
                <w:rFonts w:hint="eastAsia" w:cs="Times New Roman"/>
                <w:color w:val="auto"/>
                <w:vertAlign w:val="baseline"/>
                <w:lang w:val="en-US" w:eastAsia="zh-CN"/>
              </w:rPr>
              <w:t>图8.3-1 主线沿线排水设施情况</w:t>
            </w:r>
          </w:p>
        </w:tc>
      </w:tr>
    </w:tbl>
    <w:p w14:paraId="56865358">
      <w:pPr>
        <w:pStyle w:val="4"/>
        <w:numPr>
          <w:ilvl w:val="0"/>
          <w:numId w:val="0"/>
        </w:numPr>
        <w:ind w:left="720" w:leftChars="0" w:hanging="720" w:firstLineChars="0"/>
        <w:rPr>
          <w:rFonts w:hint="default" w:ascii="Times New Roman" w:hAnsi="Times New Roman" w:cs="Times New Roman"/>
          <w:color w:val="auto"/>
        </w:rPr>
      </w:pPr>
      <w:r>
        <w:rPr>
          <w:rFonts w:hint="eastAsia" w:ascii="Times New Roman" w:hAnsi="Times New Roman" w:eastAsia="宋体"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.3.2</w:t>
      </w:r>
      <w:r>
        <w:rPr>
          <w:rFonts w:hint="default" w:ascii="Times New Roman" w:hAnsi="Times New Roman" w:cs="Times New Roman"/>
          <w:color w:val="auto"/>
        </w:rPr>
        <w:t>服务设施污水</w:t>
      </w:r>
      <w:r>
        <w:rPr>
          <w:rFonts w:hint="default" w:ascii="Times New Roman" w:hAnsi="Times New Roman" w:cs="Times New Roman"/>
          <w:color w:val="auto"/>
          <w:lang w:eastAsia="zh-CN"/>
        </w:rPr>
        <w:t>处理</w:t>
      </w:r>
      <w:r>
        <w:rPr>
          <w:rFonts w:hint="default" w:ascii="Times New Roman" w:hAnsi="Times New Roman" w:cs="Times New Roman"/>
          <w:color w:val="auto"/>
        </w:rPr>
        <w:t>措施调查</w:t>
      </w:r>
    </w:p>
    <w:p w14:paraId="6298CC0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项目在</w:t>
      </w:r>
      <w:r>
        <w:rPr>
          <w:rFonts w:hint="default" w:ascii="Times New Roman" w:hAnsi="Times New Roman" w:cs="Times New Roman"/>
          <w:color w:val="auto"/>
          <w:szCs w:val="24"/>
          <w:lang w:eastAsia="zh-CN"/>
        </w:rPr>
        <w:t>运营</w:t>
      </w:r>
      <w:r>
        <w:rPr>
          <w:rFonts w:hint="default" w:ascii="Times New Roman" w:hAnsi="Times New Roman" w:cs="Times New Roman"/>
          <w:color w:val="auto"/>
          <w:szCs w:val="24"/>
        </w:rPr>
        <w:t>期产生的废水主要为收费站服务设施的生活污水。</w:t>
      </w:r>
    </w:p>
    <w:p w14:paraId="2481B3E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项目实际设收费站</w:t>
      </w:r>
      <w:r>
        <w:rPr>
          <w:rFonts w:hint="eastAsia" w:ascii="Times New Roman" w:hAnsi="Times New Roman" w:cs="Times New Roman"/>
          <w:color w:val="auto"/>
          <w:szCs w:val="24"/>
          <w:lang w:val="en-US" w:eastAsia="zh-CN"/>
        </w:rPr>
        <w:t>1</w:t>
      </w:r>
      <w:r>
        <w:rPr>
          <w:rFonts w:hint="default" w:ascii="Times New Roman" w:hAnsi="Times New Roman" w:cs="Times New Roman"/>
          <w:color w:val="auto"/>
          <w:szCs w:val="24"/>
        </w:rPr>
        <w:t>处，</w:t>
      </w:r>
      <w:r>
        <w:rPr>
          <w:rFonts w:hint="eastAsia" w:ascii="Times New Roman" w:hAnsi="Times New Roman" w:cs="Times New Roman"/>
          <w:color w:val="auto"/>
          <w:szCs w:val="24"/>
          <w:lang w:val="en-US" w:eastAsia="zh-CN"/>
        </w:rPr>
        <w:t>并</w:t>
      </w:r>
      <w:r>
        <w:rPr>
          <w:rFonts w:hint="default" w:ascii="Times New Roman" w:hAnsi="Times New Roman" w:cs="Times New Roman"/>
          <w:color w:val="auto"/>
          <w:szCs w:val="24"/>
        </w:rPr>
        <w:t>设置了污水处理设施，设施具体情况见</w:t>
      </w:r>
      <w:r>
        <w:rPr>
          <w:rFonts w:hint="default" w:ascii="Times New Roman" w:hAnsi="Times New Roman" w:cs="Times New Roman"/>
          <w:color w:val="auto"/>
          <w:szCs w:val="24"/>
          <w:lang w:eastAsia="zh-CN"/>
        </w:rPr>
        <w:t>下表</w:t>
      </w:r>
      <w:r>
        <w:rPr>
          <w:rFonts w:hint="eastAsia" w:ascii="Times New Roman" w:hAnsi="Times New Roman" w:cs="Times New Roman"/>
          <w:color w:val="auto"/>
          <w:szCs w:val="24"/>
          <w:lang w:eastAsia="zh-CN"/>
        </w:rPr>
        <w:t>：</w:t>
      </w:r>
    </w:p>
    <w:p w14:paraId="6AF788B8">
      <w:pPr>
        <w:pStyle w:val="24"/>
        <w:ind w:firstLine="480"/>
        <w:rPr>
          <w:rFonts w:hint="default" w:ascii="Times New Roman" w:hAnsi="Times New Roman" w:cs="Times New Roman"/>
          <w:color w:val="auto"/>
          <w:szCs w:val="24"/>
        </w:rPr>
        <w:sectPr>
          <w:pgSz w:w="11906" w:h="16838"/>
          <w:pgMar w:top="1440" w:right="1800" w:bottom="1440" w:left="1800" w:header="737" w:footer="567" w:gutter="0"/>
          <w:pgBorders>
            <w:top w:val="none" w:sz="0" w:space="0"/>
            <w:left w:val="none" w:sz="0" w:space="0"/>
            <w:bottom w:val="none" w:sz="0" w:space="0"/>
            <w:right w:val="none" w:sz="0" w:space="0"/>
          </w:pgBorders>
          <w:cols w:space="720" w:num="1"/>
          <w:titlePg/>
          <w:docGrid w:type="lines" w:linePitch="326" w:charSpace="0"/>
        </w:sectPr>
      </w:pPr>
    </w:p>
    <w:p w14:paraId="58D127CA">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8.3</w:t>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t>沿线服务设施污水处理基本情况一览表</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583"/>
        <w:gridCol w:w="1569"/>
        <w:gridCol w:w="1768"/>
        <w:gridCol w:w="846"/>
        <w:gridCol w:w="1013"/>
        <w:gridCol w:w="763"/>
        <w:gridCol w:w="2034"/>
        <w:gridCol w:w="1361"/>
        <w:gridCol w:w="641"/>
        <w:gridCol w:w="1035"/>
        <w:gridCol w:w="855"/>
      </w:tblGrid>
      <w:tr w14:paraId="25BD85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06" w:type="dxa"/>
            <w:vMerge w:val="restart"/>
            <w:noWrap w:val="0"/>
            <w:vAlign w:val="center"/>
          </w:tcPr>
          <w:p w14:paraId="4682139B">
            <w:pPr>
              <w:pStyle w:val="29"/>
              <w:rPr>
                <w:rFonts w:hint="default" w:ascii="Times New Roman" w:hAnsi="Times New Roman" w:cs="Times New Roman"/>
                <w:color w:val="auto"/>
              </w:rPr>
            </w:pPr>
            <w:r>
              <w:rPr>
                <w:rFonts w:hint="default" w:ascii="Times New Roman" w:hAnsi="Times New Roman" w:cs="Times New Roman"/>
                <w:color w:val="auto"/>
              </w:rPr>
              <w:t>设施类别</w:t>
            </w:r>
          </w:p>
        </w:tc>
        <w:tc>
          <w:tcPr>
            <w:tcW w:w="1583" w:type="dxa"/>
            <w:vMerge w:val="restart"/>
            <w:noWrap w:val="0"/>
            <w:vAlign w:val="center"/>
          </w:tcPr>
          <w:p w14:paraId="0A116CA6">
            <w:pPr>
              <w:pStyle w:val="29"/>
              <w:rPr>
                <w:rFonts w:hint="default" w:ascii="Times New Roman" w:hAnsi="Times New Roman" w:cs="Times New Roman"/>
                <w:color w:val="auto"/>
              </w:rPr>
            </w:pPr>
            <w:r>
              <w:rPr>
                <w:rFonts w:hint="default" w:ascii="Times New Roman" w:hAnsi="Times New Roman" w:cs="Times New Roman"/>
                <w:color w:val="auto"/>
              </w:rPr>
              <w:t>交通设施名称</w:t>
            </w:r>
          </w:p>
        </w:tc>
        <w:tc>
          <w:tcPr>
            <w:tcW w:w="5959" w:type="dxa"/>
            <w:gridSpan w:val="5"/>
            <w:noWrap w:val="0"/>
            <w:vAlign w:val="center"/>
          </w:tcPr>
          <w:p w14:paraId="16FFFB38">
            <w:pPr>
              <w:pStyle w:val="29"/>
              <w:rPr>
                <w:rFonts w:hint="default" w:ascii="Times New Roman" w:hAnsi="Times New Roman" w:cs="Times New Roman"/>
                <w:color w:val="auto"/>
              </w:rPr>
            </w:pPr>
            <w:r>
              <w:rPr>
                <w:rFonts w:hint="eastAsia" w:cs="Times New Roman"/>
                <w:color w:val="auto"/>
                <w:lang w:val="en-US" w:eastAsia="zh-CN"/>
              </w:rPr>
              <w:t>重新报批</w:t>
            </w:r>
            <w:r>
              <w:rPr>
                <w:rFonts w:hint="eastAsia" w:cs="Times New Roman"/>
                <w:color w:val="auto"/>
                <w:lang w:eastAsia="zh-CN"/>
              </w:rPr>
              <w:t>阶段</w:t>
            </w:r>
          </w:p>
        </w:tc>
        <w:tc>
          <w:tcPr>
            <w:tcW w:w="5926" w:type="dxa"/>
            <w:gridSpan w:val="5"/>
            <w:noWrap w:val="0"/>
            <w:vAlign w:val="top"/>
          </w:tcPr>
          <w:p w14:paraId="6503183A">
            <w:pPr>
              <w:pStyle w:val="29"/>
              <w:rPr>
                <w:rFonts w:hint="default" w:ascii="Times New Roman" w:hAnsi="Times New Roman" w:cs="Times New Roman"/>
                <w:color w:val="auto"/>
              </w:rPr>
            </w:pPr>
            <w:r>
              <w:rPr>
                <w:rFonts w:hint="default" w:ascii="Times New Roman" w:hAnsi="Times New Roman" w:cs="Times New Roman"/>
                <w:color w:val="auto"/>
              </w:rPr>
              <w:t>验收阶段</w:t>
            </w:r>
          </w:p>
        </w:tc>
      </w:tr>
      <w:tr w14:paraId="40ECD7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6" w:type="dxa"/>
            <w:vMerge w:val="continue"/>
            <w:noWrap w:val="0"/>
            <w:vAlign w:val="center"/>
          </w:tcPr>
          <w:p w14:paraId="02905C86">
            <w:pPr>
              <w:pStyle w:val="29"/>
              <w:rPr>
                <w:rFonts w:hint="default" w:ascii="Times New Roman" w:hAnsi="Times New Roman" w:cs="Times New Roman"/>
                <w:color w:val="auto"/>
              </w:rPr>
            </w:pPr>
          </w:p>
        </w:tc>
        <w:tc>
          <w:tcPr>
            <w:tcW w:w="1583" w:type="dxa"/>
            <w:vMerge w:val="continue"/>
            <w:noWrap w:val="0"/>
            <w:vAlign w:val="center"/>
          </w:tcPr>
          <w:p w14:paraId="0D6079CE">
            <w:pPr>
              <w:pStyle w:val="29"/>
              <w:rPr>
                <w:rFonts w:hint="default" w:ascii="Times New Roman" w:hAnsi="Times New Roman" w:cs="Times New Roman"/>
                <w:color w:val="auto"/>
              </w:rPr>
            </w:pPr>
          </w:p>
        </w:tc>
        <w:tc>
          <w:tcPr>
            <w:tcW w:w="1569" w:type="dxa"/>
            <w:noWrap w:val="0"/>
            <w:vAlign w:val="center"/>
          </w:tcPr>
          <w:p w14:paraId="4A0AF899">
            <w:pPr>
              <w:pStyle w:val="29"/>
              <w:rPr>
                <w:rFonts w:hint="default" w:ascii="Times New Roman" w:hAnsi="Times New Roman" w:cs="Times New Roman"/>
                <w:color w:val="auto"/>
                <w:lang w:eastAsia="zh-CN"/>
              </w:rPr>
            </w:pPr>
            <w:r>
              <w:rPr>
                <w:rFonts w:hint="default" w:ascii="Times New Roman" w:hAnsi="Times New Roman" w:cs="Times New Roman"/>
                <w:color w:val="auto"/>
                <w:lang w:eastAsia="zh-CN"/>
              </w:rPr>
              <w:t>处理措施</w:t>
            </w:r>
          </w:p>
        </w:tc>
        <w:tc>
          <w:tcPr>
            <w:tcW w:w="1768" w:type="dxa"/>
            <w:noWrap w:val="0"/>
            <w:vAlign w:val="center"/>
          </w:tcPr>
          <w:p w14:paraId="46D7DD23">
            <w:pPr>
              <w:pStyle w:val="29"/>
              <w:rPr>
                <w:rFonts w:hint="default" w:ascii="Times New Roman" w:hAnsi="Times New Roman" w:cs="Times New Roman"/>
                <w:color w:val="auto"/>
              </w:rPr>
            </w:pPr>
            <w:r>
              <w:rPr>
                <w:rFonts w:hint="default" w:ascii="Times New Roman" w:hAnsi="Times New Roman" w:cs="Times New Roman"/>
                <w:color w:val="auto"/>
                <w:lang w:eastAsia="zh-CN"/>
              </w:rPr>
              <w:t>执行</w:t>
            </w:r>
            <w:r>
              <w:rPr>
                <w:rFonts w:hint="default" w:ascii="Times New Roman" w:hAnsi="Times New Roman" w:cs="Times New Roman"/>
                <w:color w:val="auto"/>
              </w:rPr>
              <w:t>标准</w:t>
            </w:r>
          </w:p>
        </w:tc>
        <w:tc>
          <w:tcPr>
            <w:tcW w:w="846" w:type="dxa"/>
            <w:noWrap w:val="0"/>
            <w:vAlign w:val="center"/>
          </w:tcPr>
          <w:p w14:paraId="06098D3F">
            <w:pPr>
              <w:pStyle w:val="29"/>
              <w:rPr>
                <w:rFonts w:hint="default" w:ascii="Times New Roman" w:hAnsi="Times New Roman" w:cs="Times New Roman"/>
                <w:color w:val="auto"/>
              </w:rPr>
            </w:pPr>
            <w:r>
              <w:rPr>
                <w:rFonts w:hint="default" w:ascii="Times New Roman" w:hAnsi="Times New Roman" w:cs="Times New Roman"/>
                <w:color w:val="auto"/>
              </w:rPr>
              <w:t>数量（套）</w:t>
            </w:r>
          </w:p>
        </w:tc>
        <w:tc>
          <w:tcPr>
            <w:tcW w:w="1013" w:type="dxa"/>
            <w:noWrap w:val="0"/>
            <w:vAlign w:val="center"/>
          </w:tcPr>
          <w:p w14:paraId="5C68FB81">
            <w:pPr>
              <w:pStyle w:val="29"/>
              <w:rPr>
                <w:rFonts w:hint="default" w:ascii="Times New Roman" w:hAnsi="Times New Roman" w:cs="Times New Roman"/>
                <w:color w:val="auto"/>
              </w:rPr>
            </w:pPr>
            <w:r>
              <w:rPr>
                <w:rFonts w:hint="default" w:ascii="Times New Roman" w:hAnsi="Times New Roman" w:cs="Times New Roman"/>
                <w:color w:val="auto"/>
              </w:rPr>
              <w:t>最大处理能力</w:t>
            </w:r>
          </w:p>
        </w:tc>
        <w:tc>
          <w:tcPr>
            <w:tcW w:w="763" w:type="dxa"/>
            <w:noWrap w:val="0"/>
            <w:vAlign w:val="center"/>
          </w:tcPr>
          <w:p w14:paraId="73521CB2">
            <w:pPr>
              <w:pStyle w:val="29"/>
              <w:rPr>
                <w:rFonts w:hint="default" w:ascii="Times New Roman" w:hAnsi="Times New Roman" w:cs="Times New Roman"/>
                <w:color w:val="auto"/>
              </w:rPr>
            </w:pPr>
            <w:r>
              <w:rPr>
                <w:rFonts w:hint="default" w:ascii="Times New Roman" w:hAnsi="Times New Roman" w:cs="Times New Roman"/>
                <w:color w:val="auto"/>
              </w:rPr>
              <w:t>废水去向</w:t>
            </w:r>
          </w:p>
        </w:tc>
        <w:tc>
          <w:tcPr>
            <w:tcW w:w="2034" w:type="dxa"/>
            <w:noWrap w:val="0"/>
            <w:vAlign w:val="center"/>
          </w:tcPr>
          <w:p w14:paraId="5AF648B4">
            <w:pPr>
              <w:pStyle w:val="29"/>
              <w:rPr>
                <w:rFonts w:hint="default" w:ascii="Times New Roman" w:hAnsi="Times New Roman" w:cs="Times New Roman"/>
                <w:color w:val="auto"/>
                <w:lang w:eastAsia="zh-CN"/>
              </w:rPr>
            </w:pPr>
            <w:r>
              <w:rPr>
                <w:rFonts w:hint="default" w:ascii="Times New Roman" w:hAnsi="Times New Roman" w:cs="Times New Roman"/>
                <w:color w:val="auto"/>
                <w:lang w:eastAsia="zh-CN"/>
              </w:rPr>
              <w:t>处理措施</w:t>
            </w:r>
          </w:p>
        </w:tc>
        <w:tc>
          <w:tcPr>
            <w:tcW w:w="1361" w:type="dxa"/>
            <w:noWrap w:val="0"/>
            <w:vAlign w:val="center"/>
          </w:tcPr>
          <w:p w14:paraId="350540F6">
            <w:pPr>
              <w:pStyle w:val="29"/>
              <w:rPr>
                <w:rFonts w:hint="default" w:ascii="Times New Roman" w:hAnsi="Times New Roman" w:cs="Times New Roman"/>
                <w:color w:val="auto"/>
              </w:rPr>
            </w:pPr>
            <w:r>
              <w:rPr>
                <w:rFonts w:hint="default" w:ascii="Times New Roman" w:hAnsi="Times New Roman" w:cs="Times New Roman"/>
                <w:color w:val="auto"/>
                <w:lang w:eastAsia="zh-CN"/>
              </w:rPr>
              <w:t>执行</w:t>
            </w:r>
            <w:r>
              <w:rPr>
                <w:rFonts w:hint="default" w:ascii="Times New Roman" w:hAnsi="Times New Roman" w:cs="Times New Roman"/>
                <w:color w:val="auto"/>
              </w:rPr>
              <w:t>标准</w:t>
            </w:r>
          </w:p>
        </w:tc>
        <w:tc>
          <w:tcPr>
            <w:tcW w:w="641" w:type="dxa"/>
            <w:noWrap w:val="0"/>
            <w:vAlign w:val="center"/>
          </w:tcPr>
          <w:p w14:paraId="246A7A5A">
            <w:pPr>
              <w:pStyle w:val="29"/>
              <w:rPr>
                <w:rFonts w:hint="default" w:ascii="Times New Roman" w:hAnsi="Times New Roman" w:cs="Times New Roman"/>
                <w:color w:val="auto"/>
              </w:rPr>
            </w:pPr>
            <w:r>
              <w:rPr>
                <w:rFonts w:hint="default" w:ascii="Times New Roman" w:hAnsi="Times New Roman" w:cs="Times New Roman"/>
                <w:color w:val="auto"/>
              </w:rPr>
              <w:t>数量</w:t>
            </w:r>
          </w:p>
        </w:tc>
        <w:tc>
          <w:tcPr>
            <w:tcW w:w="1035" w:type="dxa"/>
            <w:noWrap w:val="0"/>
            <w:vAlign w:val="center"/>
          </w:tcPr>
          <w:p w14:paraId="59FF6597">
            <w:pPr>
              <w:pStyle w:val="29"/>
              <w:rPr>
                <w:rFonts w:hint="default" w:ascii="Times New Roman" w:hAnsi="Times New Roman" w:cs="Times New Roman"/>
                <w:color w:val="auto"/>
              </w:rPr>
            </w:pPr>
            <w:r>
              <w:rPr>
                <w:rFonts w:hint="default" w:ascii="Times New Roman" w:hAnsi="Times New Roman" w:cs="Times New Roman"/>
                <w:color w:val="auto"/>
              </w:rPr>
              <w:t>最大处理能力</w:t>
            </w:r>
          </w:p>
        </w:tc>
        <w:tc>
          <w:tcPr>
            <w:tcW w:w="855" w:type="dxa"/>
            <w:noWrap w:val="0"/>
            <w:vAlign w:val="center"/>
          </w:tcPr>
          <w:p w14:paraId="4A08391C">
            <w:pPr>
              <w:pStyle w:val="29"/>
              <w:rPr>
                <w:rFonts w:hint="default" w:ascii="Times New Roman" w:hAnsi="Times New Roman" w:cs="Times New Roman"/>
                <w:color w:val="auto"/>
              </w:rPr>
            </w:pPr>
            <w:r>
              <w:rPr>
                <w:rFonts w:hint="default" w:ascii="Times New Roman" w:hAnsi="Times New Roman" w:cs="Times New Roman"/>
                <w:color w:val="auto"/>
              </w:rPr>
              <w:t>废水去向</w:t>
            </w:r>
          </w:p>
        </w:tc>
      </w:tr>
      <w:tr w14:paraId="531B5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6" w:hRule="atLeast"/>
        </w:trPr>
        <w:tc>
          <w:tcPr>
            <w:tcW w:w="706" w:type="dxa"/>
            <w:noWrap w:val="0"/>
            <w:vAlign w:val="center"/>
          </w:tcPr>
          <w:p w14:paraId="03F23DCE">
            <w:pPr>
              <w:pStyle w:val="29"/>
              <w:rPr>
                <w:rFonts w:hint="default" w:ascii="Times New Roman" w:hAnsi="Times New Roman" w:cs="Times New Roman"/>
                <w:color w:val="auto"/>
              </w:rPr>
            </w:pPr>
            <w:r>
              <w:rPr>
                <w:rFonts w:hint="default" w:ascii="Times New Roman" w:hAnsi="Times New Roman" w:cs="Times New Roman"/>
                <w:color w:val="auto"/>
              </w:rPr>
              <w:t>收费站</w:t>
            </w:r>
          </w:p>
        </w:tc>
        <w:tc>
          <w:tcPr>
            <w:tcW w:w="1583" w:type="dxa"/>
            <w:noWrap w:val="0"/>
            <w:vAlign w:val="center"/>
          </w:tcPr>
          <w:p w14:paraId="0750A1F1">
            <w:pPr>
              <w:pStyle w:val="29"/>
              <w:rPr>
                <w:rFonts w:hint="default" w:ascii="Times New Roman" w:hAnsi="Times New Roman" w:cs="Times New Roman"/>
                <w:color w:val="auto"/>
                <w:lang w:val="en-US"/>
              </w:rPr>
            </w:pPr>
            <w:r>
              <w:rPr>
                <w:rFonts w:hint="default" w:ascii="Times New Roman" w:hAnsi="Times New Roman" w:eastAsia="宋体" w:cs="Times New Roman"/>
                <w:color w:val="auto"/>
                <w:lang w:val="en-US" w:eastAsia="zh-CN"/>
              </w:rPr>
              <w:t>小沔</w:t>
            </w:r>
            <w:r>
              <w:rPr>
                <w:rFonts w:hint="eastAsia" w:ascii="Times New Roman" w:hAnsi="Times New Roman" w:eastAsia="宋体" w:cs="Times New Roman"/>
                <w:color w:val="auto"/>
                <w:lang w:val="en-US" w:eastAsia="zh-CN"/>
              </w:rPr>
              <w:t>收费站</w:t>
            </w:r>
          </w:p>
        </w:tc>
        <w:tc>
          <w:tcPr>
            <w:tcW w:w="5959" w:type="dxa"/>
            <w:gridSpan w:val="5"/>
            <w:noWrap w:val="0"/>
            <w:vAlign w:val="center"/>
          </w:tcPr>
          <w:p w14:paraId="728D9308">
            <w:pPr>
              <w:pStyle w:val="2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用于场地绿化，不外排</w:t>
            </w:r>
          </w:p>
        </w:tc>
        <w:tc>
          <w:tcPr>
            <w:tcW w:w="2034" w:type="dxa"/>
            <w:noWrap w:val="0"/>
            <w:vAlign w:val="center"/>
          </w:tcPr>
          <w:p w14:paraId="7B90AA89">
            <w:pPr>
              <w:pStyle w:val="29"/>
              <w:rPr>
                <w:rFonts w:hint="default" w:ascii="Times New Roman" w:hAnsi="Times New Roman" w:cs="Times New Roman"/>
                <w:color w:val="auto"/>
              </w:rPr>
            </w:pPr>
            <w:r>
              <w:rPr>
                <w:rFonts w:hint="default" w:ascii="Times New Roman" w:hAnsi="Times New Roman" w:cs="Times New Roman"/>
                <w:color w:val="auto"/>
              </w:rPr>
              <w:t>一体化污水生化处理设</w:t>
            </w:r>
            <w:r>
              <w:rPr>
                <w:rFonts w:hint="default" w:ascii="Times New Roman" w:hAnsi="Times New Roman" w:eastAsia="宋体" w:cs="Times New Roman"/>
                <w:color w:val="auto"/>
              </w:rPr>
              <w:t>施（</w:t>
            </w:r>
            <w:r>
              <w:rPr>
                <w:rFonts w:hint="default" w:ascii="Times New Roman" w:hAnsi="Times New Roman" w:eastAsia="宋体" w:cs="Times New Roman"/>
                <w:color w:val="auto"/>
                <w:lang w:val="en-US" w:eastAsia="zh-CN"/>
              </w:rPr>
              <w:t>采用MBBR处理工艺（调节+厌氧+缺氧+好氧+沉淀）</w:t>
            </w:r>
            <w:r>
              <w:rPr>
                <w:rFonts w:hint="default" w:ascii="Times New Roman" w:hAnsi="Times New Roman" w:eastAsia="宋体" w:cs="Times New Roman"/>
                <w:color w:val="auto"/>
              </w:rPr>
              <w:t>）</w:t>
            </w:r>
          </w:p>
        </w:tc>
        <w:tc>
          <w:tcPr>
            <w:tcW w:w="1361" w:type="dxa"/>
            <w:noWrap w:val="0"/>
            <w:vAlign w:val="center"/>
          </w:tcPr>
          <w:p w14:paraId="46E7E21F">
            <w:pPr>
              <w:pStyle w:val="29"/>
              <w:rPr>
                <w:rFonts w:hint="eastAsia" w:ascii="Times New Roman" w:hAnsi="Times New Roman" w:eastAsia="宋体" w:cs="Times New Roman"/>
                <w:color w:val="auto"/>
                <w:lang w:eastAsia="zh-CN"/>
              </w:rPr>
            </w:pPr>
            <w:r>
              <w:rPr>
                <w:rFonts w:hint="eastAsia" w:cs="Times New Roman"/>
                <w:color w:val="auto"/>
                <w:lang w:eastAsia="zh-CN"/>
              </w:rPr>
              <w:t>《城市污水再生利用 城市杂用水水质》（GB/T18920-2020）</w:t>
            </w:r>
          </w:p>
        </w:tc>
        <w:tc>
          <w:tcPr>
            <w:tcW w:w="641" w:type="dxa"/>
            <w:noWrap w:val="0"/>
            <w:vAlign w:val="center"/>
          </w:tcPr>
          <w:p w14:paraId="7C8D7C99">
            <w:pPr>
              <w:pStyle w:val="29"/>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w:t>
            </w:r>
          </w:p>
        </w:tc>
        <w:tc>
          <w:tcPr>
            <w:tcW w:w="1035" w:type="dxa"/>
            <w:noWrap w:val="0"/>
            <w:vAlign w:val="center"/>
          </w:tcPr>
          <w:p w14:paraId="741D6F9E">
            <w:pPr>
              <w:pStyle w:val="29"/>
              <w:rPr>
                <w:rFonts w:hint="default" w:ascii="Times New Roman" w:hAnsi="Times New Roman" w:cs="Times New Roman"/>
                <w:color w:val="auto"/>
              </w:rPr>
            </w:pPr>
            <w:r>
              <w:rPr>
                <w:rFonts w:hint="eastAsia" w:cs="Times New Roman"/>
                <w:color w:val="auto"/>
                <w:lang w:val="en-US" w:eastAsia="zh-CN"/>
              </w:rPr>
              <w:t>5</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lang w:eastAsia="zh-CN"/>
              </w:rPr>
              <w:t>/d</w:t>
            </w:r>
          </w:p>
        </w:tc>
        <w:tc>
          <w:tcPr>
            <w:tcW w:w="855" w:type="dxa"/>
            <w:noWrap w:val="0"/>
            <w:vAlign w:val="center"/>
          </w:tcPr>
          <w:p w14:paraId="1FE11C7E">
            <w:pPr>
              <w:pStyle w:val="29"/>
              <w:rPr>
                <w:rFonts w:hint="default" w:ascii="Times New Roman" w:hAnsi="Times New Roman" w:cs="Times New Roman"/>
                <w:color w:val="auto"/>
              </w:rPr>
            </w:pPr>
            <w:r>
              <w:rPr>
                <w:rFonts w:hint="default" w:ascii="Times New Roman" w:hAnsi="Times New Roman" w:cs="Times New Roman"/>
                <w:color w:val="auto"/>
                <w:kern w:val="0"/>
              </w:rPr>
              <w:t>绿化</w:t>
            </w:r>
          </w:p>
        </w:tc>
      </w:tr>
    </w:tbl>
    <w:p w14:paraId="5A74AB98">
      <w:pPr>
        <w:pStyle w:val="24"/>
        <w:ind w:firstLine="480"/>
        <w:rPr>
          <w:rFonts w:hint="default" w:ascii="Times New Roman" w:hAnsi="Times New Roman" w:cs="Times New Roman"/>
          <w:color w:val="auto"/>
          <w:szCs w:val="24"/>
        </w:rPr>
      </w:pPr>
    </w:p>
    <w:p w14:paraId="251BCBDE">
      <w:pPr>
        <w:pStyle w:val="24"/>
        <w:ind w:firstLine="480"/>
        <w:rPr>
          <w:rFonts w:hint="default" w:ascii="Times New Roman" w:hAnsi="Times New Roman" w:cs="Times New Roman"/>
          <w:color w:val="auto"/>
          <w:szCs w:val="24"/>
        </w:rPr>
        <w:sectPr>
          <w:pgSz w:w="16838" w:h="11906" w:orient="landscape"/>
          <w:pgMar w:top="1800" w:right="1440" w:bottom="1800" w:left="1440" w:header="737" w:footer="567" w:gutter="0"/>
          <w:pgBorders>
            <w:top w:val="none" w:sz="0" w:space="0"/>
            <w:left w:val="none" w:sz="0" w:space="0"/>
            <w:bottom w:val="none" w:sz="0" w:space="0"/>
            <w:right w:val="none" w:sz="0" w:space="0"/>
          </w:pgBorders>
          <w:cols w:space="720" w:num="1"/>
          <w:titlePg/>
          <w:docGrid w:type="lines" w:linePitch="326" w:charSpace="0"/>
        </w:sectPr>
      </w:pPr>
    </w:p>
    <w:p w14:paraId="271546A7">
      <w:pPr>
        <w:pStyle w:val="24"/>
        <w:ind w:firstLine="480"/>
        <w:rPr>
          <w:rFonts w:hint="default" w:ascii="Times New Roman" w:hAnsi="Times New Roman" w:cs="Times New Roman"/>
          <w:color w:val="auto"/>
          <w:szCs w:val="24"/>
        </w:rPr>
      </w:pPr>
      <w:r>
        <w:rPr>
          <w:rFonts w:hint="default" w:ascii="Times New Roman" w:hAnsi="Times New Roman" w:eastAsia="宋体" w:cs="Times New Roman"/>
          <w:color w:val="auto"/>
          <w:lang w:val="en-US" w:eastAsia="zh-CN"/>
        </w:rPr>
        <w:t>小沔</w:t>
      </w:r>
      <w:r>
        <w:rPr>
          <w:rFonts w:hint="eastAsia" w:ascii="Times New Roman" w:hAnsi="Times New Roman" w:eastAsia="宋体" w:cs="Times New Roman"/>
          <w:color w:val="auto"/>
          <w:lang w:val="en-US" w:eastAsia="zh-CN"/>
        </w:rPr>
        <w:t>收费站</w:t>
      </w:r>
      <w:r>
        <w:rPr>
          <w:rFonts w:hint="default" w:ascii="Times New Roman" w:hAnsi="Times New Roman" w:cs="Times New Roman"/>
          <w:color w:val="auto"/>
          <w:szCs w:val="24"/>
        </w:rPr>
        <w:t>设施污水处理系统主要处理工艺见下图。</w:t>
      </w:r>
    </w:p>
    <w:p w14:paraId="1385A4AF">
      <w:pPr>
        <w:ind w:firstLine="0" w:firstLineChars="0"/>
        <w:jc w:val="center"/>
        <w:rPr>
          <w:rFonts w:hint="default" w:ascii="Times New Roman" w:hAnsi="Times New Roman" w:cs="Times New Roman"/>
          <w:color w:val="auto"/>
          <w:szCs w:val="24"/>
        </w:rPr>
      </w:pPr>
      <w:r>
        <w:rPr>
          <w:rFonts w:hint="default" w:ascii="Times New Roman" w:hAnsi="Times New Roman" w:cs="Times New Roman"/>
          <w:color w:val="auto"/>
          <w:szCs w:val="24"/>
        </w:rPr>
        <w:object>
          <v:shape id="_x0000_i1025" o:spt="75" type="#_x0000_t75" style="height:291.2pt;width:342.2pt;" o:ole="t" filled="f" o:preferrelative="t" stroked="f" coordsize="21600,21600">
            <v:path/>
            <v:fill on="f" focussize="0,0"/>
            <v:stroke on="f"/>
            <v:imagedata r:id="rId66" o:title=""/>
            <o:lock v:ext="edit" aspectratio="t"/>
            <w10:wrap type="none"/>
            <w10:anchorlock/>
          </v:shape>
          <o:OLEObject Type="Embed" ProgID="Visio.Drawing.11" ShapeID="_x0000_i1025" DrawAspect="Content" ObjectID="_1468075725" r:id="rId65">
            <o:LockedField>false</o:LockedField>
          </o:OLEObject>
        </w:object>
      </w:r>
    </w:p>
    <w:p w14:paraId="780009D0">
      <w:pPr>
        <w:pStyle w:val="9"/>
        <w:rPr>
          <w:rFonts w:hint="default" w:ascii="Times New Roman" w:hAnsi="Times New Roman" w:cs="Times New Roman"/>
          <w:color w:val="auto"/>
        </w:rPr>
      </w:pPr>
      <w:r>
        <w:rPr>
          <w:rFonts w:hint="default" w:ascii="Times New Roman" w:hAnsi="Times New Roman" w:cs="Times New Roman"/>
          <w:color w:val="auto"/>
        </w:rPr>
        <w:t>图</w:t>
      </w:r>
      <w:r>
        <w:rPr>
          <w:rFonts w:hint="eastAsia" w:ascii="Times New Roman" w:hAnsi="Times New Roman" w:cs="Times New Roman"/>
          <w:color w:val="auto"/>
          <w:lang w:val="en-US" w:eastAsia="zh-CN"/>
        </w:rPr>
        <w:t>8.3</w:t>
      </w:r>
      <w:r>
        <w:rPr>
          <w:rFonts w:hint="default" w:ascii="Times New Roman" w:hAnsi="Times New Roman" w:cs="Times New Roman"/>
          <w:color w:val="auto"/>
        </w:rPr>
        <w:noBreakHyphen/>
      </w:r>
      <w:r>
        <w:rPr>
          <w:rFonts w:hint="eastAsia" w:ascii="Times New Roman" w:hAnsi="Times New Roman" w:cs="Times New Roman"/>
          <w:color w:val="auto"/>
          <w:lang w:val="en-US" w:eastAsia="zh-CN"/>
        </w:rPr>
        <w:t>2</w:t>
      </w:r>
      <w:r>
        <w:rPr>
          <w:rFonts w:hint="default" w:ascii="Times New Roman" w:hAnsi="Times New Roman" w:cs="Times New Roman"/>
          <w:color w:val="auto"/>
        </w:rPr>
        <w:t>收费站污水处理工艺流程图</w:t>
      </w:r>
    </w:p>
    <w:tbl>
      <w:tblPr>
        <w:tblStyle w:val="20"/>
        <w:tblW w:w="8522" w:type="dxa"/>
        <w:tblInd w:w="0" w:type="dxa"/>
        <w:tblLayout w:type="fixed"/>
        <w:tblCellMar>
          <w:top w:w="0" w:type="dxa"/>
          <w:left w:w="108" w:type="dxa"/>
          <w:bottom w:w="0" w:type="dxa"/>
          <w:right w:w="108" w:type="dxa"/>
        </w:tblCellMar>
      </w:tblPr>
      <w:tblGrid>
        <w:gridCol w:w="8522"/>
      </w:tblGrid>
      <w:tr w14:paraId="78735F3A">
        <w:tblPrEx>
          <w:tblCellMar>
            <w:top w:w="0" w:type="dxa"/>
            <w:left w:w="108" w:type="dxa"/>
            <w:bottom w:w="0" w:type="dxa"/>
            <w:right w:w="108" w:type="dxa"/>
          </w:tblCellMar>
        </w:tblPrEx>
        <w:trPr>
          <w:trHeight w:val="2757" w:hRule="atLeast"/>
        </w:trPr>
        <w:tc>
          <w:tcPr>
            <w:tcW w:w="8522" w:type="dxa"/>
            <w:noWrap w:val="0"/>
            <w:vAlign w:val="center"/>
          </w:tcPr>
          <w:p w14:paraId="0E7B3FD8">
            <w:pPr>
              <w:pStyle w:val="27"/>
              <w:ind w:firstLine="0" w:firstLineChars="0"/>
              <w:rPr>
                <w:rFonts w:hint="eastAsia"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drawing>
                <wp:inline distT="0" distB="0" distL="114300" distR="114300">
                  <wp:extent cx="4756785" cy="3039745"/>
                  <wp:effectExtent l="0" t="0" r="5715" b="8255"/>
                  <wp:docPr id="60" name="图片 60" descr="eaeaaea8-5625-4f0b-9e3f-9d197589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aeaaea8-5625-4f0b-9e3f-9d1975890134"/>
                          <pic:cNvPicPr>
                            <a:picLocks noChangeAspect="1"/>
                          </pic:cNvPicPr>
                        </pic:nvPicPr>
                        <pic:blipFill>
                          <a:blip r:embed="rId67"/>
                          <a:stretch>
                            <a:fillRect/>
                          </a:stretch>
                        </pic:blipFill>
                        <pic:spPr>
                          <a:xfrm>
                            <a:off x="0" y="0"/>
                            <a:ext cx="4756785" cy="3039745"/>
                          </a:xfrm>
                          <a:prstGeom prst="rect">
                            <a:avLst/>
                          </a:prstGeom>
                        </pic:spPr>
                      </pic:pic>
                    </a:graphicData>
                  </a:graphic>
                </wp:inline>
              </w:drawing>
            </w:r>
          </w:p>
        </w:tc>
      </w:tr>
      <w:tr w14:paraId="2628A331">
        <w:tblPrEx>
          <w:tblCellMar>
            <w:top w:w="0" w:type="dxa"/>
            <w:left w:w="108" w:type="dxa"/>
            <w:bottom w:w="0" w:type="dxa"/>
            <w:right w:w="108" w:type="dxa"/>
          </w:tblCellMar>
        </w:tblPrEx>
        <w:tc>
          <w:tcPr>
            <w:tcW w:w="8522" w:type="dxa"/>
            <w:noWrap w:val="0"/>
            <w:vAlign w:val="center"/>
          </w:tcPr>
          <w:p w14:paraId="044E1452">
            <w:pPr>
              <w:pStyle w:val="27"/>
              <w:ind w:firstLine="0" w:firstLineChars="0"/>
              <w:rPr>
                <w:rFonts w:hint="default" w:ascii="Times New Roman" w:hAnsi="Times New Roman" w:eastAsia="宋体" w:cs="Times New Roman"/>
                <w:color w:val="auto"/>
                <w:szCs w:val="24"/>
                <w:lang w:val="en-US"/>
              </w:rPr>
            </w:pPr>
            <w:r>
              <w:rPr>
                <w:rFonts w:hint="default" w:ascii="Times New Roman" w:hAnsi="Times New Roman" w:cs="Times New Roman"/>
                <w:color w:val="auto"/>
              </w:rPr>
              <w:t>图</w:t>
            </w:r>
            <w:r>
              <w:rPr>
                <w:rFonts w:hint="eastAsia" w:ascii="Times New Roman" w:hAnsi="Times New Roman" w:cs="Times New Roman"/>
                <w:color w:val="auto"/>
                <w:lang w:val="en-US" w:eastAsia="zh-CN"/>
              </w:rPr>
              <w:t>8.3</w:t>
            </w:r>
            <w:r>
              <w:rPr>
                <w:rFonts w:hint="default" w:ascii="Times New Roman" w:hAnsi="Times New Roman" w:cs="Times New Roman"/>
                <w:color w:val="auto"/>
              </w:rPr>
              <w:noBreakHyphen/>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小沔</w:t>
            </w:r>
            <w:r>
              <w:rPr>
                <w:rFonts w:hint="eastAsia" w:ascii="Times New Roman" w:hAnsi="Times New Roman" w:eastAsia="宋体" w:cs="Times New Roman"/>
                <w:color w:val="auto"/>
                <w:lang w:val="en-US" w:eastAsia="zh-CN"/>
              </w:rPr>
              <w:t>收费站</w:t>
            </w:r>
            <w:r>
              <w:rPr>
                <w:rFonts w:hint="eastAsia" w:eastAsia="宋体" w:cs="Times New Roman"/>
                <w:color w:val="auto"/>
                <w:szCs w:val="24"/>
                <w:lang w:val="en-US" w:eastAsia="zh-CN"/>
              </w:rPr>
              <w:t>污水一体化污水处理设施</w:t>
            </w:r>
          </w:p>
        </w:tc>
      </w:tr>
    </w:tbl>
    <w:p w14:paraId="13B19ED6">
      <w:pPr>
        <w:pStyle w:val="4"/>
        <w:numPr>
          <w:ilvl w:val="0"/>
          <w:numId w:val="0"/>
        </w:numPr>
        <w:ind w:left="720" w:leftChars="0" w:hanging="720" w:firstLineChars="0"/>
        <w:rPr>
          <w:rFonts w:hint="default" w:ascii="Times New Roman" w:hAnsi="Times New Roman" w:cs="Times New Roman"/>
          <w:color w:val="auto"/>
        </w:rPr>
      </w:pPr>
      <w:r>
        <w:rPr>
          <w:rFonts w:hint="eastAsia" w:ascii="Times New Roman" w:hAnsi="Times New Roman" w:eastAsia="宋体"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.3.3</w:t>
      </w:r>
      <w:r>
        <w:rPr>
          <w:rFonts w:hint="default" w:ascii="Times New Roman" w:hAnsi="Times New Roman" w:cs="Times New Roman"/>
          <w:color w:val="auto"/>
        </w:rPr>
        <w:t>服务设施污水水质达标情况调查</w:t>
      </w:r>
    </w:p>
    <w:p w14:paraId="38F573DA">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建设单位已按照环评要求</w:t>
      </w:r>
      <w:r>
        <w:rPr>
          <w:rFonts w:hint="eastAsia" w:cs="Times New Roman"/>
          <w:color w:val="auto"/>
          <w:szCs w:val="24"/>
          <w:lang w:eastAsia="zh-CN"/>
        </w:rPr>
        <w:t>，</w:t>
      </w:r>
      <w:r>
        <w:rPr>
          <w:rFonts w:hint="eastAsia" w:cs="Times New Roman"/>
          <w:color w:val="auto"/>
          <w:szCs w:val="24"/>
          <w:lang w:val="en-US" w:eastAsia="zh-CN"/>
        </w:rPr>
        <w:t>并</w:t>
      </w:r>
      <w:r>
        <w:rPr>
          <w:rFonts w:hint="default" w:ascii="Times New Roman" w:hAnsi="Times New Roman" w:cs="Times New Roman"/>
          <w:color w:val="auto"/>
          <w:szCs w:val="24"/>
        </w:rPr>
        <w:t>对</w:t>
      </w:r>
      <w:r>
        <w:rPr>
          <w:rFonts w:hint="eastAsia" w:cs="Times New Roman"/>
          <w:color w:val="auto"/>
          <w:szCs w:val="24"/>
          <w:lang w:val="en-US" w:eastAsia="zh-CN"/>
        </w:rPr>
        <w:t>收费站</w:t>
      </w:r>
      <w:r>
        <w:rPr>
          <w:rFonts w:hint="default" w:ascii="Times New Roman" w:hAnsi="Times New Roman" w:cs="Times New Roman"/>
          <w:color w:val="auto"/>
          <w:szCs w:val="24"/>
        </w:rPr>
        <w:t>的污水处理设备进行了</w:t>
      </w:r>
      <w:r>
        <w:rPr>
          <w:rFonts w:hint="eastAsia" w:cs="Times New Roman"/>
          <w:color w:val="auto"/>
          <w:szCs w:val="24"/>
          <w:lang w:val="en-US" w:eastAsia="zh-CN"/>
        </w:rPr>
        <w:t>建设</w:t>
      </w:r>
      <w:r>
        <w:rPr>
          <w:rFonts w:hint="eastAsia" w:cs="Times New Roman"/>
          <w:color w:val="auto"/>
          <w:szCs w:val="24"/>
          <w:lang w:eastAsia="zh-CN"/>
        </w:rPr>
        <w:t>。</w:t>
      </w:r>
      <w:r>
        <w:rPr>
          <w:rFonts w:hint="eastAsia" w:cs="Times New Roman"/>
          <w:color w:val="auto"/>
          <w:szCs w:val="24"/>
          <w:lang w:val="en-US" w:eastAsia="zh-CN"/>
        </w:rPr>
        <w:t>主体工程竣工后，建设单位委托</w:t>
      </w:r>
      <w:r>
        <w:rPr>
          <w:rFonts w:hint="eastAsia" w:cs="Times New Roman"/>
          <w:color w:val="auto"/>
          <w:szCs w:val="24"/>
          <w:lang w:eastAsia="zh-CN"/>
        </w:rPr>
        <w:t>四川新绿洲环境检测有限公司</w:t>
      </w:r>
      <w:r>
        <w:rPr>
          <w:rFonts w:hint="default" w:ascii="Times New Roman" w:hAnsi="Times New Roman" w:cs="Times New Roman"/>
          <w:color w:val="auto"/>
          <w:szCs w:val="24"/>
        </w:rPr>
        <w:t>于20</w:t>
      </w:r>
      <w:r>
        <w:rPr>
          <w:rFonts w:hint="eastAsia" w:ascii="Times New Roman" w:hAnsi="Times New Roman" w:cs="Times New Roman"/>
          <w:color w:val="auto"/>
          <w:szCs w:val="24"/>
          <w:lang w:val="en-US" w:eastAsia="zh-CN"/>
        </w:rPr>
        <w:t>22</w:t>
      </w:r>
      <w:r>
        <w:rPr>
          <w:rFonts w:hint="default" w:ascii="Times New Roman" w:hAnsi="Times New Roman" w:cs="Times New Roman"/>
          <w:color w:val="auto"/>
          <w:szCs w:val="24"/>
        </w:rPr>
        <w:t>年</w:t>
      </w:r>
      <w:r>
        <w:rPr>
          <w:rFonts w:hint="eastAsia" w:cs="Times New Roman"/>
          <w:color w:val="auto"/>
          <w:szCs w:val="24"/>
          <w:lang w:val="en-US" w:eastAsia="zh-CN"/>
        </w:rPr>
        <w:t>3</w:t>
      </w:r>
      <w:r>
        <w:rPr>
          <w:rFonts w:hint="default" w:ascii="Times New Roman" w:hAnsi="Times New Roman" w:cs="Times New Roman"/>
          <w:color w:val="auto"/>
          <w:szCs w:val="24"/>
        </w:rPr>
        <w:t>月对</w:t>
      </w:r>
      <w:r>
        <w:rPr>
          <w:rFonts w:hint="eastAsia" w:cs="Times New Roman"/>
          <w:color w:val="auto"/>
          <w:szCs w:val="24"/>
          <w:lang w:val="en-US" w:eastAsia="zh-CN"/>
        </w:rPr>
        <w:t>高速收费站</w:t>
      </w:r>
      <w:r>
        <w:rPr>
          <w:rFonts w:hint="default" w:ascii="Times New Roman" w:hAnsi="Times New Roman" w:cs="Times New Roman"/>
          <w:color w:val="auto"/>
          <w:szCs w:val="24"/>
        </w:rPr>
        <w:t>污水处理系统进行了水质监测。</w:t>
      </w:r>
    </w:p>
    <w:p w14:paraId="4A88D07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（1）监测方案</w:t>
      </w:r>
    </w:p>
    <w:p w14:paraId="7B002594">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共布设</w:t>
      </w:r>
      <w:r>
        <w:rPr>
          <w:rFonts w:hint="eastAsia" w:ascii="Times New Roman" w:hAnsi="Times New Roman" w:cs="Times New Roman"/>
          <w:color w:val="auto"/>
          <w:szCs w:val="24"/>
          <w:lang w:val="en-US" w:eastAsia="zh-CN"/>
        </w:rPr>
        <w:t>1</w:t>
      </w:r>
      <w:r>
        <w:rPr>
          <w:rFonts w:hint="default" w:ascii="Times New Roman" w:hAnsi="Times New Roman" w:cs="Times New Roman"/>
          <w:color w:val="auto"/>
          <w:szCs w:val="24"/>
        </w:rPr>
        <w:t>个废水监测点，具体监测方案如下表所示。</w:t>
      </w:r>
    </w:p>
    <w:p w14:paraId="2624EC82">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8.3</w:t>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rPr>
        <w:t>废水监测方案一览表</w:t>
      </w:r>
    </w:p>
    <w:tbl>
      <w:tblPr>
        <w:tblStyle w:val="20"/>
        <w:tblW w:w="5108" w:type="pct"/>
        <w:tblInd w:w="-15"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0" w:type="dxa"/>
          <w:bottom w:w="0" w:type="dxa"/>
          <w:right w:w="0" w:type="dxa"/>
        </w:tblCellMar>
      </w:tblPr>
      <w:tblGrid>
        <w:gridCol w:w="733"/>
        <w:gridCol w:w="3478"/>
        <w:gridCol w:w="2896"/>
        <w:gridCol w:w="1403"/>
      </w:tblGrid>
      <w:tr w14:paraId="74B73DE8">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443" w:hRule="atLeast"/>
        </w:trPr>
        <w:tc>
          <w:tcPr>
            <w:tcW w:w="431" w:type="pct"/>
            <w:noWrap w:val="0"/>
            <w:vAlign w:val="center"/>
          </w:tcPr>
          <w:p w14:paraId="0769670B">
            <w:pPr>
              <w:pStyle w:val="29"/>
              <w:rPr>
                <w:rFonts w:hint="default" w:ascii="Times New Roman" w:hAnsi="Times New Roman" w:cs="Times New Roman"/>
                <w:color w:val="auto"/>
                <w:szCs w:val="24"/>
              </w:rPr>
            </w:pPr>
            <w:r>
              <w:rPr>
                <w:rFonts w:hint="default" w:ascii="Times New Roman" w:hAnsi="Times New Roman" w:cs="Times New Roman"/>
                <w:color w:val="auto"/>
                <w:szCs w:val="24"/>
              </w:rPr>
              <w:t>编号</w:t>
            </w:r>
          </w:p>
        </w:tc>
        <w:tc>
          <w:tcPr>
            <w:tcW w:w="2043" w:type="pct"/>
            <w:noWrap w:val="0"/>
            <w:vAlign w:val="center"/>
          </w:tcPr>
          <w:p w14:paraId="0E8D5172">
            <w:pPr>
              <w:pStyle w:val="29"/>
              <w:rPr>
                <w:rFonts w:hint="default" w:ascii="Times New Roman" w:hAnsi="Times New Roman" w:cs="Times New Roman"/>
                <w:color w:val="auto"/>
                <w:szCs w:val="24"/>
              </w:rPr>
            </w:pPr>
            <w:r>
              <w:rPr>
                <w:rFonts w:hint="default" w:ascii="Times New Roman" w:hAnsi="Times New Roman" w:cs="Times New Roman"/>
                <w:color w:val="auto"/>
                <w:szCs w:val="24"/>
              </w:rPr>
              <w:t>监测</w:t>
            </w:r>
            <w:r>
              <w:rPr>
                <w:rFonts w:hint="default" w:ascii="Times New Roman" w:hAnsi="Times New Roman" w:cs="Times New Roman"/>
                <w:color w:val="auto"/>
                <w:szCs w:val="24"/>
                <w:lang w:eastAsia="zh-CN"/>
              </w:rPr>
              <w:t>断面</w:t>
            </w:r>
          </w:p>
        </w:tc>
        <w:tc>
          <w:tcPr>
            <w:tcW w:w="1701" w:type="pct"/>
            <w:noWrap w:val="0"/>
            <w:vAlign w:val="center"/>
          </w:tcPr>
          <w:p w14:paraId="0198E5D9">
            <w:pPr>
              <w:pStyle w:val="29"/>
              <w:rPr>
                <w:rFonts w:hint="default" w:ascii="Times New Roman" w:hAnsi="Times New Roman" w:cs="Times New Roman"/>
                <w:color w:val="auto"/>
                <w:szCs w:val="24"/>
              </w:rPr>
            </w:pPr>
            <w:r>
              <w:rPr>
                <w:rFonts w:hint="default" w:ascii="Times New Roman" w:hAnsi="Times New Roman" w:cs="Times New Roman"/>
                <w:color w:val="auto"/>
                <w:szCs w:val="24"/>
              </w:rPr>
              <w:t>监测指标</w:t>
            </w:r>
          </w:p>
        </w:tc>
        <w:tc>
          <w:tcPr>
            <w:tcW w:w="824" w:type="pct"/>
            <w:noWrap w:val="0"/>
            <w:vAlign w:val="center"/>
          </w:tcPr>
          <w:p w14:paraId="698F171B">
            <w:pPr>
              <w:pStyle w:val="29"/>
              <w:rPr>
                <w:rFonts w:hint="default" w:ascii="Times New Roman" w:hAnsi="Times New Roman" w:cs="Times New Roman"/>
                <w:color w:val="auto"/>
                <w:szCs w:val="24"/>
              </w:rPr>
            </w:pPr>
            <w:r>
              <w:rPr>
                <w:rFonts w:hint="default" w:ascii="Times New Roman" w:hAnsi="Times New Roman" w:cs="Times New Roman"/>
                <w:color w:val="auto"/>
                <w:szCs w:val="24"/>
              </w:rPr>
              <w:t>监测制度</w:t>
            </w:r>
          </w:p>
        </w:tc>
      </w:tr>
      <w:tr w14:paraId="0B1A3BE2">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c>
          <w:tcPr>
            <w:tcW w:w="431" w:type="pct"/>
            <w:noWrap w:val="0"/>
            <w:vAlign w:val="center"/>
          </w:tcPr>
          <w:p w14:paraId="01EFD34D">
            <w:pPr>
              <w:pStyle w:val="29"/>
              <w:rPr>
                <w:rFonts w:hint="default" w:ascii="Times New Roman" w:hAnsi="Times New Roman" w:cs="Times New Roman"/>
                <w:color w:val="auto"/>
                <w:szCs w:val="24"/>
              </w:rPr>
            </w:pPr>
            <w:r>
              <w:rPr>
                <w:rFonts w:hint="default" w:ascii="Times New Roman" w:hAnsi="Times New Roman" w:cs="Times New Roman"/>
                <w:color w:val="auto"/>
                <w:szCs w:val="24"/>
              </w:rPr>
              <w:t>1#</w:t>
            </w:r>
          </w:p>
        </w:tc>
        <w:tc>
          <w:tcPr>
            <w:tcW w:w="2043" w:type="pct"/>
            <w:noWrap w:val="0"/>
            <w:vAlign w:val="center"/>
          </w:tcPr>
          <w:p w14:paraId="172F4D7D">
            <w:pPr>
              <w:pStyle w:val="29"/>
              <w:ind w:firstLine="0" w:firstLineChars="0"/>
              <w:rPr>
                <w:rFonts w:hint="eastAsia" w:ascii="Times New Roman" w:hAnsi="Times New Roman" w:eastAsia="宋体" w:cs="Times New Roman"/>
                <w:color w:val="auto"/>
                <w:szCs w:val="24"/>
                <w:lang w:eastAsia="zh-CN"/>
              </w:rPr>
            </w:pPr>
            <w:r>
              <w:rPr>
                <w:rFonts w:hint="eastAsia" w:cs="Times New Roman"/>
                <w:color w:val="auto"/>
                <w:lang w:val="en-US" w:eastAsia="zh-CN"/>
              </w:rPr>
              <w:t>小沔收费站</w:t>
            </w:r>
          </w:p>
        </w:tc>
        <w:tc>
          <w:tcPr>
            <w:tcW w:w="1701" w:type="pct"/>
            <w:noWrap w:val="0"/>
            <w:vAlign w:val="center"/>
          </w:tcPr>
          <w:p w14:paraId="5B0C7CF9">
            <w:pPr>
              <w:pStyle w:val="29"/>
              <w:rPr>
                <w:rFonts w:hint="default" w:ascii="Times New Roman" w:hAnsi="Times New Roman" w:cs="Times New Roman"/>
                <w:color w:val="auto"/>
                <w:szCs w:val="24"/>
              </w:rPr>
            </w:pPr>
            <w:r>
              <w:rPr>
                <w:rFonts w:hint="eastAsia" w:cs="宋体"/>
                <w:color w:val="auto"/>
                <w:szCs w:val="21"/>
              </w:rPr>
              <w:t>pH、化学需氧量、五日生化需氧量、氨氮、总磷、动植物油类</w:t>
            </w:r>
          </w:p>
        </w:tc>
        <w:tc>
          <w:tcPr>
            <w:tcW w:w="824" w:type="pct"/>
            <w:noWrap w:val="0"/>
            <w:vAlign w:val="center"/>
          </w:tcPr>
          <w:p w14:paraId="24486674">
            <w:pPr>
              <w:pStyle w:val="29"/>
              <w:rPr>
                <w:rFonts w:hint="default" w:ascii="Times New Roman" w:hAnsi="Times New Roman" w:eastAsia="宋体" w:cs="Times New Roman"/>
                <w:color w:val="auto"/>
                <w:szCs w:val="24"/>
                <w:lang w:val="en-US" w:eastAsia="zh-CN"/>
              </w:rPr>
            </w:pPr>
            <w:r>
              <w:rPr>
                <w:rFonts w:hint="eastAsia" w:ascii="Times New Roman" w:hAnsi="Times New Roman" w:cs="Times New Roman"/>
                <w:color w:val="auto"/>
                <w:kern w:val="0"/>
                <w:szCs w:val="24"/>
                <w:lang w:val="en-US" w:eastAsia="zh-CN"/>
              </w:rPr>
              <w:t>一日一次</w:t>
            </w:r>
          </w:p>
        </w:tc>
      </w:tr>
    </w:tbl>
    <w:p w14:paraId="049D3A3A">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（2）评价标准</w:t>
      </w:r>
    </w:p>
    <w:p w14:paraId="64DF67DF">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szCs w:val="24"/>
        </w:rPr>
      </w:pPr>
      <w:r>
        <w:rPr>
          <w:rFonts w:hint="default" w:ascii="Times New Roman" w:hAnsi="Times New Roman" w:cs="Times New Roman"/>
          <w:color w:val="auto"/>
          <w:kern w:val="0"/>
          <w:szCs w:val="24"/>
        </w:rPr>
        <w:t>废水</w:t>
      </w:r>
      <w:r>
        <w:rPr>
          <w:rFonts w:hint="default" w:ascii="Times New Roman" w:hAnsi="Times New Roman" w:cs="Times New Roman"/>
          <w:color w:val="auto"/>
          <w:szCs w:val="24"/>
        </w:rPr>
        <w:t>执行</w:t>
      </w:r>
      <w:r>
        <w:rPr>
          <w:rStyle w:val="25"/>
          <w:rFonts w:hint="eastAsia" w:cs="Times New Roman"/>
          <w:color w:val="auto"/>
          <w:szCs w:val="24"/>
          <w:lang w:eastAsia="zh-CN"/>
        </w:rPr>
        <w:t>《城市污水再生利用 城市杂用水水质》（GB/T18920-2020）</w:t>
      </w:r>
      <w:r>
        <w:rPr>
          <w:rStyle w:val="25"/>
          <w:rFonts w:hint="default" w:ascii="Times New Roman" w:hAnsi="Times New Roman" w:cs="Times New Roman"/>
          <w:color w:val="auto"/>
          <w:szCs w:val="24"/>
        </w:rPr>
        <w:t>相关标准要求</w:t>
      </w:r>
      <w:r>
        <w:rPr>
          <w:rFonts w:hint="default" w:ascii="Times New Roman" w:hAnsi="Times New Roman" w:cs="Times New Roman"/>
          <w:color w:val="auto"/>
          <w:kern w:val="0"/>
          <w:szCs w:val="24"/>
        </w:rPr>
        <w:t>。</w:t>
      </w:r>
    </w:p>
    <w:p w14:paraId="1FFAF464">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（3）采样及分析方法</w:t>
      </w:r>
    </w:p>
    <w:p w14:paraId="35E08D97">
      <w:pPr>
        <w:pStyle w:val="24"/>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采样按规范执行，分析方法</w:t>
      </w:r>
      <w:r>
        <w:rPr>
          <w:rFonts w:hint="default" w:ascii="Times New Roman" w:hAnsi="Times New Roman" w:cs="Times New Roman"/>
          <w:color w:val="auto"/>
          <w:szCs w:val="24"/>
          <w:lang w:eastAsia="zh-CN"/>
        </w:rPr>
        <w:t>按照</w:t>
      </w:r>
      <w:r>
        <w:rPr>
          <w:rFonts w:hint="default" w:ascii="Times New Roman" w:hAnsi="Times New Roman" w:cs="Times New Roman"/>
          <w:color w:val="auto"/>
          <w:szCs w:val="24"/>
        </w:rPr>
        <w:t>《污水监测技术规范》</w:t>
      </w:r>
      <w:r>
        <w:rPr>
          <w:rFonts w:hint="default" w:ascii="Times New Roman" w:hAnsi="Times New Roman" w:cs="Times New Roman"/>
          <w:color w:val="auto"/>
          <w:szCs w:val="24"/>
          <w:lang w:eastAsia="zh-CN"/>
        </w:rPr>
        <w:t>（</w:t>
      </w:r>
      <w:r>
        <w:rPr>
          <w:rFonts w:hint="default" w:ascii="Times New Roman" w:hAnsi="Times New Roman" w:cs="Times New Roman"/>
          <w:color w:val="auto"/>
          <w:szCs w:val="24"/>
        </w:rPr>
        <w:t>HJ91.1-2019</w:t>
      </w:r>
      <w:r>
        <w:rPr>
          <w:rFonts w:hint="default" w:ascii="Times New Roman" w:hAnsi="Times New Roman" w:cs="Times New Roman"/>
          <w:color w:val="auto"/>
          <w:szCs w:val="24"/>
          <w:lang w:eastAsia="zh-CN"/>
        </w:rPr>
        <w:t>）相关要求进行</w:t>
      </w:r>
      <w:r>
        <w:rPr>
          <w:rFonts w:hint="default" w:ascii="Times New Roman" w:hAnsi="Times New Roman" w:cs="Times New Roman"/>
          <w:color w:val="auto"/>
          <w:szCs w:val="24"/>
        </w:rPr>
        <w:t>。</w:t>
      </w:r>
    </w:p>
    <w:p w14:paraId="6EE32ECB">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（4）监测结果及评价</w:t>
      </w:r>
    </w:p>
    <w:p w14:paraId="2DE260D3">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Times New Roman" w:hAnsi="Times New Roman" w:cs="Times New Roman"/>
          <w:color w:val="auto"/>
          <w:szCs w:val="24"/>
          <w:lang w:val="en-US" w:eastAsia="zh-CN"/>
        </w:rPr>
      </w:pPr>
      <w:r>
        <w:rPr>
          <w:rFonts w:hint="default" w:ascii="Times New Roman" w:hAnsi="Times New Roman" w:cs="Times New Roman"/>
          <w:color w:val="auto"/>
          <w:szCs w:val="24"/>
        </w:rPr>
        <w:t>污水处理设备处理后的污水监测结果见</w:t>
      </w:r>
      <w:r>
        <w:rPr>
          <w:rFonts w:hint="eastAsia" w:ascii="Times New Roman" w:hAnsi="Times New Roman" w:cs="Times New Roman"/>
          <w:color w:val="auto"/>
          <w:szCs w:val="24"/>
          <w:lang w:val="en-US" w:eastAsia="zh-CN"/>
        </w:rPr>
        <w:t>下表：</w:t>
      </w:r>
    </w:p>
    <w:p w14:paraId="7287C7F9">
      <w:pPr>
        <w:pStyle w:val="9"/>
        <w:rPr>
          <w:rFonts w:hint="eastAsia" w:ascii="Times New Roman" w:hAnsi="Times New Roman" w:eastAsia="宋体" w:cs="Times New Roman"/>
          <w:color w:val="auto"/>
          <w:lang w:eastAsia="zh-CN"/>
        </w:rPr>
      </w:pPr>
      <w:bookmarkStart w:id="167" w:name="_Ref142818596"/>
      <w:r>
        <w:rPr>
          <w:rFonts w:hint="default" w:ascii="Times New Roman" w:hAnsi="Times New Roman" w:cs="Times New Roman"/>
          <w:color w:val="auto"/>
        </w:rPr>
        <w:t>表</w:t>
      </w:r>
      <w:r>
        <w:rPr>
          <w:rFonts w:hint="eastAsia" w:ascii="Times New Roman" w:hAnsi="Times New Roman" w:cs="Times New Roman"/>
          <w:color w:val="auto"/>
          <w:lang w:val="en-US" w:eastAsia="zh-CN"/>
        </w:rPr>
        <w:t>8.3</w:t>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bookmarkEnd w:id="167"/>
      <w:r>
        <w:rPr>
          <w:rFonts w:hint="default" w:ascii="Times New Roman" w:hAnsi="Times New Roman" w:cs="Times New Roman"/>
          <w:color w:val="auto"/>
        </w:rPr>
        <w:t>污水检测结果一览表</w:t>
      </w:r>
      <w:r>
        <w:rPr>
          <w:rFonts w:hint="eastAsia" w:cs="Times New Roman"/>
          <w:color w:val="auto"/>
          <w:lang w:eastAsia="zh-CN"/>
        </w:rPr>
        <w:t>（</w:t>
      </w:r>
      <w:r>
        <w:rPr>
          <w:rFonts w:hint="eastAsia" w:cs="Times New Roman"/>
          <w:color w:val="auto"/>
          <w:lang w:val="en-US" w:eastAsia="zh-CN"/>
        </w:rPr>
        <w:t>2022.3.23</w:t>
      </w:r>
      <w:r>
        <w:rPr>
          <w:rFonts w:hint="eastAsia" w:cs="Times New Roman"/>
          <w:color w:val="auto"/>
          <w:lang w:eastAsia="zh-CN"/>
        </w:rPr>
        <w:t>）</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855"/>
        <w:gridCol w:w="1449"/>
        <w:gridCol w:w="1582"/>
        <w:gridCol w:w="982"/>
        <w:gridCol w:w="1249"/>
        <w:gridCol w:w="1450"/>
      </w:tblGrid>
      <w:tr w14:paraId="51908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0" w:type="auto"/>
            <w:noWrap w:val="0"/>
            <w:vAlign w:val="center"/>
          </w:tcPr>
          <w:p w14:paraId="614191DD">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类别</w:t>
            </w:r>
          </w:p>
        </w:tc>
        <w:tc>
          <w:tcPr>
            <w:tcW w:w="0" w:type="auto"/>
            <w:noWrap w:val="0"/>
            <w:vAlign w:val="center"/>
          </w:tcPr>
          <w:p w14:paraId="3F71F163">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pH值</w:t>
            </w:r>
          </w:p>
          <w:p w14:paraId="50D45EB6">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（无量纲）</w:t>
            </w:r>
          </w:p>
        </w:tc>
        <w:tc>
          <w:tcPr>
            <w:tcW w:w="0" w:type="auto"/>
            <w:noWrap w:val="0"/>
            <w:vAlign w:val="center"/>
          </w:tcPr>
          <w:p w14:paraId="68EB7EF1">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宋体"/>
                <w:b/>
                <w:bCs/>
                <w:color w:val="auto"/>
                <w:szCs w:val="21"/>
              </w:rPr>
              <w:t>化学需氧量</w:t>
            </w:r>
            <w:r>
              <w:rPr>
                <w:rFonts w:hint="default" w:ascii="Times New Roman" w:hAnsi="Times New Roman" w:eastAsia="宋体" w:cs="Times New Roman"/>
                <w:b/>
                <w:bCs/>
                <w:color w:val="auto"/>
                <w:kern w:val="0"/>
                <w:sz w:val="21"/>
                <w:szCs w:val="21"/>
                <w:highlight w:val="none"/>
              </w:rPr>
              <w:t>（mg/L）</w:t>
            </w:r>
          </w:p>
        </w:tc>
        <w:tc>
          <w:tcPr>
            <w:tcW w:w="0" w:type="auto"/>
            <w:noWrap w:val="0"/>
            <w:vAlign w:val="center"/>
          </w:tcPr>
          <w:p w14:paraId="3DEEC73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cs="宋体"/>
                <w:b/>
                <w:bCs/>
                <w:color w:val="auto"/>
                <w:szCs w:val="21"/>
              </w:rPr>
              <w:t>五日生化需氧量</w:t>
            </w:r>
            <w:r>
              <w:rPr>
                <w:rFonts w:hint="default" w:ascii="Times New Roman" w:hAnsi="Times New Roman" w:eastAsia="宋体" w:cs="Times New Roman"/>
                <w:b/>
                <w:bCs/>
                <w:color w:val="auto"/>
                <w:kern w:val="0"/>
                <w:sz w:val="21"/>
                <w:szCs w:val="21"/>
                <w:highlight w:val="none"/>
              </w:rPr>
              <w:t>（mg/L）</w:t>
            </w:r>
          </w:p>
        </w:tc>
        <w:tc>
          <w:tcPr>
            <w:tcW w:w="0" w:type="auto"/>
            <w:noWrap w:val="0"/>
            <w:vAlign w:val="center"/>
          </w:tcPr>
          <w:p w14:paraId="78F57452">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lang w:val="en-US" w:eastAsia="zh-CN" w:bidi="ar-SA"/>
              </w:rPr>
            </w:pPr>
            <w:r>
              <w:rPr>
                <w:rFonts w:hint="eastAsia" w:cs="宋体"/>
                <w:b/>
                <w:bCs/>
                <w:color w:val="auto"/>
                <w:szCs w:val="21"/>
              </w:rPr>
              <w:t>氨氮</w:t>
            </w:r>
            <w:r>
              <w:rPr>
                <w:rFonts w:hint="default" w:ascii="Times New Roman" w:hAnsi="Times New Roman" w:eastAsia="宋体" w:cs="Times New Roman"/>
                <w:b/>
                <w:bCs/>
                <w:color w:val="auto"/>
                <w:kern w:val="0"/>
                <w:sz w:val="21"/>
                <w:szCs w:val="21"/>
                <w:highlight w:val="none"/>
              </w:rPr>
              <w:t>（</w:t>
            </w:r>
            <w:r>
              <w:rPr>
                <w:rFonts w:hint="default" w:ascii="Times New Roman" w:hAnsi="Times New Roman" w:eastAsia="宋体" w:cs="Times New Roman"/>
                <w:b/>
                <w:bCs/>
                <w:color w:val="auto"/>
                <w:kern w:val="0"/>
                <w:sz w:val="21"/>
                <w:szCs w:val="21"/>
                <w:highlight w:val="none"/>
                <w:lang w:val="en-US" w:eastAsia="zh-CN"/>
              </w:rPr>
              <w:t>度</w:t>
            </w:r>
            <w:r>
              <w:rPr>
                <w:rFonts w:hint="default" w:ascii="Times New Roman" w:hAnsi="Times New Roman" w:eastAsia="宋体" w:cs="Times New Roman"/>
                <w:b/>
                <w:bCs/>
                <w:color w:val="auto"/>
                <w:kern w:val="0"/>
                <w:sz w:val="21"/>
                <w:szCs w:val="21"/>
                <w:highlight w:val="none"/>
              </w:rPr>
              <w:t>）</w:t>
            </w:r>
          </w:p>
        </w:tc>
        <w:tc>
          <w:tcPr>
            <w:tcW w:w="0" w:type="auto"/>
            <w:noWrap w:val="0"/>
            <w:vAlign w:val="center"/>
          </w:tcPr>
          <w:p w14:paraId="123E24E3">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lang w:val="en-US" w:eastAsia="zh-CN" w:bidi="ar-SA"/>
              </w:rPr>
            </w:pPr>
            <w:r>
              <w:rPr>
                <w:rFonts w:hint="eastAsia" w:cs="宋体"/>
                <w:b/>
                <w:bCs/>
                <w:color w:val="auto"/>
                <w:szCs w:val="21"/>
              </w:rPr>
              <w:t>总磷</w:t>
            </w:r>
            <w:r>
              <w:rPr>
                <w:rFonts w:hint="default" w:ascii="Times New Roman" w:hAnsi="Times New Roman" w:eastAsia="宋体" w:cs="Times New Roman"/>
                <w:b/>
                <w:bCs/>
                <w:color w:val="auto"/>
                <w:kern w:val="0"/>
                <w:sz w:val="21"/>
                <w:szCs w:val="21"/>
                <w:highlight w:val="none"/>
              </w:rPr>
              <w:t>（mg/L）</w:t>
            </w:r>
          </w:p>
        </w:tc>
        <w:tc>
          <w:tcPr>
            <w:tcW w:w="0" w:type="auto"/>
            <w:noWrap w:val="0"/>
            <w:vAlign w:val="center"/>
          </w:tcPr>
          <w:p w14:paraId="4E6EE267">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lang w:val="en-US" w:eastAsia="zh-CN" w:bidi="ar-SA"/>
              </w:rPr>
            </w:pPr>
            <w:r>
              <w:rPr>
                <w:rFonts w:hint="eastAsia" w:cs="宋体"/>
                <w:b/>
                <w:bCs/>
                <w:color w:val="auto"/>
                <w:szCs w:val="21"/>
              </w:rPr>
              <w:t>动植物油类</w:t>
            </w:r>
            <w:r>
              <w:rPr>
                <w:rFonts w:hint="default" w:ascii="Times New Roman" w:hAnsi="Times New Roman" w:eastAsia="宋体" w:cs="Times New Roman"/>
                <w:b/>
                <w:bCs/>
                <w:color w:val="auto"/>
                <w:kern w:val="0"/>
                <w:sz w:val="21"/>
                <w:szCs w:val="21"/>
                <w:highlight w:val="none"/>
              </w:rPr>
              <w:t>（mg/L）</w:t>
            </w:r>
          </w:p>
        </w:tc>
      </w:tr>
      <w:tr w14:paraId="18E11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0" w:type="auto"/>
            <w:noWrap w:val="0"/>
            <w:vAlign w:val="center"/>
          </w:tcPr>
          <w:p w14:paraId="212636E3">
            <w:pPr>
              <w:pStyle w:val="29"/>
              <w:ind w:firstLine="0" w:firstLineChars="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lang w:val="en-US" w:eastAsia="zh-CN"/>
              </w:rPr>
              <w:t>小沔收费站废水总排口</w:t>
            </w:r>
          </w:p>
        </w:tc>
        <w:tc>
          <w:tcPr>
            <w:tcW w:w="0" w:type="auto"/>
            <w:noWrap w:val="0"/>
            <w:vAlign w:val="center"/>
          </w:tcPr>
          <w:p w14:paraId="4864E256">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7.4</w:t>
            </w:r>
          </w:p>
        </w:tc>
        <w:tc>
          <w:tcPr>
            <w:tcW w:w="0" w:type="auto"/>
            <w:noWrap w:val="0"/>
            <w:vAlign w:val="center"/>
          </w:tcPr>
          <w:p w14:paraId="714CB8CB">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36</w:t>
            </w:r>
          </w:p>
        </w:tc>
        <w:tc>
          <w:tcPr>
            <w:tcW w:w="0" w:type="auto"/>
            <w:noWrap w:val="0"/>
            <w:vAlign w:val="center"/>
          </w:tcPr>
          <w:p w14:paraId="3D5464A7">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9.0</w:t>
            </w:r>
          </w:p>
        </w:tc>
        <w:tc>
          <w:tcPr>
            <w:tcW w:w="0" w:type="auto"/>
            <w:noWrap w:val="0"/>
            <w:vAlign w:val="center"/>
          </w:tcPr>
          <w:p w14:paraId="08171CEB">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2.95</w:t>
            </w:r>
          </w:p>
        </w:tc>
        <w:tc>
          <w:tcPr>
            <w:tcW w:w="0" w:type="auto"/>
            <w:noWrap w:val="0"/>
            <w:vAlign w:val="center"/>
          </w:tcPr>
          <w:p w14:paraId="5D98AFB5">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0.45</w:t>
            </w:r>
          </w:p>
        </w:tc>
        <w:tc>
          <w:tcPr>
            <w:tcW w:w="0" w:type="auto"/>
            <w:noWrap w:val="0"/>
            <w:vAlign w:val="center"/>
          </w:tcPr>
          <w:p w14:paraId="2ABE2F63">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0.90</w:t>
            </w:r>
          </w:p>
        </w:tc>
      </w:tr>
      <w:tr w14:paraId="0494C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61" w:type="dxa"/>
            <w:noWrap w:val="0"/>
            <w:vAlign w:val="center"/>
          </w:tcPr>
          <w:p w14:paraId="3719B28C">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1"/>
                <w:szCs w:val="21"/>
              </w:rPr>
              <w:t>标准限值</w:t>
            </w:r>
          </w:p>
        </w:tc>
        <w:tc>
          <w:tcPr>
            <w:tcW w:w="817" w:type="dxa"/>
            <w:noWrap w:val="0"/>
            <w:vAlign w:val="center"/>
          </w:tcPr>
          <w:p w14:paraId="501A91E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6.0~9.0</w:t>
            </w:r>
          </w:p>
        </w:tc>
        <w:tc>
          <w:tcPr>
            <w:tcW w:w="1457" w:type="dxa"/>
            <w:noWrap w:val="0"/>
            <w:vAlign w:val="center"/>
          </w:tcPr>
          <w:p w14:paraId="66975F6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1593" w:type="dxa"/>
            <w:noWrap w:val="0"/>
            <w:vAlign w:val="center"/>
          </w:tcPr>
          <w:p w14:paraId="42D27FB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985" w:type="dxa"/>
            <w:noWrap w:val="0"/>
            <w:vAlign w:val="center"/>
          </w:tcPr>
          <w:p w14:paraId="7B16B97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5</w:t>
            </w:r>
          </w:p>
        </w:tc>
        <w:tc>
          <w:tcPr>
            <w:tcW w:w="1252" w:type="dxa"/>
            <w:noWrap w:val="0"/>
            <w:vAlign w:val="center"/>
          </w:tcPr>
          <w:p w14:paraId="1918478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0.5</w:t>
            </w:r>
          </w:p>
        </w:tc>
        <w:tc>
          <w:tcPr>
            <w:tcW w:w="1457" w:type="dxa"/>
            <w:noWrap w:val="0"/>
            <w:vAlign w:val="center"/>
          </w:tcPr>
          <w:p w14:paraId="70C1A0E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1</w:t>
            </w:r>
          </w:p>
        </w:tc>
      </w:tr>
      <w:tr w14:paraId="0E224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61" w:type="dxa"/>
            <w:noWrap w:val="0"/>
            <w:vAlign w:val="center"/>
          </w:tcPr>
          <w:p w14:paraId="4D3CB955">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1"/>
                <w:szCs w:val="21"/>
                <w:lang w:val="en-US" w:eastAsia="zh-CN"/>
              </w:rPr>
              <w:t>评价</w:t>
            </w:r>
          </w:p>
        </w:tc>
        <w:tc>
          <w:tcPr>
            <w:tcW w:w="817" w:type="dxa"/>
            <w:noWrap w:val="0"/>
            <w:vAlign w:val="center"/>
          </w:tcPr>
          <w:p w14:paraId="612835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达标</w:t>
            </w:r>
          </w:p>
        </w:tc>
        <w:tc>
          <w:tcPr>
            <w:tcW w:w="1457" w:type="dxa"/>
            <w:noWrap w:val="0"/>
            <w:vAlign w:val="center"/>
          </w:tcPr>
          <w:p w14:paraId="05E6CF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1593" w:type="dxa"/>
            <w:noWrap w:val="0"/>
            <w:vAlign w:val="center"/>
          </w:tcPr>
          <w:p w14:paraId="5F9888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达标</w:t>
            </w:r>
          </w:p>
        </w:tc>
        <w:tc>
          <w:tcPr>
            <w:tcW w:w="985" w:type="dxa"/>
            <w:noWrap w:val="0"/>
            <w:vAlign w:val="center"/>
          </w:tcPr>
          <w:p w14:paraId="34A063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达标</w:t>
            </w:r>
          </w:p>
        </w:tc>
        <w:tc>
          <w:tcPr>
            <w:tcW w:w="1252" w:type="dxa"/>
            <w:noWrap w:val="0"/>
            <w:vAlign w:val="center"/>
          </w:tcPr>
          <w:p w14:paraId="29F928A8">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达标</w:t>
            </w:r>
          </w:p>
        </w:tc>
        <w:tc>
          <w:tcPr>
            <w:tcW w:w="1457" w:type="dxa"/>
            <w:noWrap w:val="0"/>
            <w:vAlign w:val="center"/>
          </w:tcPr>
          <w:p w14:paraId="63457621">
            <w:pPr>
              <w:keepNext w:val="0"/>
              <w:keepLines w:val="0"/>
              <w:pageBreakBefore w:val="0"/>
              <w:kinsoku/>
              <w:wordWrap/>
              <w:overflowPunct/>
              <w:topLinePunct w:val="0"/>
              <w:bidi w:val="0"/>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SA"/>
              </w:rPr>
              <w:t>达标</w:t>
            </w:r>
          </w:p>
        </w:tc>
      </w:tr>
    </w:tbl>
    <w:p w14:paraId="6D63208F">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根据2022年监测数据，该污水处理设施出水各项指标均满足《城市污水再生利用 城市杂用水水质》（GB/T 18920-2020）中相应限值要求，</w:t>
      </w:r>
      <w:r>
        <w:rPr>
          <w:rFonts w:hint="eastAsia" w:cs="Times New Roman"/>
          <w:color w:val="auto"/>
          <w:szCs w:val="24"/>
          <w:lang w:val="en-US" w:eastAsia="zh-CN"/>
        </w:rPr>
        <w:t>根据验收现场调查</w:t>
      </w:r>
      <w:r>
        <w:rPr>
          <w:rFonts w:hint="default" w:ascii="Times New Roman" w:hAnsi="Times New Roman" w:cs="Times New Roman"/>
          <w:color w:val="auto"/>
          <w:szCs w:val="24"/>
        </w:rPr>
        <w:t>设施自建成以来运行正常。</w:t>
      </w:r>
    </w:p>
    <w:p w14:paraId="3233CBFC">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rPr>
        <w:t>目前，处理后的污水全部回用于绿化，未对外排放，整体营运状况持续良好</w:t>
      </w:r>
      <w:r>
        <w:rPr>
          <w:rFonts w:hint="eastAsia" w:cs="Times New Roman"/>
          <w:color w:val="auto"/>
          <w:szCs w:val="24"/>
          <w:lang w:val="en-US" w:eastAsia="zh-CN"/>
        </w:rPr>
        <w:t>。</w:t>
      </w:r>
    </w:p>
    <w:p w14:paraId="29A4D780">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7.3.4</w:t>
      </w:r>
      <w:r>
        <w:rPr>
          <w:rFonts w:hint="default" w:ascii="Times New Roman" w:hAnsi="Times New Roman" w:cs="Times New Roman"/>
          <w:color w:val="auto"/>
        </w:rPr>
        <w:t>地表水水环境质量达标情况调查</w:t>
      </w:r>
    </w:p>
    <w:p w14:paraId="539F50F1">
      <w:pPr>
        <w:ind w:firstLine="480"/>
        <w:rPr>
          <w:rFonts w:hint="default" w:ascii="Times New Roman" w:hAnsi="Times New Roman" w:cs="Times New Roman"/>
          <w:color w:val="auto"/>
          <w:kern w:val="0"/>
          <w:szCs w:val="24"/>
        </w:rPr>
      </w:pPr>
      <w:r>
        <w:rPr>
          <w:rFonts w:hint="default" w:ascii="Times New Roman" w:hAnsi="Times New Roman" w:cs="Times New Roman"/>
          <w:color w:val="auto"/>
          <w:szCs w:val="24"/>
        </w:rPr>
        <w:t>为了了解区域地表水环境质量状况，</w:t>
      </w:r>
      <w:r>
        <w:rPr>
          <w:rFonts w:hint="eastAsia" w:ascii="Times New Roman" w:hAnsi="Times New Roman" w:cs="Times New Roman"/>
          <w:color w:val="auto"/>
          <w:szCs w:val="24"/>
          <w:lang w:val="en-US" w:eastAsia="zh-CN"/>
        </w:rPr>
        <w:t>重新报批阶段</w:t>
      </w:r>
      <w:r>
        <w:rPr>
          <w:rFonts w:hint="default" w:ascii="Times New Roman" w:hAnsi="Times New Roman" w:cs="Times New Roman"/>
          <w:color w:val="auto"/>
          <w:szCs w:val="24"/>
        </w:rPr>
        <w:t>委托</w:t>
      </w:r>
      <w:r>
        <w:rPr>
          <w:rFonts w:hint="eastAsia" w:cs="Times New Roman"/>
          <w:color w:val="auto"/>
          <w:szCs w:val="24"/>
          <w:lang w:eastAsia="zh-CN"/>
        </w:rPr>
        <w:t>昀启（重庆）环境监测有限责任公司</w:t>
      </w:r>
      <w:r>
        <w:rPr>
          <w:rFonts w:hint="default" w:ascii="Times New Roman" w:hAnsi="Times New Roman" w:cs="Times New Roman"/>
          <w:color w:val="auto"/>
          <w:szCs w:val="24"/>
        </w:rPr>
        <w:t>于202</w:t>
      </w:r>
      <w:r>
        <w:rPr>
          <w:rFonts w:hint="eastAsia" w:cs="Times New Roman"/>
          <w:color w:val="auto"/>
          <w:szCs w:val="24"/>
          <w:lang w:val="en-US" w:eastAsia="zh-CN"/>
        </w:rPr>
        <w:t>5</w:t>
      </w:r>
      <w:r>
        <w:rPr>
          <w:rFonts w:hint="default" w:ascii="Times New Roman" w:hAnsi="Times New Roman" w:cs="Times New Roman"/>
          <w:color w:val="auto"/>
          <w:szCs w:val="24"/>
        </w:rPr>
        <w:t>年</w:t>
      </w:r>
      <w:r>
        <w:rPr>
          <w:rFonts w:hint="eastAsia" w:cs="Times New Roman"/>
          <w:color w:val="auto"/>
          <w:szCs w:val="24"/>
          <w:lang w:val="en-US" w:eastAsia="zh-CN"/>
        </w:rPr>
        <w:t>11月</w:t>
      </w:r>
      <w:r>
        <w:rPr>
          <w:rFonts w:hint="default" w:ascii="Times New Roman" w:hAnsi="Times New Roman" w:cs="Times New Roman"/>
          <w:color w:val="auto"/>
          <w:szCs w:val="24"/>
        </w:rPr>
        <w:t>对</w:t>
      </w:r>
      <w:r>
        <w:rPr>
          <w:rFonts w:hint="eastAsia" w:cs="Times New Roman"/>
          <w:color w:val="auto"/>
          <w:szCs w:val="24"/>
          <w:lang w:val="en-US" w:eastAsia="zh-CN"/>
        </w:rPr>
        <w:t>响桂河北侧桥上4.5m</w:t>
      </w:r>
      <w:r>
        <w:rPr>
          <w:rFonts w:hint="default" w:ascii="Times New Roman" w:hAnsi="Times New Roman" w:cs="Times New Roman"/>
          <w:color w:val="auto"/>
          <w:kern w:val="0"/>
          <w:szCs w:val="24"/>
        </w:rPr>
        <w:t>地表水水</w:t>
      </w:r>
      <w:r>
        <w:rPr>
          <w:rFonts w:hint="eastAsia" w:cs="Times New Roman"/>
          <w:color w:val="auto"/>
          <w:kern w:val="0"/>
          <w:szCs w:val="24"/>
          <w:lang w:eastAsia="zh-CN"/>
        </w:rPr>
        <w:t>质进</w:t>
      </w:r>
      <w:r>
        <w:rPr>
          <w:rFonts w:hint="default" w:ascii="Times New Roman" w:hAnsi="Times New Roman" w:cs="Times New Roman"/>
          <w:color w:val="auto"/>
          <w:szCs w:val="24"/>
        </w:rPr>
        <w:t>行了采样监测。</w:t>
      </w:r>
    </w:p>
    <w:p w14:paraId="11F77D4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（1）监测方案</w:t>
      </w:r>
    </w:p>
    <w:p w14:paraId="180DA355">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共布设</w:t>
      </w:r>
      <w:r>
        <w:rPr>
          <w:rFonts w:hint="eastAsia" w:cs="Times New Roman"/>
          <w:color w:val="auto"/>
          <w:szCs w:val="24"/>
          <w:lang w:val="en-US" w:eastAsia="zh-CN"/>
        </w:rPr>
        <w:t>1</w:t>
      </w:r>
      <w:r>
        <w:rPr>
          <w:rFonts w:hint="default" w:ascii="Times New Roman" w:hAnsi="Times New Roman" w:cs="Times New Roman"/>
          <w:color w:val="auto"/>
          <w:szCs w:val="24"/>
        </w:rPr>
        <w:t>个地表水监测断面，具体监测方案如下表所示。</w:t>
      </w:r>
    </w:p>
    <w:p w14:paraId="4145C2AA">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eastAsia" w:ascii="Times New Roman" w:hAnsi="Times New Roman" w:cs="Times New Roman"/>
          <w:color w:val="auto"/>
          <w:lang w:val="en-US" w:eastAsia="zh-CN"/>
        </w:rPr>
        <w:t>8</w:t>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rPr>
        <w:fldChar w:fldCharType="end"/>
      </w:r>
      <w:r>
        <w:rPr>
          <w:rFonts w:hint="default" w:ascii="Times New Roman" w:hAnsi="Times New Roman" w:cs="Times New Roman"/>
          <w:color w:val="auto"/>
        </w:rPr>
        <w:t>地表水监测方案一览表</w:t>
      </w:r>
    </w:p>
    <w:tbl>
      <w:tblPr>
        <w:tblStyle w:val="20"/>
        <w:tblW w:w="5042"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0"/>
        <w:gridCol w:w="2139"/>
        <w:gridCol w:w="2993"/>
        <w:gridCol w:w="2378"/>
      </w:tblGrid>
      <w:tr w14:paraId="405FF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19" w:type="pct"/>
            <w:noWrap w:val="0"/>
            <w:vAlign w:val="center"/>
          </w:tcPr>
          <w:p w14:paraId="337813B4">
            <w:pPr>
              <w:pStyle w:val="29"/>
              <w:rPr>
                <w:rFonts w:hint="default" w:ascii="Times New Roman" w:hAnsi="Times New Roman" w:cs="Times New Roman"/>
                <w:b/>
                <w:bCs/>
                <w:color w:val="auto"/>
                <w:szCs w:val="24"/>
              </w:rPr>
            </w:pPr>
            <w:r>
              <w:rPr>
                <w:rFonts w:hint="default" w:ascii="Times New Roman" w:hAnsi="Times New Roman" w:cs="Times New Roman"/>
                <w:b/>
                <w:bCs/>
                <w:color w:val="auto"/>
                <w:szCs w:val="24"/>
              </w:rPr>
              <w:t>编号</w:t>
            </w:r>
          </w:p>
        </w:tc>
        <w:tc>
          <w:tcPr>
            <w:tcW w:w="1276" w:type="pct"/>
            <w:noWrap w:val="0"/>
            <w:vAlign w:val="center"/>
          </w:tcPr>
          <w:p w14:paraId="566DA613">
            <w:pPr>
              <w:pStyle w:val="29"/>
              <w:rPr>
                <w:rFonts w:hint="default" w:ascii="Times New Roman" w:hAnsi="Times New Roman" w:cs="Times New Roman"/>
                <w:b/>
                <w:bCs/>
                <w:color w:val="auto"/>
                <w:szCs w:val="24"/>
              </w:rPr>
            </w:pPr>
            <w:r>
              <w:rPr>
                <w:rFonts w:hint="default" w:ascii="Times New Roman" w:hAnsi="Times New Roman" w:cs="Times New Roman"/>
                <w:b/>
                <w:bCs/>
                <w:color w:val="auto"/>
                <w:szCs w:val="24"/>
              </w:rPr>
              <w:t>监测</w:t>
            </w:r>
            <w:r>
              <w:rPr>
                <w:rFonts w:hint="default" w:ascii="Times New Roman" w:hAnsi="Times New Roman" w:cs="Times New Roman"/>
                <w:b/>
                <w:bCs/>
                <w:color w:val="auto"/>
                <w:szCs w:val="24"/>
                <w:lang w:eastAsia="zh-CN"/>
              </w:rPr>
              <w:t>断面</w:t>
            </w:r>
          </w:p>
        </w:tc>
        <w:tc>
          <w:tcPr>
            <w:tcW w:w="1785" w:type="pct"/>
            <w:noWrap w:val="0"/>
            <w:vAlign w:val="center"/>
          </w:tcPr>
          <w:p w14:paraId="16B82967">
            <w:pPr>
              <w:pStyle w:val="29"/>
              <w:rPr>
                <w:rFonts w:hint="default" w:ascii="Times New Roman" w:hAnsi="Times New Roman" w:cs="Times New Roman"/>
                <w:b/>
                <w:bCs/>
                <w:color w:val="auto"/>
                <w:szCs w:val="24"/>
              </w:rPr>
            </w:pPr>
            <w:r>
              <w:rPr>
                <w:rFonts w:hint="default" w:ascii="Times New Roman" w:hAnsi="Times New Roman" w:cs="Times New Roman"/>
                <w:b/>
                <w:bCs/>
                <w:color w:val="auto"/>
                <w:szCs w:val="24"/>
              </w:rPr>
              <w:t>监测指标</w:t>
            </w:r>
          </w:p>
        </w:tc>
        <w:tc>
          <w:tcPr>
            <w:tcW w:w="1418" w:type="pct"/>
            <w:noWrap w:val="0"/>
            <w:vAlign w:val="center"/>
          </w:tcPr>
          <w:p w14:paraId="41FCD324">
            <w:pPr>
              <w:pStyle w:val="29"/>
              <w:rPr>
                <w:rFonts w:hint="default" w:ascii="Times New Roman" w:hAnsi="Times New Roman" w:cs="Times New Roman"/>
                <w:b/>
                <w:bCs/>
                <w:color w:val="auto"/>
                <w:szCs w:val="24"/>
              </w:rPr>
            </w:pPr>
            <w:r>
              <w:rPr>
                <w:rFonts w:hint="default" w:ascii="Times New Roman" w:hAnsi="Times New Roman" w:cs="Times New Roman"/>
                <w:b/>
                <w:bCs/>
                <w:color w:val="auto"/>
                <w:szCs w:val="24"/>
              </w:rPr>
              <w:t>监测制度</w:t>
            </w:r>
          </w:p>
        </w:tc>
      </w:tr>
      <w:tr w14:paraId="769EE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19" w:type="pct"/>
            <w:noWrap w:val="0"/>
            <w:vAlign w:val="center"/>
          </w:tcPr>
          <w:p w14:paraId="0AFE4999">
            <w:pPr>
              <w:pStyle w:val="29"/>
              <w:rPr>
                <w:rFonts w:hint="default" w:ascii="Times New Roman" w:hAnsi="Times New Roman" w:cs="Times New Roman"/>
                <w:color w:val="auto"/>
                <w:szCs w:val="24"/>
              </w:rPr>
            </w:pPr>
            <w:r>
              <w:rPr>
                <w:rFonts w:hint="default" w:ascii="Times New Roman" w:hAnsi="Times New Roman" w:cs="Times New Roman"/>
                <w:color w:val="auto"/>
                <w:szCs w:val="24"/>
              </w:rPr>
              <w:t>1#</w:t>
            </w:r>
          </w:p>
        </w:tc>
        <w:tc>
          <w:tcPr>
            <w:tcW w:w="1276" w:type="pct"/>
            <w:noWrap w:val="0"/>
            <w:vAlign w:val="center"/>
          </w:tcPr>
          <w:p w14:paraId="3B8AE586">
            <w:pPr>
              <w:pStyle w:val="29"/>
              <w:rPr>
                <w:rFonts w:hint="default"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rPr>
              <w:t>响桂河北侧桥上4.5m</w:t>
            </w:r>
          </w:p>
        </w:tc>
        <w:tc>
          <w:tcPr>
            <w:tcW w:w="1785" w:type="pct"/>
            <w:noWrap w:val="0"/>
            <w:vAlign w:val="center"/>
          </w:tcPr>
          <w:p w14:paraId="0635121C">
            <w:pPr>
              <w:pStyle w:val="29"/>
              <w:rPr>
                <w:rFonts w:hint="default" w:ascii="Times New Roman" w:hAnsi="Times New Roman" w:eastAsia="宋体" w:cs="Times New Roman"/>
                <w:color w:val="auto"/>
                <w:kern w:val="0"/>
                <w:szCs w:val="24"/>
              </w:rPr>
            </w:pPr>
            <w:r>
              <w:rPr>
                <w:rFonts w:hint="default" w:ascii="Times New Roman" w:hAnsi="Times New Roman" w:eastAsia="宋体" w:cs="Times New Roman"/>
                <w:color w:val="auto"/>
                <w:kern w:val="0"/>
                <w:szCs w:val="24"/>
              </w:rPr>
              <w:t>pH、</w:t>
            </w:r>
            <w:r>
              <w:rPr>
                <w:rFonts w:hint="eastAsia" w:ascii="Times New Roman" w:hAnsi="Times New Roman" w:eastAsia="宋体" w:cs="Times New Roman"/>
                <w:color w:val="auto"/>
                <w:kern w:val="0"/>
                <w:szCs w:val="24"/>
                <w:lang w:val="en-US" w:eastAsia="zh-CN"/>
              </w:rPr>
              <w:t>溶解氧（DO）、</w:t>
            </w:r>
            <w:r>
              <w:rPr>
                <w:rFonts w:hint="default" w:ascii="Times New Roman" w:hAnsi="Times New Roman" w:eastAsia="宋体" w:cs="Times New Roman"/>
                <w:color w:val="auto"/>
                <w:kern w:val="0"/>
                <w:szCs w:val="24"/>
              </w:rPr>
              <w:t>CODcr、BOD</w:t>
            </w:r>
            <w:r>
              <w:rPr>
                <w:rFonts w:hint="default" w:ascii="Times New Roman" w:hAnsi="Times New Roman" w:eastAsia="宋体" w:cs="Times New Roman"/>
                <w:color w:val="auto"/>
                <w:kern w:val="0"/>
                <w:szCs w:val="24"/>
                <w:vertAlign w:val="subscript"/>
              </w:rPr>
              <w:t>5</w:t>
            </w:r>
            <w:r>
              <w:rPr>
                <w:rFonts w:hint="default" w:ascii="Times New Roman" w:hAnsi="Times New Roman" w:eastAsia="宋体" w:cs="Times New Roman"/>
                <w:color w:val="auto"/>
                <w:kern w:val="0"/>
                <w:szCs w:val="24"/>
              </w:rPr>
              <w:t>、氨氮</w:t>
            </w: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NH</w:t>
            </w:r>
            <w:r>
              <w:rPr>
                <w:rFonts w:hint="default" w:ascii="Times New Roman" w:hAnsi="Times New Roman" w:eastAsia="宋体" w:cs="Times New Roman"/>
                <w:color w:val="auto"/>
                <w:kern w:val="0"/>
                <w:sz w:val="21"/>
                <w:szCs w:val="21"/>
                <w:vertAlign w:val="subscript"/>
                <w:lang w:val="en-US" w:eastAsia="zh-CN"/>
              </w:rPr>
              <w:t>3</w:t>
            </w:r>
            <w:r>
              <w:rPr>
                <w:rFonts w:hint="default" w:ascii="Times New Roman" w:hAnsi="Times New Roman" w:eastAsia="宋体" w:cs="Times New Roman"/>
                <w:color w:val="auto"/>
                <w:kern w:val="0"/>
                <w:sz w:val="21"/>
                <w:szCs w:val="21"/>
                <w:lang w:val="en-US" w:eastAsia="zh-CN"/>
              </w:rPr>
              <w:t>-N</w:t>
            </w: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Cs w:val="24"/>
              </w:rPr>
              <w:t>、</w:t>
            </w:r>
            <w:r>
              <w:rPr>
                <w:rFonts w:hint="eastAsia" w:ascii="Times New Roman" w:hAnsi="Times New Roman" w:eastAsia="宋体" w:cs="Times New Roman"/>
                <w:color w:val="auto"/>
                <w:kern w:val="0"/>
                <w:szCs w:val="24"/>
                <w:lang w:val="en-US" w:eastAsia="zh-CN"/>
              </w:rPr>
              <w:t>总磷（TP）、总氮</w:t>
            </w:r>
            <w:r>
              <w:rPr>
                <w:rFonts w:hint="eastAsia" w:cs="Times New Roman"/>
                <w:color w:val="auto"/>
                <w:kern w:val="0"/>
                <w:szCs w:val="24"/>
                <w:lang w:val="en-US" w:eastAsia="zh-CN"/>
              </w:rPr>
              <w:t>（</w:t>
            </w:r>
            <w:r>
              <w:rPr>
                <w:rFonts w:hint="eastAsia" w:ascii="Times New Roman" w:hAnsi="Times New Roman" w:eastAsia="宋体" w:cs="Times New Roman"/>
                <w:color w:val="auto"/>
                <w:kern w:val="0"/>
                <w:szCs w:val="24"/>
                <w:lang w:val="en-US" w:eastAsia="zh-CN"/>
              </w:rPr>
              <w:t>TN</w:t>
            </w:r>
            <w:r>
              <w:rPr>
                <w:rFonts w:hint="eastAsia" w:cs="Times New Roman"/>
                <w:color w:val="auto"/>
                <w:kern w:val="0"/>
                <w:szCs w:val="24"/>
                <w:lang w:val="en-US" w:eastAsia="zh-CN"/>
              </w:rPr>
              <w:t>）</w:t>
            </w:r>
            <w:r>
              <w:rPr>
                <w:rFonts w:hint="eastAsia" w:ascii="Times New Roman" w:hAnsi="Times New Roman" w:eastAsia="宋体" w:cs="Times New Roman"/>
                <w:color w:val="auto"/>
                <w:kern w:val="0"/>
                <w:szCs w:val="24"/>
                <w:lang w:val="en-US" w:eastAsia="zh-CN"/>
              </w:rPr>
              <w:t>、高锰酸盐指数、</w:t>
            </w:r>
            <w:r>
              <w:rPr>
                <w:rFonts w:hint="default" w:ascii="Times New Roman" w:hAnsi="Times New Roman" w:eastAsia="宋体" w:cs="Times New Roman"/>
                <w:color w:val="auto"/>
                <w:kern w:val="0"/>
                <w:szCs w:val="24"/>
              </w:rPr>
              <w:t>石油类</w:t>
            </w:r>
          </w:p>
        </w:tc>
        <w:tc>
          <w:tcPr>
            <w:tcW w:w="1418" w:type="pct"/>
            <w:noWrap w:val="0"/>
            <w:vAlign w:val="center"/>
          </w:tcPr>
          <w:p w14:paraId="0CF90959">
            <w:pPr>
              <w:pStyle w:val="29"/>
              <w:rPr>
                <w:rFonts w:hint="default" w:ascii="Times New Roman" w:hAnsi="Times New Roman" w:cs="Times New Roman"/>
                <w:color w:val="auto"/>
                <w:szCs w:val="24"/>
              </w:rPr>
            </w:pPr>
            <w:r>
              <w:rPr>
                <w:rFonts w:hint="default" w:ascii="Times New Roman" w:hAnsi="Times New Roman" w:cs="Times New Roman"/>
                <w:color w:val="auto"/>
                <w:kern w:val="0"/>
                <w:szCs w:val="24"/>
              </w:rPr>
              <w:t>连续3天监测，每天获取1个水样</w:t>
            </w:r>
          </w:p>
        </w:tc>
      </w:tr>
    </w:tbl>
    <w:p w14:paraId="20652C9D">
      <w:pPr>
        <w:pStyle w:val="24"/>
        <w:spacing w:before="240"/>
        <w:ind w:firstLine="480"/>
        <w:rPr>
          <w:rFonts w:hint="default" w:ascii="Times New Roman" w:hAnsi="Times New Roman" w:cs="Times New Roman"/>
          <w:color w:val="auto"/>
          <w:szCs w:val="24"/>
        </w:rPr>
      </w:pPr>
      <w:r>
        <w:rPr>
          <w:rFonts w:hint="default" w:ascii="Times New Roman" w:hAnsi="Times New Roman" w:cs="Times New Roman"/>
          <w:color w:val="auto"/>
          <w:szCs w:val="24"/>
        </w:rPr>
        <w:t>（2）采样及分析方法</w:t>
      </w:r>
    </w:p>
    <w:p w14:paraId="6E84F51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采样按规范执行，分析方法的国家规定方法和推荐方法。</w:t>
      </w:r>
    </w:p>
    <w:p w14:paraId="50335A83">
      <w:pPr>
        <w:ind w:firstLine="480"/>
        <w:rPr>
          <w:rFonts w:hint="default" w:ascii="Times New Roman" w:hAnsi="Times New Roman" w:cs="Times New Roman"/>
          <w:color w:val="auto"/>
          <w:kern w:val="0"/>
          <w:szCs w:val="24"/>
        </w:rPr>
      </w:pPr>
      <w:r>
        <w:rPr>
          <w:rFonts w:hint="default" w:ascii="Times New Roman" w:hAnsi="Times New Roman" w:cs="Times New Roman"/>
          <w:color w:val="auto"/>
          <w:kern w:val="0"/>
          <w:szCs w:val="24"/>
        </w:rPr>
        <w:t>（3）监测结果</w:t>
      </w:r>
    </w:p>
    <w:p w14:paraId="041429CB">
      <w:pPr>
        <w:ind w:firstLine="480"/>
        <w:rPr>
          <w:rFonts w:hint="default" w:ascii="Times New Roman" w:hAnsi="Times New Roman" w:cs="Times New Roman"/>
          <w:color w:val="auto"/>
          <w:kern w:val="0"/>
          <w:szCs w:val="24"/>
        </w:rPr>
      </w:pPr>
      <w:r>
        <w:rPr>
          <w:rFonts w:hint="default" w:ascii="Times New Roman" w:hAnsi="Times New Roman" w:cs="Times New Roman"/>
          <w:color w:val="auto"/>
          <w:kern w:val="0"/>
          <w:szCs w:val="24"/>
        </w:rPr>
        <w:t>本项目地表水监测情况如下表所示。</w:t>
      </w:r>
    </w:p>
    <w:p w14:paraId="66F051F9">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eastAsia" w:ascii="Times New Roman" w:hAnsi="Times New Roman" w:cs="Times New Roman"/>
          <w:color w:val="auto"/>
          <w:lang w:val="en-US" w:eastAsia="zh-CN"/>
        </w:rPr>
        <w:t>8</w:t>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color w:val="auto"/>
        </w:rPr>
        <w:t>地表水监测</w:t>
      </w:r>
      <w:r>
        <w:rPr>
          <w:rFonts w:hint="eastAsia" w:cs="Times New Roman"/>
          <w:color w:val="auto"/>
          <w:lang w:val="en-US" w:eastAsia="zh-CN"/>
        </w:rPr>
        <w:t>结果</w:t>
      </w:r>
      <w:r>
        <w:rPr>
          <w:rFonts w:hint="default" w:ascii="Times New Roman" w:hAnsi="Times New Roman" w:cs="Times New Roman"/>
          <w:color w:val="auto"/>
        </w:rPr>
        <w:t>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3"/>
        <w:gridCol w:w="884"/>
        <w:gridCol w:w="884"/>
        <w:gridCol w:w="884"/>
        <w:gridCol w:w="1618"/>
        <w:gridCol w:w="1320"/>
      </w:tblGrid>
      <w:tr w14:paraId="47B4B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717" w:type="pct"/>
            <w:noWrap w:val="0"/>
            <w:vAlign w:val="center"/>
          </w:tcPr>
          <w:p w14:paraId="3CC4EC00">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位置</w:t>
            </w:r>
          </w:p>
        </w:tc>
        <w:tc>
          <w:tcPr>
            <w:tcW w:w="3282" w:type="pct"/>
            <w:gridSpan w:val="5"/>
            <w:noWrap w:val="0"/>
            <w:vAlign w:val="center"/>
          </w:tcPr>
          <w:p w14:paraId="4ECE33D7">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响桂河北侧桥</w:t>
            </w:r>
          </w:p>
        </w:tc>
      </w:tr>
      <w:tr w14:paraId="00B65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717" w:type="pct"/>
            <w:noWrap w:val="0"/>
            <w:vAlign w:val="center"/>
          </w:tcPr>
          <w:p w14:paraId="2AE46F49">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类别</w:t>
            </w:r>
          </w:p>
        </w:tc>
        <w:tc>
          <w:tcPr>
            <w:tcW w:w="519" w:type="pct"/>
            <w:noWrap w:val="0"/>
            <w:vAlign w:val="center"/>
          </w:tcPr>
          <w:p w14:paraId="10B1670A">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11.02</w:t>
            </w:r>
          </w:p>
        </w:tc>
        <w:tc>
          <w:tcPr>
            <w:tcW w:w="519" w:type="pct"/>
            <w:noWrap w:val="0"/>
            <w:vAlign w:val="center"/>
          </w:tcPr>
          <w:p w14:paraId="7A3B5F23">
            <w:pPr>
              <w:pStyle w:val="29"/>
              <w:jc w:val="center"/>
              <w:rPr>
                <w:rFonts w:hint="default" w:ascii="Times New Roman" w:hAnsi="Times New Roman" w:eastAsia="宋体" w:cs="Times New Roman"/>
                <w:color w:val="auto"/>
                <w:kern w:val="0"/>
                <w:szCs w:val="24"/>
                <w:lang w:val="en-US"/>
              </w:rPr>
            </w:pPr>
            <w:r>
              <w:rPr>
                <w:rFonts w:hint="eastAsia" w:ascii="Times New Roman" w:hAnsi="Times New Roman" w:eastAsia="宋体" w:cs="Times New Roman"/>
                <w:color w:val="auto"/>
                <w:kern w:val="0"/>
                <w:szCs w:val="24"/>
                <w:lang w:val="en-US" w:eastAsia="zh-CN"/>
              </w:rPr>
              <w:t>11.03</w:t>
            </w:r>
          </w:p>
        </w:tc>
        <w:tc>
          <w:tcPr>
            <w:tcW w:w="519" w:type="pct"/>
            <w:noWrap w:val="0"/>
            <w:vAlign w:val="center"/>
          </w:tcPr>
          <w:p w14:paraId="2CD0D6C8">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11.04</w:t>
            </w:r>
          </w:p>
        </w:tc>
        <w:tc>
          <w:tcPr>
            <w:tcW w:w="950" w:type="pct"/>
            <w:noWrap w:val="0"/>
            <w:vAlign w:val="center"/>
          </w:tcPr>
          <w:p w14:paraId="5C05815F">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标准限值</w:t>
            </w:r>
          </w:p>
        </w:tc>
        <w:tc>
          <w:tcPr>
            <w:tcW w:w="775" w:type="pct"/>
            <w:noWrap w:val="0"/>
            <w:vAlign w:val="center"/>
          </w:tcPr>
          <w:p w14:paraId="63BFDBBB">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达标情况</w:t>
            </w:r>
          </w:p>
        </w:tc>
      </w:tr>
      <w:tr w14:paraId="477B1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717" w:type="pct"/>
            <w:noWrap w:val="0"/>
            <w:vAlign w:val="center"/>
          </w:tcPr>
          <w:p w14:paraId="60EA24E1">
            <w:pPr>
              <w:pStyle w:val="29"/>
              <w:jc w:val="center"/>
              <w:rPr>
                <w:rFonts w:hint="eastAsia" w:ascii="Times New Roman" w:hAnsi="Times New Roman" w:eastAsia="宋体" w:cs="Times New Roman"/>
                <w:color w:val="auto"/>
                <w:kern w:val="0"/>
                <w:szCs w:val="24"/>
                <w:lang w:eastAsia="zh-CN"/>
              </w:rPr>
            </w:pPr>
            <w:r>
              <w:rPr>
                <w:rFonts w:hint="default" w:ascii="Times New Roman" w:hAnsi="Times New Roman" w:eastAsia="宋体" w:cs="Times New Roman"/>
                <w:color w:val="auto"/>
                <w:kern w:val="0"/>
                <w:szCs w:val="24"/>
              </w:rPr>
              <w:t>pH</w:t>
            </w:r>
            <w:r>
              <w:rPr>
                <w:rFonts w:hint="eastAsia" w:ascii="Times New Roman" w:hAnsi="Times New Roman" w:eastAsia="宋体" w:cs="Times New Roman"/>
                <w:color w:val="auto"/>
                <w:kern w:val="0"/>
                <w:szCs w:val="24"/>
                <w:lang w:val="en-US" w:eastAsia="zh-CN"/>
              </w:rPr>
              <w:t>值</w:t>
            </w:r>
          </w:p>
          <w:p w14:paraId="2A96E741">
            <w:pPr>
              <w:pStyle w:val="29"/>
              <w:jc w:val="center"/>
              <w:rPr>
                <w:rFonts w:hint="eastAsia" w:ascii="Times New Roman" w:hAnsi="Times New Roman" w:eastAsia="宋体" w:cs="Times New Roman"/>
                <w:color w:val="auto"/>
                <w:kern w:val="0"/>
                <w:szCs w:val="24"/>
                <w:lang w:val="en-US" w:eastAsia="zh-CN"/>
              </w:rPr>
            </w:pPr>
            <w:r>
              <w:rPr>
                <w:rFonts w:hint="default" w:ascii="Times New Roman" w:hAnsi="Times New Roman" w:eastAsia="宋体" w:cs="Times New Roman"/>
                <w:color w:val="auto"/>
                <w:kern w:val="0"/>
                <w:szCs w:val="24"/>
              </w:rPr>
              <w:t>（无量纲）</w:t>
            </w:r>
          </w:p>
        </w:tc>
        <w:tc>
          <w:tcPr>
            <w:tcW w:w="519" w:type="pct"/>
            <w:noWrap w:val="0"/>
            <w:vAlign w:val="center"/>
          </w:tcPr>
          <w:p w14:paraId="0BEE003F">
            <w:pPr>
              <w:pStyle w:val="29"/>
              <w:jc w:val="center"/>
              <w:rPr>
                <w:rFonts w:hint="default"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rPr>
              <w:t>7.6</w:t>
            </w:r>
          </w:p>
        </w:tc>
        <w:tc>
          <w:tcPr>
            <w:tcW w:w="519" w:type="pct"/>
            <w:noWrap w:val="0"/>
            <w:vAlign w:val="center"/>
          </w:tcPr>
          <w:p w14:paraId="4D8F3A47">
            <w:pPr>
              <w:pStyle w:val="29"/>
              <w:jc w:val="center"/>
              <w:rPr>
                <w:rFonts w:hint="default" w:ascii="Times New Roman" w:hAnsi="Times New Roman" w:eastAsia="宋体" w:cs="Times New Roman"/>
                <w:color w:val="auto"/>
                <w:kern w:val="0"/>
                <w:szCs w:val="24"/>
                <w:lang w:val="en-US"/>
              </w:rPr>
            </w:pPr>
            <w:r>
              <w:rPr>
                <w:rFonts w:hint="eastAsia" w:ascii="Times New Roman" w:hAnsi="Times New Roman" w:eastAsia="宋体" w:cs="Times New Roman"/>
                <w:color w:val="auto"/>
                <w:kern w:val="0"/>
                <w:szCs w:val="24"/>
              </w:rPr>
              <w:t>7.5</w:t>
            </w:r>
          </w:p>
        </w:tc>
        <w:tc>
          <w:tcPr>
            <w:tcW w:w="519" w:type="pct"/>
            <w:noWrap w:val="0"/>
            <w:vAlign w:val="center"/>
          </w:tcPr>
          <w:p w14:paraId="11803267">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7.5</w:t>
            </w:r>
          </w:p>
        </w:tc>
        <w:tc>
          <w:tcPr>
            <w:tcW w:w="950" w:type="pct"/>
            <w:noWrap w:val="0"/>
            <w:vAlign w:val="center"/>
          </w:tcPr>
          <w:p w14:paraId="3069640D">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6-9</w:t>
            </w:r>
          </w:p>
        </w:tc>
        <w:tc>
          <w:tcPr>
            <w:tcW w:w="775" w:type="pct"/>
            <w:noWrap w:val="0"/>
            <w:vAlign w:val="center"/>
          </w:tcPr>
          <w:p w14:paraId="1276A205">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r w14:paraId="18470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1204C5DB">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DO</w:t>
            </w:r>
            <w:r>
              <w:rPr>
                <w:rFonts w:hint="default" w:ascii="Times New Roman" w:hAnsi="Times New Roman" w:eastAsia="宋体" w:cs="Times New Roman"/>
                <w:color w:val="auto"/>
                <w:kern w:val="0"/>
                <w:szCs w:val="24"/>
              </w:rPr>
              <w:t>（mg/L</w:t>
            </w:r>
            <w:r>
              <w:rPr>
                <w:rFonts w:hint="eastAsia" w:cs="Times New Roman"/>
                <w:color w:val="auto"/>
                <w:kern w:val="0"/>
                <w:szCs w:val="24"/>
                <w:lang w:eastAsia="zh-CN"/>
              </w:rPr>
              <w:t>)</w:t>
            </w:r>
          </w:p>
        </w:tc>
        <w:tc>
          <w:tcPr>
            <w:tcW w:w="519" w:type="pct"/>
            <w:noWrap w:val="0"/>
            <w:vAlign w:val="center"/>
          </w:tcPr>
          <w:p w14:paraId="2E3F6252">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4.8</w:t>
            </w:r>
          </w:p>
        </w:tc>
        <w:tc>
          <w:tcPr>
            <w:tcW w:w="519" w:type="pct"/>
            <w:noWrap w:val="0"/>
            <w:vAlign w:val="center"/>
          </w:tcPr>
          <w:p w14:paraId="3DF61564">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4.7</w:t>
            </w:r>
          </w:p>
        </w:tc>
        <w:tc>
          <w:tcPr>
            <w:tcW w:w="519" w:type="pct"/>
            <w:noWrap w:val="0"/>
            <w:vAlign w:val="center"/>
          </w:tcPr>
          <w:p w14:paraId="32DA6235">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4.6</w:t>
            </w:r>
          </w:p>
        </w:tc>
        <w:tc>
          <w:tcPr>
            <w:tcW w:w="950" w:type="pct"/>
            <w:noWrap w:val="0"/>
            <w:vAlign w:val="center"/>
          </w:tcPr>
          <w:p w14:paraId="15B1241C">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≥5</w:t>
            </w:r>
          </w:p>
        </w:tc>
        <w:tc>
          <w:tcPr>
            <w:tcW w:w="775" w:type="pct"/>
            <w:noWrap w:val="0"/>
            <w:vAlign w:val="center"/>
          </w:tcPr>
          <w:p w14:paraId="6B314110">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r w14:paraId="23054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717" w:type="pct"/>
            <w:noWrap w:val="0"/>
            <w:vAlign w:val="center"/>
          </w:tcPr>
          <w:p w14:paraId="4F389BA1">
            <w:pPr>
              <w:pStyle w:val="29"/>
              <w:jc w:val="center"/>
              <w:rPr>
                <w:rFonts w:hint="default" w:ascii="Times New Roman" w:hAnsi="Times New Roman" w:eastAsia="宋体" w:cs="Times New Roman"/>
                <w:color w:val="auto"/>
                <w:kern w:val="0"/>
                <w:szCs w:val="24"/>
                <w:lang w:val="en-US" w:eastAsia="zh-CN"/>
              </w:rPr>
            </w:pPr>
            <w:r>
              <w:rPr>
                <w:rFonts w:hint="default" w:ascii="Times New Roman" w:hAnsi="Times New Roman" w:eastAsia="宋体" w:cs="Times New Roman"/>
                <w:color w:val="auto"/>
                <w:kern w:val="0"/>
                <w:szCs w:val="24"/>
              </w:rPr>
              <w:t>COD</w:t>
            </w:r>
            <w:r>
              <w:rPr>
                <w:rFonts w:hint="default" w:ascii="Times New Roman" w:hAnsi="Times New Roman" w:eastAsia="宋体" w:cs="Times New Roman"/>
                <w:color w:val="auto"/>
                <w:kern w:val="0"/>
                <w:szCs w:val="24"/>
                <w:vertAlign w:val="subscript"/>
              </w:rPr>
              <w:t>cr</w:t>
            </w:r>
            <w:r>
              <w:rPr>
                <w:rFonts w:hint="default" w:ascii="Times New Roman" w:hAnsi="Times New Roman" w:eastAsia="宋体" w:cs="Times New Roman"/>
                <w:color w:val="auto"/>
                <w:kern w:val="0"/>
                <w:szCs w:val="24"/>
              </w:rPr>
              <w:t>（mg/L</w:t>
            </w:r>
            <w:r>
              <w:rPr>
                <w:rFonts w:hint="eastAsia" w:cs="Times New Roman"/>
                <w:color w:val="auto"/>
                <w:kern w:val="0"/>
                <w:szCs w:val="24"/>
                <w:lang w:eastAsia="zh-CN"/>
              </w:rPr>
              <w:t>)</w:t>
            </w:r>
          </w:p>
        </w:tc>
        <w:tc>
          <w:tcPr>
            <w:tcW w:w="519" w:type="pct"/>
            <w:noWrap w:val="0"/>
            <w:vAlign w:val="center"/>
          </w:tcPr>
          <w:p w14:paraId="469BCD90">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11</w:t>
            </w:r>
          </w:p>
        </w:tc>
        <w:tc>
          <w:tcPr>
            <w:tcW w:w="519" w:type="pct"/>
            <w:noWrap w:val="0"/>
            <w:vAlign w:val="center"/>
          </w:tcPr>
          <w:p w14:paraId="27EAD585">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10</w:t>
            </w:r>
          </w:p>
        </w:tc>
        <w:tc>
          <w:tcPr>
            <w:tcW w:w="519" w:type="pct"/>
            <w:noWrap w:val="0"/>
            <w:vAlign w:val="center"/>
          </w:tcPr>
          <w:p w14:paraId="546E8A9E">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13</w:t>
            </w:r>
          </w:p>
        </w:tc>
        <w:tc>
          <w:tcPr>
            <w:tcW w:w="950" w:type="pct"/>
            <w:noWrap w:val="0"/>
            <w:vAlign w:val="center"/>
          </w:tcPr>
          <w:p w14:paraId="70291969">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&lt;20</w:t>
            </w:r>
          </w:p>
        </w:tc>
        <w:tc>
          <w:tcPr>
            <w:tcW w:w="775" w:type="pct"/>
            <w:noWrap w:val="0"/>
            <w:vAlign w:val="center"/>
          </w:tcPr>
          <w:p w14:paraId="738F2B9E">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r w14:paraId="79978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1F82B672">
            <w:pPr>
              <w:pStyle w:val="29"/>
              <w:jc w:val="center"/>
              <w:rPr>
                <w:rFonts w:hint="default" w:ascii="Times New Roman" w:hAnsi="Times New Roman" w:eastAsia="宋体" w:cs="Times New Roman"/>
                <w:color w:val="auto"/>
                <w:kern w:val="0"/>
                <w:szCs w:val="24"/>
                <w:lang w:val="en-US" w:eastAsia="zh-CN"/>
              </w:rPr>
            </w:pPr>
            <w:r>
              <w:rPr>
                <w:rFonts w:hint="default" w:ascii="Times New Roman" w:hAnsi="Times New Roman" w:eastAsia="宋体" w:cs="Times New Roman"/>
                <w:color w:val="auto"/>
                <w:kern w:val="0"/>
                <w:szCs w:val="24"/>
              </w:rPr>
              <w:t>BOD</w:t>
            </w:r>
            <w:r>
              <w:rPr>
                <w:rFonts w:hint="default" w:ascii="Times New Roman" w:hAnsi="Times New Roman" w:eastAsia="宋体" w:cs="Times New Roman"/>
                <w:color w:val="auto"/>
                <w:kern w:val="0"/>
                <w:szCs w:val="24"/>
                <w:vertAlign w:val="subscript"/>
              </w:rPr>
              <w:t>5</w:t>
            </w:r>
            <w:r>
              <w:rPr>
                <w:rFonts w:hint="default" w:ascii="Times New Roman" w:hAnsi="Times New Roman" w:eastAsia="宋体" w:cs="Times New Roman"/>
                <w:color w:val="auto"/>
                <w:kern w:val="0"/>
                <w:szCs w:val="24"/>
              </w:rPr>
              <w:t>（mg/L）</w:t>
            </w:r>
          </w:p>
        </w:tc>
        <w:tc>
          <w:tcPr>
            <w:tcW w:w="519" w:type="pct"/>
            <w:noWrap w:val="0"/>
            <w:vAlign w:val="center"/>
          </w:tcPr>
          <w:p w14:paraId="11BB4EB6">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1.8</w:t>
            </w:r>
          </w:p>
        </w:tc>
        <w:tc>
          <w:tcPr>
            <w:tcW w:w="519" w:type="pct"/>
            <w:noWrap w:val="0"/>
            <w:vAlign w:val="center"/>
          </w:tcPr>
          <w:p w14:paraId="43A5EA9A">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0.9</w:t>
            </w:r>
          </w:p>
        </w:tc>
        <w:tc>
          <w:tcPr>
            <w:tcW w:w="519" w:type="pct"/>
            <w:noWrap w:val="0"/>
            <w:vAlign w:val="center"/>
          </w:tcPr>
          <w:p w14:paraId="24A24236">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2.1</w:t>
            </w:r>
          </w:p>
        </w:tc>
        <w:tc>
          <w:tcPr>
            <w:tcW w:w="950" w:type="pct"/>
            <w:noWrap w:val="0"/>
            <w:vAlign w:val="center"/>
          </w:tcPr>
          <w:p w14:paraId="41C7FA33">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≤4</w:t>
            </w:r>
          </w:p>
        </w:tc>
        <w:tc>
          <w:tcPr>
            <w:tcW w:w="775" w:type="pct"/>
            <w:noWrap w:val="0"/>
            <w:vAlign w:val="center"/>
          </w:tcPr>
          <w:p w14:paraId="652A1578">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r w14:paraId="78A96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2F1200BF">
            <w:pPr>
              <w:pStyle w:val="29"/>
              <w:jc w:val="center"/>
              <w:rPr>
                <w:rFonts w:hint="eastAsia" w:ascii="Times New Roman" w:hAnsi="Times New Roman" w:eastAsia="宋体" w:cs="Times New Roman"/>
                <w:color w:val="auto"/>
                <w:kern w:val="0"/>
                <w:szCs w:val="24"/>
              </w:rPr>
            </w:pPr>
            <w:r>
              <w:rPr>
                <w:rFonts w:hint="default" w:ascii="Times New Roman" w:hAnsi="Times New Roman" w:eastAsia="宋体" w:cs="Times New Roman"/>
                <w:color w:val="auto"/>
                <w:kern w:val="0"/>
                <w:szCs w:val="24"/>
              </w:rPr>
              <w:t>NH</w:t>
            </w:r>
            <w:r>
              <w:rPr>
                <w:rFonts w:hint="default" w:ascii="Times New Roman" w:hAnsi="Times New Roman" w:eastAsia="宋体" w:cs="Times New Roman"/>
                <w:color w:val="auto"/>
                <w:kern w:val="0"/>
                <w:szCs w:val="24"/>
                <w:vertAlign w:val="subscript"/>
              </w:rPr>
              <w:t>3</w:t>
            </w:r>
            <w:r>
              <w:rPr>
                <w:rFonts w:hint="default" w:ascii="Times New Roman" w:hAnsi="Times New Roman" w:eastAsia="宋体" w:cs="Times New Roman"/>
                <w:color w:val="auto"/>
                <w:kern w:val="0"/>
                <w:szCs w:val="24"/>
              </w:rPr>
              <w:t>-N（mg/L）</w:t>
            </w:r>
          </w:p>
        </w:tc>
        <w:tc>
          <w:tcPr>
            <w:tcW w:w="519" w:type="pct"/>
            <w:noWrap w:val="0"/>
            <w:vAlign w:val="center"/>
          </w:tcPr>
          <w:p w14:paraId="0BBE65E7">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0.346</w:t>
            </w:r>
          </w:p>
        </w:tc>
        <w:tc>
          <w:tcPr>
            <w:tcW w:w="519" w:type="pct"/>
            <w:noWrap w:val="0"/>
            <w:vAlign w:val="center"/>
          </w:tcPr>
          <w:p w14:paraId="5F8E62A1">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0.379</w:t>
            </w:r>
          </w:p>
        </w:tc>
        <w:tc>
          <w:tcPr>
            <w:tcW w:w="519" w:type="pct"/>
            <w:noWrap w:val="0"/>
            <w:vAlign w:val="center"/>
          </w:tcPr>
          <w:p w14:paraId="53265E06">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0.398</w:t>
            </w:r>
          </w:p>
        </w:tc>
        <w:tc>
          <w:tcPr>
            <w:tcW w:w="950" w:type="pct"/>
            <w:noWrap w:val="0"/>
            <w:vAlign w:val="center"/>
          </w:tcPr>
          <w:p w14:paraId="492E7EF6">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≤1.0</w:t>
            </w:r>
          </w:p>
        </w:tc>
        <w:tc>
          <w:tcPr>
            <w:tcW w:w="775" w:type="pct"/>
            <w:noWrap w:val="0"/>
            <w:vAlign w:val="center"/>
          </w:tcPr>
          <w:p w14:paraId="3ED2C696">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r w14:paraId="7C62C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35E6CBF2">
            <w:pPr>
              <w:pStyle w:val="29"/>
              <w:jc w:val="center"/>
              <w:rPr>
                <w:rFonts w:hint="eastAsia"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lang w:val="en-US" w:eastAsia="zh-CN"/>
              </w:rPr>
              <w:t>TP</w:t>
            </w:r>
            <w:r>
              <w:rPr>
                <w:rFonts w:hint="default" w:ascii="Times New Roman" w:hAnsi="Times New Roman" w:eastAsia="宋体" w:cs="Times New Roman"/>
                <w:color w:val="auto"/>
                <w:kern w:val="0"/>
                <w:szCs w:val="24"/>
              </w:rPr>
              <w:t>（mg/L）</w:t>
            </w:r>
          </w:p>
        </w:tc>
        <w:tc>
          <w:tcPr>
            <w:tcW w:w="519" w:type="pct"/>
            <w:noWrap w:val="0"/>
            <w:vAlign w:val="center"/>
          </w:tcPr>
          <w:p w14:paraId="0948A215">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0.16</w:t>
            </w:r>
          </w:p>
        </w:tc>
        <w:tc>
          <w:tcPr>
            <w:tcW w:w="519" w:type="pct"/>
            <w:noWrap w:val="0"/>
            <w:vAlign w:val="center"/>
          </w:tcPr>
          <w:p w14:paraId="7D7F0E8B">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0.17</w:t>
            </w:r>
          </w:p>
        </w:tc>
        <w:tc>
          <w:tcPr>
            <w:tcW w:w="519" w:type="pct"/>
            <w:noWrap w:val="0"/>
            <w:vAlign w:val="center"/>
          </w:tcPr>
          <w:p w14:paraId="372A6785">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0.16</w:t>
            </w:r>
          </w:p>
        </w:tc>
        <w:tc>
          <w:tcPr>
            <w:tcW w:w="950" w:type="pct"/>
            <w:noWrap w:val="0"/>
            <w:vAlign w:val="center"/>
          </w:tcPr>
          <w:p w14:paraId="05AAF4CE">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≤0.05 mg/L</w:t>
            </w:r>
          </w:p>
        </w:tc>
        <w:tc>
          <w:tcPr>
            <w:tcW w:w="775" w:type="pct"/>
            <w:noWrap w:val="0"/>
            <w:vAlign w:val="center"/>
          </w:tcPr>
          <w:p w14:paraId="56B8CE31">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不达标</w:t>
            </w:r>
          </w:p>
        </w:tc>
      </w:tr>
      <w:tr w14:paraId="6255C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5D5806C5">
            <w:pPr>
              <w:pStyle w:val="29"/>
              <w:jc w:val="center"/>
              <w:rPr>
                <w:rFonts w:hint="eastAsia"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lang w:val="en-US" w:eastAsia="zh-CN"/>
              </w:rPr>
              <w:t>TN</w:t>
            </w:r>
            <w:r>
              <w:rPr>
                <w:rFonts w:hint="default" w:ascii="Times New Roman" w:hAnsi="Times New Roman" w:eastAsia="宋体" w:cs="Times New Roman"/>
                <w:color w:val="auto"/>
                <w:kern w:val="0"/>
                <w:szCs w:val="24"/>
              </w:rPr>
              <w:t>（mg/L</w:t>
            </w:r>
            <w:r>
              <w:rPr>
                <w:rFonts w:hint="eastAsia" w:cs="Times New Roman"/>
                <w:color w:val="auto"/>
                <w:kern w:val="0"/>
                <w:szCs w:val="24"/>
                <w:lang w:eastAsia="zh-CN"/>
              </w:rPr>
              <w:t>)</w:t>
            </w:r>
          </w:p>
        </w:tc>
        <w:tc>
          <w:tcPr>
            <w:tcW w:w="519" w:type="pct"/>
            <w:noWrap w:val="0"/>
            <w:vAlign w:val="center"/>
          </w:tcPr>
          <w:p w14:paraId="006BB103">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2.05</w:t>
            </w:r>
          </w:p>
        </w:tc>
        <w:tc>
          <w:tcPr>
            <w:tcW w:w="519" w:type="pct"/>
            <w:noWrap w:val="0"/>
            <w:vAlign w:val="center"/>
          </w:tcPr>
          <w:p w14:paraId="7E57664F">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2.10</w:t>
            </w:r>
          </w:p>
        </w:tc>
        <w:tc>
          <w:tcPr>
            <w:tcW w:w="519" w:type="pct"/>
            <w:noWrap w:val="0"/>
            <w:vAlign w:val="center"/>
          </w:tcPr>
          <w:p w14:paraId="5F15E3F9">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2.27</w:t>
            </w:r>
          </w:p>
        </w:tc>
        <w:tc>
          <w:tcPr>
            <w:tcW w:w="950" w:type="pct"/>
            <w:noWrap w:val="0"/>
            <w:vAlign w:val="center"/>
          </w:tcPr>
          <w:p w14:paraId="25892064">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≤1.0</w:t>
            </w:r>
          </w:p>
        </w:tc>
        <w:tc>
          <w:tcPr>
            <w:tcW w:w="775" w:type="pct"/>
            <w:noWrap w:val="0"/>
            <w:vAlign w:val="center"/>
          </w:tcPr>
          <w:p w14:paraId="6BC7D1DA">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不达标</w:t>
            </w:r>
          </w:p>
        </w:tc>
      </w:tr>
      <w:tr w14:paraId="1E202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3176F5ED">
            <w:pPr>
              <w:pStyle w:val="29"/>
              <w:jc w:val="center"/>
              <w:rPr>
                <w:rFonts w:hint="eastAsia"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lang w:val="en-US" w:eastAsia="zh-CN"/>
              </w:rPr>
              <w:t>高锰酸盐指数</w:t>
            </w:r>
            <w:r>
              <w:rPr>
                <w:rFonts w:hint="default" w:ascii="Times New Roman" w:hAnsi="Times New Roman" w:eastAsia="宋体" w:cs="Times New Roman"/>
                <w:color w:val="auto"/>
                <w:kern w:val="0"/>
                <w:szCs w:val="24"/>
              </w:rPr>
              <w:t>（mg/L）</w:t>
            </w:r>
          </w:p>
        </w:tc>
        <w:tc>
          <w:tcPr>
            <w:tcW w:w="519" w:type="pct"/>
            <w:noWrap w:val="0"/>
            <w:vAlign w:val="center"/>
          </w:tcPr>
          <w:p w14:paraId="53C10514">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1.3</w:t>
            </w:r>
          </w:p>
        </w:tc>
        <w:tc>
          <w:tcPr>
            <w:tcW w:w="519" w:type="pct"/>
            <w:noWrap w:val="0"/>
            <w:vAlign w:val="center"/>
          </w:tcPr>
          <w:p w14:paraId="6EBC5778">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1.4</w:t>
            </w:r>
          </w:p>
        </w:tc>
        <w:tc>
          <w:tcPr>
            <w:tcW w:w="519" w:type="pct"/>
            <w:noWrap w:val="0"/>
            <w:vAlign w:val="center"/>
          </w:tcPr>
          <w:p w14:paraId="479F8BDF">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2.3</w:t>
            </w:r>
          </w:p>
        </w:tc>
        <w:tc>
          <w:tcPr>
            <w:tcW w:w="950" w:type="pct"/>
            <w:noWrap w:val="0"/>
            <w:vAlign w:val="center"/>
          </w:tcPr>
          <w:p w14:paraId="6C0CD141">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≤6</w:t>
            </w:r>
          </w:p>
        </w:tc>
        <w:tc>
          <w:tcPr>
            <w:tcW w:w="775" w:type="pct"/>
            <w:noWrap w:val="0"/>
            <w:vAlign w:val="center"/>
          </w:tcPr>
          <w:p w14:paraId="0896D13F">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r w14:paraId="469A1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17" w:type="pct"/>
            <w:noWrap w:val="0"/>
            <w:vAlign w:val="center"/>
          </w:tcPr>
          <w:p w14:paraId="01583001">
            <w:pPr>
              <w:pStyle w:val="29"/>
              <w:jc w:val="center"/>
              <w:rPr>
                <w:rFonts w:hint="eastAsia" w:ascii="Times New Roman" w:hAnsi="Times New Roman" w:eastAsia="宋体" w:cs="Times New Roman"/>
                <w:color w:val="auto"/>
                <w:kern w:val="0"/>
                <w:szCs w:val="24"/>
              </w:rPr>
            </w:pPr>
            <w:r>
              <w:rPr>
                <w:rFonts w:hint="default" w:ascii="Times New Roman" w:hAnsi="Times New Roman" w:eastAsia="宋体" w:cs="Times New Roman"/>
                <w:color w:val="auto"/>
                <w:kern w:val="0"/>
                <w:szCs w:val="24"/>
              </w:rPr>
              <w:t>石油类（mg/L）</w:t>
            </w:r>
          </w:p>
        </w:tc>
        <w:tc>
          <w:tcPr>
            <w:tcW w:w="519" w:type="pct"/>
            <w:noWrap w:val="0"/>
            <w:vAlign w:val="center"/>
          </w:tcPr>
          <w:p w14:paraId="0847A462">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0.01L</w:t>
            </w:r>
          </w:p>
        </w:tc>
        <w:tc>
          <w:tcPr>
            <w:tcW w:w="519" w:type="pct"/>
            <w:noWrap w:val="0"/>
            <w:vAlign w:val="center"/>
          </w:tcPr>
          <w:p w14:paraId="107251A7">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0.01L</w:t>
            </w:r>
          </w:p>
        </w:tc>
        <w:tc>
          <w:tcPr>
            <w:tcW w:w="519" w:type="pct"/>
            <w:noWrap w:val="0"/>
            <w:vAlign w:val="center"/>
          </w:tcPr>
          <w:p w14:paraId="12070D31">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0.01L</w:t>
            </w:r>
          </w:p>
        </w:tc>
        <w:tc>
          <w:tcPr>
            <w:tcW w:w="950" w:type="pct"/>
            <w:noWrap w:val="0"/>
            <w:vAlign w:val="center"/>
          </w:tcPr>
          <w:p w14:paraId="5EB0756C">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rPr>
              <w:t>≤0.05</w:t>
            </w:r>
          </w:p>
        </w:tc>
        <w:tc>
          <w:tcPr>
            <w:tcW w:w="775" w:type="pct"/>
            <w:noWrap w:val="0"/>
            <w:vAlign w:val="center"/>
          </w:tcPr>
          <w:p w14:paraId="2B5B5FE9">
            <w:pPr>
              <w:pStyle w:val="29"/>
              <w:jc w:val="center"/>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达标</w:t>
            </w:r>
          </w:p>
        </w:tc>
      </w:tr>
    </w:tbl>
    <w:p w14:paraId="65DF2CC2">
      <w:pPr>
        <w:pStyle w:val="24"/>
        <w:ind w:firstLine="480"/>
        <w:rPr>
          <w:rFonts w:hint="default" w:ascii="Times New Roman" w:hAnsi="Times New Roman" w:cs="Times New Roman"/>
          <w:color w:val="auto"/>
          <w:szCs w:val="24"/>
        </w:rPr>
      </w:pPr>
      <w:r>
        <w:rPr>
          <w:rFonts w:hint="default" w:ascii="Times New Roman" w:hAnsi="Times New Roman" w:eastAsia="宋体" w:cs="Times New Roman"/>
          <w:color w:val="auto"/>
          <w:spacing w:val="0"/>
          <w:w w:val="100"/>
          <w:kern w:val="0"/>
          <w:position w:val="0"/>
          <w:sz w:val="24"/>
          <w:szCs w:val="24"/>
          <w:lang w:val="en-US" w:eastAsia="zh-CN"/>
        </w:rPr>
        <w:t>根据现状代峨溪监测数据，</w:t>
      </w:r>
      <w:r>
        <w:rPr>
          <w:rFonts w:hint="eastAsia"/>
          <w:color w:val="auto"/>
          <w:lang w:val="en-US" w:eastAsia="zh-CN"/>
        </w:rPr>
        <w:t>代峨溪除</w:t>
      </w:r>
      <w:r>
        <w:rPr>
          <w:rFonts w:hint="default" w:ascii="Times New Roman" w:hAnsi="Times New Roman" w:eastAsia="宋体" w:cs="Times New Roman"/>
          <w:color w:val="auto"/>
          <w:highlight w:val="none"/>
          <w:lang w:val="en-US" w:eastAsia="zh-CN"/>
        </w:rPr>
        <w:t>总氮、总磷</w:t>
      </w:r>
      <w:r>
        <w:rPr>
          <w:rFonts w:hint="eastAsia"/>
          <w:color w:val="auto"/>
          <w:lang w:val="en-US" w:eastAsia="zh-CN"/>
        </w:rPr>
        <w:t>因子外，</w:t>
      </w:r>
      <w:r>
        <w:rPr>
          <w:rFonts w:hint="default" w:ascii="Times New Roman" w:hAnsi="Times New Roman" w:eastAsia="宋体" w:cs="Times New Roman"/>
          <w:snapToGrid/>
          <w:color w:val="auto"/>
          <w:kern w:val="2"/>
          <w:sz w:val="24"/>
          <w:szCs w:val="24"/>
          <w:lang w:val="en-US" w:eastAsia="zh-CN" w:bidi="ar-SA"/>
        </w:rPr>
        <w:t>化学需氧量、五日生化需氧量、氨氮、高锰酸盐指数、石油类</w:t>
      </w:r>
      <w:r>
        <w:rPr>
          <w:rFonts w:hint="eastAsia"/>
          <w:color w:val="auto"/>
          <w:lang w:val="en-US" w:eastAsia="zh-CN"/>
        </w:rPr>
        <w:t>因子能够满足</w:t>
      </w:r>
      <w:r>
        <w:rPr>
          <w:rFonts w:hint="default" w:ascii="Times New Roman" w:hAnsi="Times New Roman" w:eastAsia="宋体" w:cs="Times New Roman"/>
          <w:color w:val="auto"/>
          <w:spacing w:val="0"/>
          <w:w w:val="100"/>
          <w:kern w:val="0"/>
          <w:position w:val="0"/>
          <w:sz w:val="24"/>
          <w:szCs w:val="24"/>
          <w:highlight w:val="none"/>
          <w:lang w:val="en-US" w:eastAsia="zh-CN"/>
        </w:rPr>
        <w:t>《地表水环境质量标准》（GB3838-2002）中III类水域水质标准要求</w:t>
      </w:r>
      <w:r>
        <w:rPr>
          <w:rFonts w:hint="eastAsia"/>
          <w:color w:val="auto"/>
          <w:lang w:val="en-US" w:eastAsia="zh-CN"/>
        </w:rPr>
        <w:t>。</w:t>
      </w:r>
      <w:r>
        <w:rPr>
          <w:rFonts w:hint="default" w:ascii="Times New Roman" w:hAnsi="Times New Roman" w:eastAsia="宋体" w:cs="Times New Roman"/>
          <w:color w:val="auto"/>
          <w:highlight w:val="none"/>
          <w:lang w:val="en-US" w:eastAsia="zh-CN"/>
        </w:rPr>
        <w:t>总氮、总磷</w:t>
      </w:r>
      <w:r>
        <w:rPr>
          <w:rFonts w:hint="eastAsia"/>
          <w:color w:val="auto"/>
          <w:lang w:val="en-US" w:eastAsia="zh-CN"/>
        </w:rPr>
        <w:t>超标的原因为</w:t>
      </w:r>
      <w:r>
        <w:rPr>
          <w:rFonts w:hint="default" w:ascii="Times New Roman" w:hAnsi="Times New Roman" w:eastAsia="宋体" w:cs="Times New Roman"/>
          <w:color w:val="auto"/>
          <w:spacing w:val="0"/>
          <w:w w:val="100"/>
          <w:kern w:val="0"/>
          <w:position w:val="0"/>
          <w:sz w:val="24"/>
          <w:szCs w:val="24"/>
          <w:lang w:val="en-US" w:eastAsia="zh-CN"/>
        </w:rPr>
        <w:t>代峨溪</w:t>
      </w:r>
      <w:r>
        <w:rPr>
          <w:rFonts w:hint="default" w:ascii="Times New Roman" w:hAnsi="Times New Roman" w:eastAsia="宋体" w:cs="Times New Roman"/>
          <w:color w:val="auto"/>
          <w:highlight w:val="none"/>
          <w:lang w:val="en-US" w:eastAsia="zh-CN"/>
        </w:rPr>
        <w:t>周边农田分布较多，受农村面源污染影响</w:t>
      </w:r>
      <w:r>
        <w:rPr>
          <w:rFonts w:hint="eastAsia" w:ascii="Times New Roman" w:hAnsi="Times New Roman" w:eastAsia="宋体" w:cs="Times New Roman"/>
          <w:color w:val="auto"/>
          <w:highlight w:val="none"/>
          <w:lang w:val="en-US" w:eastAsia="zh-CN"/>
        </w:rPr>
        <w:t>所致</w:t>
      </w:r>
      <w:r>
        <w:rPr>
          <w:rFonts w:hint="default" w:ascii="Times New Roman" w:hAnsi="Times New Roman" w:cs="Times New Roman"/>
          <w:color w:val="auto"/>
          <w:szCs w:val="24"/>
        </w:rPr>
        <w:t>。</w:t>
      </w:r>
    </w:p>
    <w:p w14:paraId="3D5359CB">
      <w:pPr>
        <w:pStyle w:val="4"/>
        <w:numPr>
          <w:ilvl w:val="0"/>
          <w:numId w:val="0"/>
        </w:numPr>
        <w:ind w:left="720" w:leftChars="0" w:hanging="720" w:firstLineChars="0"/>
        <w:rPr>
          <w:rFonts w:hint="default" w:ascii="Times New Roman" w:hAnsi="Times New Roman" w:cs="Times New Roman"/>
          <w:color w:val="auto"/>
        </w:rPr>
      </w:pPr>
      <w:bookmarkStart w:id="168" w:name="_Toc26849"/>
      <w:r>
        <w:rPr>
          <w:rFonts w:hint="eastAsia" w:ascii="Times New Roman" w:hAnsi="Times New Roman" w:eastAsia="宋体"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.3.5</w:t>
      </w:r>
      <w:r>
        <w:rPr>
          <w:rFonts w:hint="default" w:ascii="Times New Roman" w:hAnsi="Times New Roman" w:cs="Times New Roman"/>
          <w:color w:val="auto"/>
        </w:rPr>
        <w:t>水环境调查结论</w:t>
      </w:r>
      <w:bookmarkEnd w:id="168"/>
    </w:p>
    <w:p w14:paraId="116776C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）施工期生产废水和施工人员的生活污水已妥善处理，施工期未对水环境造成较大影响。</w:t>
      </w:r>
    </w:p>
    <w:p w14:paraId="749ED265">
      <w:pPr>
        <w:pStyle w:val="24"/>
        <w:ind w:firstLine="480"/>
        <w:rPr>
          <w:rFonts w:hint="eastAsia" w:ascii="Times New Roman" w:hAnsi="Times New Roman" w:cs="Times New Roman"/>
          <w:color w:val="auto"/>
          <w:szCs w:val="24"/>
          <w:lang w:val="en-US" w:eastAsia="zh-CN"/>
        </w:rPr>
      </w:pPr>
      <w:r>
        <w:rPr>
          <w:rFonts w:hint="default" w:ascii="Times New Roman" w:hAnsi="Times New Roman" w:cs="Times New Roman"/>
          <w:color w:val="auto"/>
          <w:szCs w:val="24"/>
          <w:lang w:eastAsia="zh-CN"/>
        </w:rPr>
        <w:t>（2）</w:t>
      </w:r>
      <w:r>
        <w:rPr>
          <w:rFonts w:hint="eastAsia" w:ascii="Times New Roman" w:hAnsi="Times New Roman" w:cs="Times New Roman"/>
          <w:color w:val="auto"/>
          <w:szCs w:val="24"/>
          <w:lang w:val="en-US" w:eastAsia="zh-CN"/>
        </w:rPr>
        <w:t>排除农村</w:t>
      </w:r>
      <w:r>
        <w:rPr>
          <w:rFonts w:hint="default" w:ascii="Times New Roman" w:hAnsi="Times New Roman" w:eastAsia="宋体" w:cs="Times New Roman"/>
          <w:color w:val="auto"/>
          <w:highlight w:val="none"/>
          <w:lang w:val="en-US" w:eastAsia="zh-CN"/>
        </w:rPr>
        <w:t>面源污染影响</w:t>
      </w:r>
      <w:r>
        <w:rPr>
          <w:rFonts w:hint="eastAsia" w:ascii="Times New Roman" w:hAnsi="Times New Roman" w:eastAsia="宋体" w:cs="Times New Roman"/>
          <w:color w:val="auto"/>
          <w:highlight w:val="none"/>
          <w:lang w:val="en-US" w:eastAsia="zh-CN"/>
        </w:rPr>
        <w:t>，</w:t>
      </w:r>
      <w:r>
        <w:rPr>
          <w:rFonts w:hint="eastAsia" w:cs="Times New Roman"/>
          <w:color w:val="auto"/>
          <w:szCs w:val="24"/>
          <w:lang w:val="en-US" w:eastAsia="zh-CN"/>
        </w:rPr>
        <w:t>桥梁跨越的各</w:t>
      </w:r>
      <w:r>
        <w:rPr>
          <w:rFonts w:hint="default" w:ascii="Times New Roman" w:hAnsi="Times New Roman" w:cs="Times New Roman"/>
          <w:color w:val="auto"/>
          <w:kern w:val="0"/>
          <w:szCs w:val="24"/>
        </w:rPr>
        <w:t>地表水</w:t>
      </w:r>
      <w:r>
        <w:rPr>
          <w:rFonts w:hint="default" w:ascii="Times New Roman" w:hAnsi="Times New Roman" w:cs="Times New Roman"/>
          <w:color w:val="auto"/>
          <w:szCs w:val="24"/>
        </w:rPr>
        <w:t>水质良好</w:t>
      </w: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lang w:val="en-US" w:eastAsia="zh-CN"/>
        </w:rPr>
        <w:t>项目对地表水环境质量影响较小。</w:t>
      </w:r>
    </w:p>
    <w:p w14:paraId="720B6E9E">
      <w:pPr>
        <w:pStyle w:val="24"/>
        <w:ind w:firstLine="480"/>
        <w:rPr>
          <w:rFonts w:hint="default" w:ascii="Times New Roman" w:hAnsi="Times New Roman" w:cs="Times New Roman"/>
          <w:color w:val="auto"/>
          <w:szCs w:val="24"/>
          <w:lang w:val="en-US"/>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）根据环评及其批复的要求，</w:t>
      </w:r>
      <w:r>
        <w:rPr>
          <w:rFonts w:hint="eastAsia" w:cs="Times New Roman"/>
          <w:color w:val="auto"/>
          <w:szCs w:val="24"/>
          <w:lang w:eastAsia="zh-CN"/>
        </w:rPr>
        <w:t>拌和</w:t>
      </w:r>
      <w:r>
        <w:rPr>
          <w:rFonts w:hint="eastAsia" w:cs="Times New Roman"/>
          <w:color w:val="auto"/>
          <w:szCs w:val="24"/>
          <w:lang w:val="en-US" w:eastAsia="zh-CN"/>
        </w:rPr>
        <w:t>场和预制场生产废水经沉淀池处理后回用于生产和场界内的洒水降尘。初期雨水经沉淀池处理后回用于生产和场界内的洒水降尘。车辆冲洗废水经隔油沉淀后，用于冲洗车辆、场地洒水等。施工人员生活污水依托租用民房的污水处理设施收集后作农肥用。高速</w:t>
      </w:r>
      <w:r>
        <w:rPr>
          <w:rFonts w:hint="default" w:ascii="Times New Roman" w:hAnsi="Times New Roman" w:cs="Times New Roman"/>
          <w:color w:val="auto"/>
          <w:szCs w:val="24"/>
          <w:lang w:val="en-US"/>
        </w:rPr>
        <w:t>已运行多年，均未曾发生过饮用水安全事故，表明</w:t>
      </w:r>
      <w:r>
        <w:rPr>
          <w:rFonts w:hint="eastAsia" w:cs="Times New Roman"/>
          <w:color w:val="auto"/>
          <w:szCs w:val="24"/>
          <w:lang w:val="en-US" w:eastAsia="zh-CN"/>
        </w:rPr>
        <w:t>项目</w:t>
      </w:r>
      <w:r>
        <w:rPr>
          <w:rFonts w:hint="default" w:ascii="Times New Roman" w:hAnsi="Times New Roman" w:cs="Times New Roman"/>
          <w:color w:val="auto"/>
          <w:szCs w:val="24"/>
          <w:lang w:val="en-US"/>
        </w:rPr>
        <w:t>采取的风险防范措施有效可行，对水环境风险影响是可防可控的。</w:t>
      </w:r>
    </w:p>
    <w:p w14:paraId="0A429519">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）收费站均设置了污水处理装置。</w:t>
      </w:r>
      <w:r>
        <w:rPr>
          <w:rFonts w:hint="default" w:ascii="Times New Roman" w:hAnsi="Times New Roman" w:cs="Times New Roman"/>
          <w:color w:val="auto"/>
          <w:szCs w:val="24"/>
          <w:lang w:eastAsia="zh-CN"/>
        </w:rPr>
        <w:t>根据</w:t>
      </w:r>
      <w:r>
        <w:rPr>
          <w:rFonts w:hint="default" w:ascii="Times New Roman" w:hAnsi="Times New Roman" w:cs="Times New Roman"/>
          <w:color w:val="auto"/>
          <w:szCs w:val="24"/>
        </w:rPr>
        <w:t>监测报告，生活污水</w:t>
      </w:r>
      <w:r>
        <w:rPr>
          <w:rStyle w:val="25"/>
          <w:rFonts w:hint="default" w:ascii="Times New Roman" w:hAnsi="Times New Roman" w:cs="Times New Roman"/>
          <w:color w:val="auto"/>
          <w:szCs w:val="24"/>
        </w:rPr>
        <w:t>经处理后</w:t>
      </w:r>
      <w:r>
        <w:rPr>
          <w:rStyle w:val="25"/>
          <w:rFonts w:hint="default" w:ascii="Times New Roman" w:hAnsi="Times New Roman" w:cs="Times New Roman"/>
          <w:color w:val="auto"/>
          <w:szCs w:val="24"/>
          <w:lang w:eastAsia="zh-CN"/>
        </w:rPr>
        <w:t>满足</w:t>
      </w:r>
      <w:r>
        <w:rPr>
          <w:rStyle w:val="25"/>
          <w:rFonts w:hint="eastAsia" w:cs="Times New Roman"/>
          <w:color w:val="auto"/>
          <w:szCs w:val="24"/>
          <w:lang w:eastAsia="zh-CN"/>
        </w:rPr>
        <w:t>《城市污水再生利用 城市杂用水水质》（GB/T18920-2020）</w:t>
      </w:r>
      <w:r>
        <w:rPr>
          <w:rStyle w:val="25"/>
          <w:rFonts w:hint="default" w:ascii="Times New Roman" w:hAnsi="Times New Roman" w:cs="Times New Roman"/>
          <w:color w:val="auto"/>
          <w:szCs w:val="24"/>
        </w:rPr>
        <w:t>中相应标准，用于绿化，不外排</w:t>
      </w:r>
      <w:r>
        <w:rPr>
          <w:rFonts w:hint="default" w:ascii="Times New Roman" w:hAnsi="Times New Roman" w:cs="Times New Roman"/>
          <w:color w:val="auto"/>
          <w:szCs w:val="24"/>
        </w:rPr>
        <w:t>。</w:t>
      </w:r>
    </w:p>
    <w:p w14:paraId="598405F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综上，本次竣工验收调查认为，本项目施工期和试营运期</w:t>
      </w:r>
      <w:r>
        <w:rPr>
          <w:rFonts w:hint="default" w:ascii="Times New Roman" w:hAnsi="Times New Roman" w:cs="Times New Roman"/>
          <w:color w:val="auto"/>
          <w:szCs w:val="24"/>
          <w:lang w:eastAsia="zh-CN"/>
        </w:rPr>
        <w:t>水环境</w:t>
      </w:r>
      <w:r>
        <w:rPr>
          <w:rFonts w:hint="default" w:ascii="Times New Roman" w:hAnsi="Times New Roman" w:cs="Times New Roman"/>
          <w:color w:val="auto"/>
          <w:szCs w:val="24"/>
        </w:rPr>
        <w:t>相关治理措施有效，未造成污染现象和环保纠纷，满足竣工验收要求。</w:t>
      </w:r>
    </w:p>
    <w:p w14:paraId="636CCC77">
      <w:pPr>
        <w:pStyle w:val="4"/>
        <w:numPr>
          <w:ilvl w:val="0"/>
          <w:numId w:val="0"/>
        </w:numPr>
        <w:ind w:left="720" w:leftChars="0" w:hanging="720" w:firstLineChars="0"/>
        <w:rPr>
          <w:rFonts w:hint="default" w:ascii="Times New Roman" w:hAnsi="Times New Roman" w:cs="Times New Roman"/>
          <w:color w:val="auto"/>
        </w:rPr>
      </w:pPr>
      <w:bookmarkStart w:id="169" w:name="_Toc9301"/>
      <w:r>
        <w:rPr>
          <w:rFonts w:hint="eastAsia" w:ascii="Times New Roman" w:hAnsi="Times New Roman" w:eastAsia="宋体"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.3.6</w:t>
      </w:r>
      <w:r>
        <w:rPr>
          <w:rFonts w:hint="default" w:ascii="Times New Roman" w:hAnsi="Times New Roman" w:cs="Times New Roman"/>
          <w:color w:val="auto"/>
        </w:rPr>
        <w:t>建议</w:t>
      </w:r>
      <w:bookmarkEnd w:id="169"/>
    </w:p>
    <w:p w14:paraId="0AA5D4E1">
      <w:pPr>
        <w:widowControl/>
        <w:ind w:firstLine="480"/>
        <w:jc w:val="left"/>
        <w:rPr>
          <w:rFonts w:hint="default" w:ascii="Times New Roman" w:hAnsi="Times New Roman" w:cs="Times New Roman"/>
          <w:color w:val="auto"/>
          <w:szCs w:val="24"/>
        </w:rPr>
      </w:pPr>
      <w:r>
        <w:rPr>
          <w:rFonts w:hint="default" w:ascii="Times New Roman" w:hAnsi="Times New Roman" w:cs="Times New Roman"/>
          <w:color w:val="auto"/>
          <w:kern w:val="0"/>
          <w:szCs w:val="24"/>
          <w:lang w:bidi="ar"/>
        </w:rPr>
        <w:t>（1）建设单位应加强对污水处理设备的维护，</w:t>
      </w:r>
      <w:r>
        <w:rPr>
          <w:rFonts w:hint="default" w:ascii="Times New Roman" w:hAnsi="Times New Roman" w:cs="Times New Roman"/>
          <w:color w:val="auto"/>
          <w:szCs w:val="24"/>
        </w:rPr>
        <w:t>并安排专职人员负责设备日常管理运行，定期委托有资质的单位对出水水质进行监测，做好日常管理台账，确保出水达标。</w:t>
      </w:r>
    </w:p>
    <w:p w14:paraId="464E0A98">
      <w:pPr>
        <w:widowControl/>
        <w:ind w:firstLine="480"/>
        <w:jc w:val="left"/>
        <w:rPr>
          <w:rFonts w:hint="default" w:ascii="Times New Roman" w:hAnsi="Times New Roman" w:cs="Times New Roman"/>
          <w:color w:val="auto"/>
          <w:kern w:val="0"/>
          <w:szCs w:val="24"/>
          <w:lang w:bidi="ar"/>
        </w:rPr>
      </w:pPr>
      <w:r>
        <w:rPr>
          <w:rFonts w:hint="default" w:ascii="Times New Roman" w:hAnsi="Times New Roman" w:cs="Times New Roman"/>
          <w:color w:val="auto"/>
          <w:kern w:val="0"/>
          <w:szCs w:val="24"/>
          <w:lang w:bidi="ar"/>
        </w:rPr>
        <w:t>（2）应加强</w:t>
      </w:r>
      <w:r>
        <w:rPr>
          <w:rFonts w:hint="eastAsia" w:ascii="Times New Roman" w:hAnsi="Times New Roman" w:cs="Times New Roman"/>
          <w:color w:val="auto"/>
          <w:kern w:val="0"/>
          <w:szCs w:val="24"/>
          <w:lang w:val="en-US" w:eastAsia="zh-CN" w:bidi="ar"/>
        </w:rPr>
        <w:t>排水设施</w:t>
      </w:r>
      <w:r>
        <w:rPr>
          <w:rFonts w:hint="default" w:ascii="Times New Roman" w:hAnsi="Times New Roman" w:cs="Times New Roman"/>
          <w:color w:val="auto"/>
          <w:kern w:val="0"/>
          <w:szCs w:val="24"/>
          <w:lang w:bidi="ar"/>
        </w:rPr>
        <w:t>的日常管理，加强巡检，严禁随意往</w:t>
      </w:r>
      <w:r>
        <w:rPr>
          <w:rFonts w:hint="eastAsia" w:ascii="Times New Roman" w:hAnsi="Times New Roman" w:cs="Times New Roman"/>
          <w:color w:val="auto"/>
          <w:kern w:val="0"/>
          <w:szCs w:val="24"/>
          <w:lang w:val="en-US" w:eastAsia="zh-CN" w:bidi="ar"/>
        </w:rPr>
        <w:t>沿线排水设施</w:t>
      </w:r>
      <w:r>
        <w:rPr>
          <w:rFonts w:hint="default" w:ascii="Times New Roman" w:hAnsi="Times New Roman" w:cs="Times New Roman"/>
          <w:color w:val="auto"/>
          <w:kern w:val="0"/>
          <w:szCs w:val="24"/>
          <w:lang w:bidi="ar"/>
        </w:rPr>
        <w:t>排放、倾倒废水、废渣、生活垃圾和</w:t>
      </w:r>
      <w:r>
        <w:rPr>
          <w:rFonts w:hint="eastAsia" w:cs="Times New Roman"/>
          <w:color w:val="auto"/>
          <w:kern w:val="0"/>
          <w:szCs w:val="24"/>
          <w:lang w:eastAsia="zh-CN" w:bidi="ar"/>
        </w:rPr>
        <w:t>其他废弃物</w:t>
      </w:r>
      <w:r>
        <w:rPr>
          <w:rFonts w:hint="default" w:ascii="Times New Roman" w:hAnsi="Times New Roman" w:cs="Times New Roman"/>
          <w:color w:val="auto"/>
          <w:kern w:val="0"/>
          <w:szCs w:val="24"/>
          <w:lang w:bidi="ar"/>
        </w:rPr>
        <w:t>。</w:t>
      </w:r>
    </w:p>
    <w:p w14:paraId="60C8C470">
      <w:pPr>
        <w:widowControl/>
        <w:ind w:firstLine="480"/>
        <w:jc w:val="left"/>
        <w:rPr>
          <w:rFonts w:hint="default" w:ascii="Times New Roman" w:hAnsi="Times New Roman" w:cs="Times New Roman"/>
          <w:color w:val="auto"/>
          <w:kern w:val="0"/>
          <w:szCs w:val="24"/>
          <w:lang w:bidi="ar"/>
        </w:rPr>
      </w:pPr>
      <w:r>
        <w:rPr>
          <w:rFonts w:hint="default" w:ascii="Times New Roman" w:hAnsi="Times New Roman" w:cs="Times New Roman"/>
          <w:color w:val="auto"/>
          <w:kern w:val="0"/>
          <w:szCs w:val="24"/>
          <w:lang w:bidi="ar"/>
        </w:rPr>
        <w:t>（3）加强</w:t>
      </w:r>
      <w:r>
        <w:rPr>
          <w:rFonts w:hint="eastAsia" w:ascii="Times New Roman" w:hAnsi="Times New Roman" w:cs="Times New Roman"/>
          <w:color w:val="auto"/>
          <w:kern w:val="0"/>
          <w:szCs w:val="24"/>
          <w:lang w:val="en-US" w:eastAsia="zh-CN" w:bidi="ar"/>
        </w:rPr>
        <w:t>沿线排水设施</w:t>
      </w:r>
      <w:r>
        <w:rPr>
          <w:rFonts w:hint="default" w:ascii="Times New Roman" w:hAnsi="Times New Roman" w:cs="Times New Roman"/>
          <w:color w:val="auto"/>
          <w:kern w:val="0"/>
          <w:szCs w:val="24"/>
          <w:lang w:bidi="ar"/>
        </w:rPr>
        <w:t>路段巡查，定期组织应急演练。</w:t>
      </w:r>
    </w:p>
    <w:p w14:paraId="4C1FF414">
      <w:pPr>
        <w:widowControl/>
        <w:ind w:firstLine="480"/>
        <w:jc w:val="left"/>
        <w:rPr>
          <w:rFonts w:hint="default" w:ascii="Times New Roman" w:hAnsi="Times New Roman" w:cs="Times New Roman"/>
          <w:color w:val="auto"/>
          <w:kern w:val="0"/>
          <w:szCs w:val="24"/>
          <w:lang w:bidi="ar"/>
        </w:rPr>
        <w:sectPr>
          <w:pgSz w:w="11906" w:h="16838"/>
          <w:pgMar w:top="1440" w:right="1803" w:bottom="1440" w:left="1803" w:header="851" w:footer="992" w:gutter="0"/>
          <w:pgBorders>
            <w:top w:val="none" w:sz="0" w:space="0"/>
            <w:left w:val="none" w:sz="0" w:space="0"/>
            <w:bottom w:val="none" w:sz="0" w:space="0"/>
            <w:right w:val="none" w:sz="0" w:space="0"/>
          </w:pgBorders>
          <w:cols w:space="720" w:num="1"/>
          <w:docGrid w:linePitch="312" w:charSpace="0"/>
        </w:sectPr>
      </w:pPr>
    </w:p>
    <w:p w14:paraId="722B7344">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default" w:ascii="Times New Roman" w:hAnsi="Times New Roman" w:eastAsia="宋体" w:cs="Times New Roman"/>
          <w:color w:val="auto"/>
          <w:sz w:val="36"/>
          <w:szCs w:val="36"/>
          <w:lang w:val="en-US" w:eastAsia="zh-CN"/>
        </w:rPr>
      </w:pPr>
      <w:bookmarkStart w:id="170" w:name="_Toc36"/>
      <w:r>
        <w:rPr>
          <w:rFonts w:hint="eastAsia" w:ascii="Times New Roman" w:hAnsi="Times New Roman" w:eastAsia="宋体" w:cs="Times New Roman"/>
          <w:color w:val="auto"/>
          <w:sz w:val="36"/>
          <w:szCs w:val="36"/>
          <w:lang w:val="en-US" w:eastAsia="zh-CN"/>
        </w:rPr>
        <w:t>9</w:t>
      </w:r>
      <w:r>
        <w:rPr>
          <w:rFonts w:hint="default" w:ascii="Times New Roman" w:hAnsi="Times New Roman" w:eastAsia="宋体" w:cs="Times New Roman"/>
          <w:color w:val="auto"/>
          <w:sz w:val="36"/>
          <w:szCs w:val="36"/>
          <w:lang w:val="en-US" w:eastAsia="zh-CN"/>
        </w:rPr>
        <w:t xml:space="preserve"> 固体废物影响调查​</w:t>
      </w:r>
      <w:bookmarkEnd w:id="170"/>
    </w:p>
    <w:p w14:paraId="46F33D9B">
      <w:pPr>
        <w:pStyle w:val="3"/>
        <w:numPr>
          <w:ilvl w:val="0"/>
          <w:numId w:val="0"/>
        </w:numPr>
        <w:ind w:left="578" w:leftChars="0" w:hanging="578" w:firstLineChars="0"/>
        <w:rPr>
          <w:rFonts w:hint="default" w:ascii="Times New Roman" w:hAnsi="Times New Roman" w:cs="Times New Roman"/>
          <w:color w:val="auto"/>
        </w:rPr>
      </w:pPr>
      <w:bookmarkStart w:id="171" w:name="_Toc1861"/>
      <w:bookmarkStart w:id="172" w:name="_Toc21710"/>
      <w:r>
        <w:rPr>
          <w:rFonts w:hint="eastAsia" w:ascii="Times New Roman" w:hAnsi="Times New Roman" w:cs="Times New Roman"/>
          <w:b/>
          <w:bCs/>
          <w:color w:val="auto"/>
          <w:kern w:val="2"/>
          <w:sz w:val="32"/>
          <w:szCs w:val="32"/>
          <w:lang w:val="en-US" w:eastAsia="zh-CN" w:bidi="ar-SA"/>
        </w:rPr>
        <w:t>9.1</w:t>
      </w:r>
      <w:r>
        <w:rPr>
          <w:rFonts w:hint="default" w:ascii="Times New Roman" w:hAnsi="Times New Roman" w:cs="Times New Roman"/>
          <w:color w:val="auto"/>
        </w:rPr>
        <w:t>施工期固体废物处置情况</w:t>
      </w:r>
      <w:bookmarkEnd w:id="171"/>
      <w:bookmarkEnd w:id="172"/>
    </w:p>
    <w:p w14:paraId="5EAD8024">
      <w:pPr>
        <w:ind w:firstLine="480"/>
        <w:rPr>
          <w:rFonts w:hint="eastAsia" w:cs="Times New Roman"/>
          <w:color w:val="auto"/>
          <w:szCs w:val="24"/>
          <w:lang w:eastAsia="zh-CN"/>
        </w:rPr>
      </w:pPr>
      <w:r>
        <w:rPr>
          <w:rFonts w:hint="eastAsia" w:cs="Times New Roman"/>
          <w:color w:val="auto"/>
          <w:szCs w:val="24"/>
          <w:lang w:eastAsia="zh-CN"/>
        </w:rPr>
        <w:t>四川广安绕城高速公路有限责任公司投资建设的广安市过境高速公路东环线及渝广高速支线项目（重庆合川段），施工期产生的固体废物主要包括以下两类：</w:t>
      </w:r>
    </w:p>
    <w:p w14:paraId="43786026">
      <w:pPr>
        <w:ind w:firstLine="480"/>
        <w:rPr>
          <w:rFonts w:hint="eastAsia" w:cs="Times New Roman"/>
          <w:color w:val="auto"/>
          <w:szCs w:val="24"/>
          <w:lang w:eastAsia="zh-CN"/>
        </w:rPr>
      </w:pPr>
      <w:r>
        <w:rPr>
          <w:rFonts w:hint="eastAsia" w:cs="Times New Roman"/>
          <w:color w:val="auto"/>
          <w:szCs w:val="24"/>
          <w:lang w:eastAsia="zh-CN"/>
        </w:rPr>
        <w:t>一是路基施工过程中产生的弃土、弃石，主要分布于公路沿线两侧，尤其集中于高填、深挖路段；</w:t>
      </w:r>
    </w:p>
    <w:p w14:paraId="4024A1EE">
      <w:pPr>
        <w:ind w:firstLine="480"/>
        <w:rPr>
          <w:rFonts w:hint="eastAsia" w:cs="Times New Roman"/>
          <w:color w:val="auto"/>
          <w:szCs w:val="24"/>
          <w:lang w:eastAsia="zh-CN"/>
        </w:rPr>
      </w:pPr>
      <w:r>
        <w:rPr>
          <w:rFonts w:hint="eastAsia" w:cs="Times New Roman"/>
          <w:color w:val="auto"/>
          <w:szCs w:val="24"/>
          <w:lang w:eastAsia="zh-CN"/>
        </w:rPr>
        <w:t>二是施工区各类垃圾，包括废弃建材、包装材料及施工人员生活垃圾等，多见于堆场、施工营地、拌和站等临时占地区域，以及立交、桥梁等构筑物周边。</w:t>
      </w:r>
    </w:p>
    <w:p w14:paraId="52468AA5">
      <w:pPr>
        <w:ind w:firstLine="480"/>
        <w:rPr>
          <w:rFonts w:hint="eastAsia" w:cs="Times New Roman"/>
          <w:color w:val="auto"/>
          <w:szCs w:val="24"/>
          <w:lang w:eastAsia="zh-CN"/>
        </w:rPr>
      </w:pPr>
      <w:r>
        <w:rPr>
          <w:rFonts w:hint="eastAsia" w:cs="Times New Roman"/>
          <w:color w:val="auto"/>
          <w:szCs w:val="24"/>
          <w:lang w:eastAsia="zh-CN"/>
        </w:rPr>
        <w:t>针对工程弃土弃渣，建设方在公路沿线共布设了5处弃渣场，施工期间将所有土石弃渣、淤泥等统一运至指定渣场集中堆存。弃渣场底部设有浆砌石挡墙护脚，堆渣坡面采用浆砌石或干砌石护坡。施工结束后，严格按照水土保持要求实施工程与植物措施，对渣场边坡及顶面进行整治与绿化。根据调阅资料及现场勘查结果，各弃渣场坡面与顶部植被目前长势良好，绿化效果满足水保要求。</w:t>
      </w:r>
    </w:p>
    <w:p w14:paraId="56E4E681">
      <w:pPr>
        <w:ind w:firstLine="480"/>
        <w:rPr>
          <w:rFonts w:hint="default" w:ascii="Times New Roman" w:hAnsi="Times New Roman" w:cs="Times New Roman"/>
          <w:color w:val="auto"/>
          <w:szCs w:val="24"/>
        </w:rPr>
      </w:pPr>
      <w:r>
        <w:rPr>
          <w:rFonts w:hint="eastAsia" w:cs="Times New Roman"/>
          <w:color w:val="auto"/>
          <w:szCs w:val="24"/>
          <w:lang w:eastAsia="zh-CN"/>
        </w:rPr>
        <w:t>施工驻地生活垃圾实行分类收集、贮存，并遵循建设单位及当地环卫部门的管理规定，使用专用车辆清运至指定垃圾处理场所，未出现随意丢弃或堆放现象，施工期固体废物均得到有效处置，未对周边环境造成影响。</w:t>
      </w:r>
    </w:p>
    <w:p w14:paraId="7D31855F">
      <w:pPr>
        <w:pStyle w:val="3"/>
        <w:numPr>
          <w:ilvl w:val="0"/>
          <w:numId w:val="0"/>
        </w:numPr>
        <w:ind w:left="578" w:leftChars="0" w:hanging="578" w:firstLineChars="0"/>
        <w:rPr>
          <w:rFonts w:hint="default" w:ascii="Times New Roman" w:hAnsi="Times New Roman" w:cs="Times New Roman"/>
          <w:color w:val="auto"/>
        </w:rPr>
      </w:pPr>
      <w:bookmarkStart w:id="173" w:name="_Toc8743"/>
      <w:bookmarkStart w:id="174" w:name="_Toc24939"/>
      <w:bookmarkStart w:id="175" w:name="_Toc6882"/>
      <w:r>
        <w:rPr>
          <w:rFonts w:hint="eastAsia" w:ascii="Times New Roman" w:hAnsi="Times New Roman" w:cs="Times New Roman"/>
          <w:b/>
          <w:bCs/>
          <w:color w:val="auto"/>
          <w:kern w:val="2"/>
          <w:sz w:val="32"/>
          <w:szCs w:val="32"/>
          <w:lang w:val="en-US" w:eastAsia="zh-CN" w:bidi="ar-SA"/>
        </w:rPr>
        <w:t>9.2</w:t>
      </w:r>
      <w:r>
        <w:rPr>
          <w:rFonts w:hint="default" w:ascii="Times New Roman" w:hAnsi="Times New Roman" w:cs="Times New Roman"/>
          <w:color w:val="auto"/>
        </w:rPr>
        <w:t>运营期固体废物处置调查</w:t>
      </w:r>
      <w:bookmarkEnd w:id="173"/>
      <w:bookmarkEnd w:id="174"/>
      <w:bookmarkEnd w:id="175"/>
    </w:p>
    <w:p w14:paraId="27CB3725">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营运期固体废物主要包括收费站等附属设施工作人员产生的生活垃圾，经袋装收集后交由附近乡镇环卫部门统一清运处理。</w:t>
      </w:r>
    </w:p>
    <w:p w14:paraId="7CC7AB51">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此外，车辆行驶中携带的泥沙、货物撒落物以及司乘人员丢弃的垃圾，若未得到妥善处置，可能对沿线景观、空气环境造成影响，甚至存在传播疾病、危害人体健康的风险。</w:t>
      </w:r>
    </w:p>
    <w:p w14:paraId="01E271E0">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为此，项目单位已按照环保及相关管理要求，在道路沿线规范设置了一定数量的垃圾桶，对各类固体废弃物进行分类收集，并由属地环卫部门定期统一清运，确保废弃物得到有序处置。</w:t>
      </w:r>
    </w:p>
    <w:p w14:paraId="07AFE7A8">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收费站生活垃圾收集设施如下。</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3A5D1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38928C0">
            <w:pPr>
              <w:pStyle w:val="24"/>
              <w:ind w:left="0" w:leftChars="0" w:firstLine="0" w:firstLineChars="0"/>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drawing>
                <wp:inline distT="0" distB="0" distL="114300" distR="114300">
                  <wp:extent cx="5265420" cy="2962910"/>
                  <wp:effectExtent l="0" t="0" r="11430" b="8890"/>
                  <wp:docPr id="65" name="图片 65" descr="32e274f1-a770-46b2-a8b8-b0028f73d6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2e274f1-a770-46b2-a8b8-b0028f73d6c2"/>
                          <pic:cNvPicPr>
                            <a:picLocks noChangeAspect="1"/>
                          </pic:cNvPicPr>
                        </pic:nvPicPr>
                        <pic:blipFill>
                          <a:blip r:embed="rId68"/>
                          <a:stretch>
                            <a:fillRect/>
                          </a:stretch>
                        </pic:blipFill>
                        <pic:spPr>
                          <a:xfrm>
                            <a:off x="0" y="0"/>
                            <a:ext cx="5265420" cy="2962910"/>
                          </a:xfrm>
                          <a:prstGeom prst="rect">
                            <a:avLst/>
                          </a:prstGeom>
                        </pic:spPr>
                      </pic:pic>
                    </a:graphicData>
                  </a:graphic>
                </wp:inline>
              </w:drawing>
            </w:r>
          </w:p>
        </w:tc>
      </w:tr>
      <w:tr w14:paraId="3159C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29344E2">
            <w:pPr>
              <w:pStyle w:val="24"/>
              <w:ind w:left="0" w:leftChars="0" w:firstLine="0" w:firstLineChars="0"/>
              <w:jc w:val="center"/>
              <w:rPr>
                <w:rFonts w:hint="default" w:ascii="Times New Roman" w:hAnsi="Times New Roman" w:eastAsia="宋体" w:cs="Times New Roman"/>
                <w:color w:val="auto"/>
                <w:vertAlign w:val="baseline"/>
                <w:lang w:val="en-US" w:eastAsia="zh-CN"/>
              </w:rPr>
            </w:pPr>
            <w:r>
              <w:rPr>
                <w:rFonts w:hint="eastAsia" w:ascii="Times New Roman" w:hAnsi="Times New Roman" w:eastAsia="宋体" w:cs="Times New Roman"/>
                <w:color w:val="auto"/>
                <w:vertAlign w:val="baseline"/>
                <w:lang w:val="en-US" w:eastAsia="zh-CN"/>
              </w:rPr>
              <w:t xml:space="preserve">图9.1-1 </w:t>
            </w:r>
            <w:r>
              <w:rPr>
                <w:rFonts w:hint="eastAsia" w:cs="Times New Roman"/>
                <w:color w:val="auto"/>
                <w:lang w:val="en-US" w:eastAsia="zh-CN"/>
              </w:rPr>
              <w:t>小沔收费站垃圾堆放处</w:t>
            </w:r>
          </w:p>
        </w:tc>
      </w:tr>
    </w:tbl>
    <w:p w14:paraId="6794231E">
      <w:pPr>
        <w:pStyle w:val="3"/>
        <w:numPr>
          <w:ilvl w:val="0"/>
          <w:numId w:val="0"/>
        </w:numPr>
        <w:ind w:left="578" w:leftChars="0" w:hanging="578" w:firstLineChars="0"/>
        <w:rPr>
          <w:rFonts w:hint="default" w:ascii="Times New Roman" w:hAnsi="Times New Roman" w:cs="Times New Roman"/>
          <w:color w:val="auto"/>
        </w:rPr>
      </w:pPr>
      <w:bookmarkStart w:id="176" w:name="_Toc17044"/>
      <w:bookmarkStart w:id="177" w:name="_Toc27362"/>
      <w:r>
        <w:rPr>
          <w:rFonts w:hint="eastAsia" w:ascii="Times New Roman" w:hAnsi="Times New Roman" w:cs="Times New Roman"/>
          <w:b/>
          <w:bCs/>
          <w:color w:val="auto"/>
          <w:kern w:val="2"/>
          <w:sz w:val="32"/>
          <w:szCs w:val="32"/>
          <w:lang w:val="en-US" w:eastAsia="zh-CN" w:bidi="ar-SA"/>
        </w:rPr>
        <w:t>9.3</w:t>
      </w:r>
      <w:r>
        <w:rPr>
          <w:rFonts w:hint="default" w:ascii="Times New Roman" w:hAnsi="Times New Roman" w:cs="Times New Roman"/>
          <w:color w:val="auto"/>
        </w:rPr>
        <w:t>小结</w:t>
      </w:r>
      <w:bookmarkEnd w:id="176"/>
      <w:bookmarkEnd w:id="177"/>
    </w:p>
    <w:p w14:paraId="1E6B026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根据本次竣工验收现场踏勘及公众意见调查结果，项目施工期产生的生活垃圾经集中收集后，统一交由当地环卫部门清运处置，建筑垃圾则尽最大可能回收利用。进入运营期后，沿线各附属设施均设有垃圾收集容器，并由公路养护部门负责定期清扫路面垃圾，所有垃圾集中收集后均移交属地环卫部门处理。竣工验收调查认为，本项目施工期和运营期所采取的固体废弃物处理处置措施落实有效，未造成环境污染，也未引发相关环保纠纷，符合建设项目竣工环境保护验收要求。</w:t>
      </w:r>
    </w:p>
    <w:p w14:paraId="4C6C30BC">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br w:type="page"/>
      </w:r>
    </w:p>
    <w:p w14:paraId="0F543442">
      <w:pPr>
        <w:pStyle w:val="2"/>
        <w:pageBreakBefore w:val="0"/>
        <w:widowControl w:val="0"/>
        <w:numPr>
          <w:ilvl w:val="1"/>
          <w:numId w:val="0"/>
        </w:numPr>
        <w:kinsoku/>
        <w:wordWrap/>
        <w:overflowPunct/>
        <w:topLinePunct w:val="0"/>
        <w:autoSpaceDE/>
        <w:autoSpaceDN/>
        <w:bidi w:val="0"/>
        <w:adjustRightInd w:val="0"/>
        <w:snapToGrid w:val="0"/>
        <w:spacing w:before="0" w:beforeLines="0" w:after="0" w:afterLines="0"/>
        <w:ind w:left="578" w:leftChars="0" w:hanging="578" w:firstLineChars="0"/>
        <w:textAlignment w:val="auto"/>
        <w:rPr>
          <w:rFonts w:hint="default" w:ascii="Times New Roman" w:hAnsi="Times New Roman" w:eastAsia="宋体" w:cs="Times New Roman"/>
          <w:color w:val="auto"/>
          <w:sz w:val="36"/>
          <w:szCs w:val="36"/>
          <w:lang w:val="en-US" w:eastAsia="zh-CN"/>
        </w:rPr>
      </w:pPr>
      <w:bookmarkStart w:id="178" w:name="_Toc1533"/>
      <w:bookmarkStart w:id="179" w:name="_Toc5900"/>
      <w:r>
        <w:rPr>
          <w:rFonts w:hint="eastAsia" w:ascii="Times New Roman" w:hAnsi="Times New Roman" w:eastAsia="宋体" w:cs="Times New Roman"/>
          <w:color w:val="auto"/>
          <w:sz w:val="36"/>
          <w:szCs w:val="36"/>
          <w:lang w:val="en-US" w:eastAsia="zh-CN"/>
        </w:rPr>
        <w:t>10</w:t>
      </w:r>
      <w:r>
        <w:rPr>
          <w:rFonts w:hint="default" w:ascii="Times New Roman" w:hAnsi="Times New Roman" w:eastAsia="宋体" w:cs="Times New Roman"/>
          <w:color w:val="auto"/>
          <w:sz w:val="36"/>
          <w:szCs w:val="36"/>
          <w:lang w:val="en-US" w:eastAsia="zh-CN"/>
        </w:rPr>
        <w:t>其他环境影响调查</w:t>
      </w:r>
      <w:bookmarkEnd w:id="178"/>
      <w:bookmarkEnd w:id="179"/>
    </w:p>
    <w:p w14:paraId="6BD674C3">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80" w:name="_Toc19190"/>
      <w:bookmarkStart w:id="181" w:name="_Toc20602"/>
      <w:r>
        <w:rPr>
          <w:rFonts w:hint="eastAsia" w:ascii="Times New Roman" w:hAnsi="Times New Roman" w:eastAsia="宋体" w:cs="Times New Roman"/>
          <w:b/>
          <w:bCs/>
          <w:color w:val="auto"/>
          <w:kern w:val="2"/>
          <w:sz w:val="32"/>
          <w:szCs w:val="32"/>
          <w:lang w:val="en-US" w:eastAsia="zh-CN" w:bidi="ar-SA"/>
        </w:rPr>
        <w:t>10.1</w:t>
      </w:r>
      <w:bookmarkEnd w:id="180"/>
      <w:r>
        <w:rPr>
          <w:rFonts w:hint="default" w:ascii="Times New Roman" w:hAnsi="Times New Roman" w:eastAsia="宋体" w:cs="Times New Roman"/>
          <w:b/>
          <w:bCs/>
          <w:color w:val="auto"/>
          <w:kern w:val="2"/>
          <w:sz w:val="32"/>
          <w:szCs w:val="32"/>
          <w:lang w:val="en-US" w:eastAsia="zh-CN" w:bidi="ar-SA"/>
        </w:rPr>
        <w:t>对区域城镇建设及路网建设的影响</w:t>
      </w:r>
      <w:bookmarkEnd w:id="181"/>
    </w:p>
    <w:p w14:paraId="2D3AA237">
      <w:pPr>
        <w:pStyle w:val="24"/>
        <w:ind w:firstLine="480"/>
        <w:rPr>
          <w:rFonts w:hint="default" w:ascii="Times New Roman" w:hAnsi="Times New Roman" w:cs="Times New Roman"/>
          <w:color w:val="auto"/>
        </w:rPr>
      </w:pPr>
      <w:r>
        <w:rPr>
          <w:rFonts w:hint="default" w:ascii="Times New Roman" w:hAnsi="Times New Roman" w:cs="Times New Roman"/>
          <w:color w:val="auto"/>
        </w:rPr>
        <w:t>项目路线起于合川区三汇镇斑竹院子（川渝界），经桂花村、响水村、大田村、斑竹村，止于小沔镇石窝村，设小沔枢纽互通与渝广高速相接。</w:t>
      </w:r>
    </w:p>
    <w:p w14:paraId="011F1B03">
      <w:pPr>
        <w:pStyle w:val="24"/>
        <w:ind w:firstLine="480"/>
        <w:rPr>
          <w:rFonts w:hint="default" w:ascii="Times New Roman" w:hAnsi="Times New Roman" w:cs="Times New Roman"/>
          <w:color w:val="auto"/>
        </w:rPr>
      </w:pPr>
      <w:r>
        <w:rPr>
          <w:rFonts w:hint="default" w:ascii="Times New Roman" w:hAnsi="Times New Roman" w:cs="Times New Roman"/>
          <w:color w:val="auto"/>
        </w:rPr>
        <w:t>项目线路已避让三汇镇、小沔镇建成区，符合《合川区国土空间规划（2021-2035年）》的交通基础设施布局要求。</w:t>
      </w:r>
    </w:p>
    <w:p w14:paraId="0B6600F3">
      <w:pPr>
        <w:pStyle w:val="24"/>
        <w:ind w:firstLine="480"/>
        <w:rPr>
          <w:rFonts w:hint="default" w:ascii="Times New Roman" w:hAnsi="Times New Roman" w:cs="Times New Roman"/>
          <w:color w:val="auto"/>
        </w:rPr>
      </w:pPr>
      <w:r>
        <w:rPr>
          <w:rFonts w:hint="default" w:ascii="Times New Roman" w:hAnsi="Times New Roman" w:cs="Times New Roman"/>
          <w:color w:val="auto"/>
        </w:rPr>
        <w:t>小沔枢纽互通可实现与渝广高速的快速转换，提升区域路网效率；项目建成后将缓解G85渝广高速局部段交通压力。</w:t>
      </w:r>
    </w:p>
    <w:p w14:paraId="59425C8F">
      <w:pPr>
        <w:pStyle w:val="24"/>
        <w:ind w:firstLine="480"/>
        <w:rPr>
          <w:rFonts w:hint="default" w:ascii="Times New Roman" w:hAnsi="Times New Roman" w:cs="Times New Roman"/>
          <w:color w:val="auto"/>
          <w:szCs w:val="24"/>
        </w:rPr>
      </w:pPr>
      <w:r>
        <w:rPr>
          <w:rFonts w:hint="default" w:ascii="Times New Roman" w:hAnsi="Times New Roman" w:cs="Times New Roman"/>
          <w:color w:val="auto"/>
        </w:rPr>
        <w:t>施工便道、预制场等临时设施均位于征地红线内，不占用基本农田，施工结束后进行生态恢复。</w:t>
      </w:r>
    </w:p>
    <w:p w14:paraId="6E9BD879">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82" w:name="_Toc27272"/>
      <w:bookmarkStart w:id="183" w:name="_Toc4017"/>
      <w:r>
        <w:rPr>
          <w:rFonts w:hint="eastAsia" w:ascii="Times New Roman" w:hAnsi="Times New Roman" w:eastAsia="宋体" w:cs="Times New Roman"/>
          <w:b/>
          <w:bCs/>
          <w:color w:val="auto"/>
          <w:kern w:val="2"/>
          <w:sz w:val="32"/>
          <w:szCs w:val="32"/>
          <w:lang w:val="en-US" w:eastAsia="zh-CN" w:bidi="ar-SA"/>
        </w:rPr>
        <w:t>10.2</w:t>
      </w:r>
      <w:r>
        <w:rPr>
          <w:rFonts w:hint="default" w:ascii="Times New Roman" w:hAnsi="Times New Roman" w:eastAsia="宋体" w:cs="Times New Roman"/>
          <w:b/>
          <w:bCs/>
          <w:color w:val="auto"/>
          <w:kern w:val="2"/>
          <w:sz w:val="32"/>
          <w:szCs w:val="32"/>
          <w:lang w:val="en-US" w:eastAsia="zh-CN" w:bidi="ar-SA"/>
        </w:rPr>
        <w:t>文物保护情况影响调查</w:t>
      </w:r>
      <w:bookmarkEnd w:id="182"/>
      <w:bookmarkEnd w:id="183"/>
    </w:p>
    <w:p w14:paraId="1EF39815">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项目路线范围内未发现已登记的地下文物埋藏区或地面文物保护单位</w:t>
      </w:r>
      <w:r>
        <w:rPr>
          <w:rFonts w:hint="eastAsia" w:cs="Times New Roman"/>
          <w:color w:val="auto"/>
          <w:szCs w:val="24"/>
          <w:lang w:eastAsia="zh-CN"/>
        </w:rPr>
        <w:t>；项目线路已避让三汇镇、小沔镇场镇内的历史建筑集中区</w:t>
      </w:r>
      <w:r>
        <w:rPr>
          <w:rFonts w:hint="default" w:ascii="Times New Roman" w:hAnsi="Times New Roman" w:cs="Times New Roman"/>
          <w:color w:val="auto"/>
          <w:szCs w:val="24"/>
        </w:rPr>
        <w:t>。</w:t>
      </w:r>
    </w:p>
    <w:p w14:paraId="6848AB4F">
      <w:pPr>
        <w:pStyle w:val="3"/>
        <w:numPr>
          <w:ilvl w:val="1"/>
          <w:numId w:val="0"/>
        </w:numPr>
        <w:ind w:left="578" w:leftChars="0" w:hanging="578" w:firstLineChars="0"/>
        <w:rPr>
          <w:rFonts w:hint="default" w:ascii="Times New Roman" w:hAnsi="Times New Roman" w:eastAsia="宋体" w:cs="Times New Roman"/>
          <w:b/>
          <w:bCs/>
          <w:color w:val="auto"/>
          <w:kern w:val="2"/>
          <w:sz w:val="32"/>
          <w:szCs w:val="32"/>
          <w:lang w:val="en-US" w:eastAsia="zh-CN" w:bidi="ar-SA"/>
        </w:rPr>
      </w:pPr>
      <w:bookmarkStart w:id="184" w:name="_Toc2303"/>
      <w:bookmarkStart w:id="185" w:name="_Toc710"/>
      <w:r>
        <w:rPr>
          <w:rFonts w:hint="eastAsia" w:ascii="Times New Roman" w:hAnsi="Times New Roman" w:eastAsia="宋体" w:cs="Times New Roman"/>
          <w:b/>
          <w:bCs/>
          <w:color w:val="auto"/>
          <w:kern w:val="2"/>
          <w:sz w:val="32"/>
          <w:szCs w:val="32"/>
          <w:lang w:val="en-US" w:eastAsia="zh-CN" w:bidi="ar-SA"/>
        </w:rPr>
        <w:t>10.3</w:t>
      </w:r>
      <w:r>
        <w:rPr>
          <w:rFonts w:hint="default" w:ascii="Times New Roman" w:hAnsi="Times New Roman" w:eastAsia="宋体" w:cs="Times New Roman"/>
          <w:b/>
          <w:bCs/>
          <w:color w:val="auto"/>
          <w:kern w:val="2"/>
          <w:sz w:val="32"/>
          <w:szCs w:val="32"/>
          <w:lang w:val="en-US" w:eastAsia="zh-CN" w:bidi="ar-SA"/>
        </w:rPr>
        <w:t>人群健康调查影响调查</w:t>
      </w:r>
      <w:bookmarkEnd w:id="184"/>
      <w:bookmarkEnd w:id="185"/>
    </w:p>
    <w:p w14:paraId="655B6EE0">
      <w:pPr>
        <w:pStyle w:val="24"/>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施工期间，各施工单位落实了一系列人群健康保护措施，包括组织全体施工人员进行健康检查、建立施工人员疫情健康档案等。各单位均明确了卫生防疫责任人，并配备了常用药品及应急医疗器材，确保现场卫生防疫工作有序开展。新型冠状病毒肺炎疫情发生后，在封控期间的施工及后续运营阶段，本项目严格执行各项疫情防控管理要求，保障了人员健康与施工安全。</w:t>
      </w:r>
    </w:p>
    <w:p w14:paraId="07FD6B9D">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br w:type="page"/>
      </w:r>
    </w:p>
    <w:p w14:paraId="31055BA8">
      <w:pPr>
        <w:pStyle w:val="2"/>
        <w:pageBreakBefore w:val="0"/>
        <w:widowControl w:val="0"/>
        <w:numPr>
          <w:ilvl w:val="0"/>
          <w:numId w:val="0"/>
        </w:numPr>
        <w:kinsoku/>
        <w:wordWrap/>
        <w:overflowPunct/>
        <w:topLinePunct w:val="0"/>
        <w:autoSpaceDE/>
        <w:autoSpaceDN/>
        <w:bidi w:val="0"/>
        <w:adjustRightInd w:val="0"/>
        <w:snapToGrid w:val="0"/>
        <w:spacing w:before="0" w:beforeLines="0" w:after="0" w:afterLines="0"/>
        <w:ind w:left="432" w:leftChars="0" w:hanging="432" w:firstLineChars="0"/>
        <w:textAlignment w:val="auto"/>
        <w:rPr>
          <w:rFonts w:hint="default" w:ascii="Times New Roman" w:hAnsi="Times New Roman" w:cs="Times New Roman"/>
          <w:color w:val="auto"/>
        </w:rPr>
      </w:pPr>
      <w:bookmarkStart w:id="186" w:name="_Toc32167"/>
      <w:bookmarkStart w:id="187" w:name="_Toc7205"/>
      <w:r>
        <w:rPr>
          <w:rFonts w:hint="eastAsia" w:ascii="Times New Roman" w:hAnsi="Times New Roman" w:cs="Times New Roman"/>
          <w:b/>
          <w:color w:val="auto"/>
          <w:kern w:val="2"/>
          <w:sz w:val="36"/>
          <w:lang w:val="en-US" w:eastAsia="zh-CN" w:bidi="ar-SA"/>
        </w:rPr>
        <w:t>11</w:t>
      </w:r>
      <w:r>
        <w:rPr>
          <w:rFonts w:hint="default" w:ascii="Times New Roman" w:hAnsi="Times New Roman" w:cs="Times New Roman"/>
          <w:color w:val="auto"/>
        </w:rPr>
        <w:t>环境风险事故与应急措施调查</w:t>
      </w:r>
      <w:bookmarkEnd w:id="186"/>
      <w:bookmarkEnd w:id="187"/>
    </w:p>
    <w:p w14:paraId="6E2DF388">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188" w:name="_Toc14792"/>
      <w:bookmarkStart w:id="189" w:name="_Toc2259"/>
      <w:r>
        <w:rPr>
          <w:rFonts w:hint="eastAsia" w:ascii="Times New Roman" w:hAnsi="Times New Roman" w:cs="Times New Roman"/>
          <w:b/>
          <w:bCs/>
          <w:color w:val="auto"/>
          <w:kern w:val="2"/>
          <w:sz w:val="32"/>
          <w:szCs w:val="32"/>
          <w:lang w:val="en-US" w:eastAsia="zh-CN" w:bidi="ar-SA"/>
        </w:rPr>
        <w:t>11.1</w:t>
      </w:r>
      <w:r>
        <w:rPr>
          <w:rFonts w:hint="default" w:ascii="Times New Roman" w:hAnsi="Times New Roman" w:cs="Times New Roman"/>
          <w:color w:val="auto"/>
        </w:rPr>
        <w:t>项目建设存在的环境风险因素及其影响</w:t>
      </w:r>
      <w:bookmarkEnd w:id="188"/>
      <w:bookmarkEnd w:id="189"/>
    </w:p>
    <w:p w14:paraId="5107E4AC">
      <w:pPr>
        <w:pStyle w:val="4"/>
        <w:numPr>
          <w:ilvl w:val="0"/>
          <w:numId w:val="0"/>
        </w:numPr>
        <w:ind w:left="720" w:leftChars="0" w:hanging="720" w:firstLineChars="0"/>
        <w:rPr>
          <w:rFonts w:hint="default" w:ascii="Times New Roman" w:hAnsi="Times New Roman" w:eastAsia="宋体" w:cs="Times New Roman"/>
          <w:b/>
          <w:bCs/>
          <w:color w:val="auto"/>
          <w:kern w:val="2"/>
          <w:sz w:val="30"/>
          <w:szCs w:val="32"/>
          <w:lang w:val="en-US" w:eastAsia="zh-CN" w:bidi="ar-SA"/>
        </w:rPr>
      </w:pPr>
      <w:r>
        <w:rPr>
          <w:rFonts w:hint="eastAsia" w:ascii="Times New Roman" w:hAnsi="Times New Roman" w:eastAsia="宋体" w:cs="Times New Roman"/>
          <w:b/>
          <w:bCs/>
          <w:color w:val="auto"/>
          <w:kern w:val="2"/>
          <w:sz w:val="30"/>
          <w:szCs w:val="32"/>
          <w:lang w:val="en-US" w:eastAsia="zh-CN" w:bidi="ar-SA"/>
        </w:rPr>
        <w:t>11.1.1</w:t>
      </w:r>
      <w:r>
        <w:rPr>
          <w:rFonts w:hint="default" w:ascii="Times New Roman" w:hAnsi="Times New Roman" w:eastAsia="宋体" w:cs="Times New Roman"/>
          <w:b/>
          <w:bCs/>
          <w:color w:val="auto"/>
          <w:kern w:val="2"/>
          <w:sz w:val="30"/>
          <w:szCs w:val="32"/>
          <w:lang w:val="en-US" w:eastAsia="zh-CN" w:bidi="ar-SA"/>
        </w:rPr>
        <w:t>项目基本情况</w:t>
      </w:r>
    </w:p>
    <w:p w14:paraId="3809898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公路建设期和运营至今均未发生环境污染事件，存在的环境风险因素主要在运营阶段。公路正常运营时，过往车辆运输的货物种类繁多复杂，化学危险品运输是无法避免的。项目沿线经过地区河流水系较发达，公路多次跨越河流水体，这些水体均执行《地表水环境质量标准》（GB3838-2002）中Ⅲ类标准。如果在这些路段发生交通事故，造成化学危险品泄漏，将严重污染地表水体，影响水安全。</w:t>
      </w:r>
    </w:p>
    <w:p w14:paraId="46E1BC1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在正常运营情况下，运输化学危险品车辆发生事故并引起水体污染的概率很小，但其发生有一定危害性和随机性，会对下游地区的用水安全造成一定影响。为保障下游饮</w:t>
      </w:r>
      <w:r>
        <w:rPr>
          <w:rFonts w:hint="eastAsia" w:cs="Times New Roman"/>
          <w:color w:val="auto"/>
          <w:szCs w:val="24"/>
          <w:lang w:eastAsia="zh-CN"/>
        </w:rPr>
        <w:t>用水</w:t>
      </w:r>
      <w:r>
        <w:rPr>
          <w:rFonts w:hint="default" w:ascii="Times New Roman" w:hAnsi="Times New Roman" w:cs="Times New Roman"/>
          <w:color w:val="auto"/>
          <w:szCs w:val="24"/>
        </w:rPr>
        <w:t>保护区水安全，有必要从管理和工程等方面采取措施，降低风险事故的发生率。</w:t>
      </w:r>
    </w:p>
    <w:p w14:paraId="4FBEE690">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经调查，建设单位为有效处置危险品突发事件，加强事故发生后的指挥领导，降低突发事件危害，成立了危险化学品运输事故处置领导小组，并编制了相应的应急预案。</w:t>
      </w:r>
    </w:p>
    <w:p w14:paraId="70315171">
      <w:pPr>
        <w:pStyle w:val="4"/>
        <w:numPr>
          <w:ilvl w:val="0"/>
          <w:numId w:val="0"/>
        </w:numPr>
        <w:ind w:left="720" w:leftChars="0" w:hanging="720" w:firstLineChars="0"/>
        <w:rPr>
          <w:rFonts w:hint="default" w:ascii="Times New Roman" w:hAnsi="Times New Roman" w:eastAsia="宋体" w:cs="Times New Roman"/>
          <w:b/>
          <w:bCs/>
          <w:color w:val="auto"/>
          <w:kern w:val="2"/>
          <w:sz w:val="30"/>
          <w:szCs w:val="32"/>
          <w:lang w:val="en-US" w:eastAsia="zh-CN" w:bidi="ar-SA"/>
        </w:rPr>
      </w:pPr>
      <w:r>
        <w:rPr>
          <w:rFonts w:hint="eastAsia" w:ascii="Times New Roman" w:hAnsi="Times New Roman" w:eastAsia="宋体" w:cs="Times New Roman"/>
          <w:b/>
          <w:bCs/>
          <w:color w:val="auto"/>
          <w:kern w:val="2"/>
          <w:sz w:val="30"/>
          <w:szCs w:val="32"/>
          <w:lang w:val="en-US" w:eastAsia="zh-CN" w:bidi="ar-SA"/>
        </w:rPr>
        <w:t>11.1.2</w:t>
      </w:r>
      <w:r>
        <w:rPr>
          <w:rFonts w:hint="default" w:ascii="Times New Roman" w:hAnsi="Times New Roman" w:eastAsia="宋体" w:cs="Times New Roman"/>
          <w:b/>
          <w:bCs/>
          <w:color w:val="auto"/>
          <w:kern w:val="2"/>
          <w:sz w:val="30"/>
          <w:szCs w:val="32"/>
          <w:lang w:val="en-US" w:eastAsia="zh-CN" w:bidi="ar-SA"/>
        </w:rPr>
        <w:t>环境风险源与风险物质识别</w:t>
      </w:r>
    </w:p>
    <w:p w14:paraId="5500242C">
      <w:pPr>
        <w:pStyle w:val="24"/>
        <w:ind w:firstLine="480"/>
        <w:rPr>
          <w:rFonts w:hint="default" w:ascii="Times New Roman" w:hAnsi="Times New Roman"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1</w:t>
      </w:r>
      <w:r>
        <w:rPr>
          <w:rFonts w:hint="eastAsia" w:cs="Times New Roman"/>
          <w:color w:val="auto"/>
          <w:szCs w:val="24"/>
          <w:lang w:eastAsia="zh-CN"/>
        </w:rPr>
        <w:t>）</w:t>
      </w:r>
      <w:r>
        <w:rPr>
          <w:rFonts w:hint="default" w:ascii="Times New Roman" w:hAnsi="Times New Roman" w:cs="Times New Roman"/>
          <w:color w:val="auto"/>
          <w:szCs w:val="24"/>
        </w:rPr>
        <w:t>风险源：主要为运营期运输危险化学品的车辆在公路路面、桥梁、互通区行驶时，因交通事故（如碰撞、侧翻）引发风险物质泄漏。</w:t>
      </w:r>
    </w:p>
    <w:p w14:paraId="2449F073">
      <w:pPr>
        <w:pStyle w:val="24"/>
        <w:ind w:firstLine="480"/>
        <w:rPr>
          <w:rFonts w:hint="default" w:ascii="Times New Roman" w:hAnsi="Times New Roman"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2</w:t>
      </w:r>
      <w:r>
        <w:rPr>
          <w:rFonts w:hint="eastAsia" w:cs="Times New Roman"/>
          <w:color w:val="auto"/>
          <w:szCs w:val="24"/>
          <w:lang w:eastAsia="zh-CN"/>
        </w:rPr>
        <w:t>）</w:t>
      </w:r>
      <w:r>
        <w:rPr>
          <w:rFonts w:hint="default" w:ascii="Times New Roman" w:hAnsi="Times New Roman" w:cs="Times New Roman"/>
          <w:color w:val="auto"/>
          <w:szCs w:val="24"/>
        </w:rPr>
        <w:t>风险物质：根据项目特点，主要风险物质为运输车辆所载的汽油、柴油。此类油品具有易燃、易爆、易挥发和一定的毒性，一旦泄漏可能污染土壤、水体，遇明火可能引发火灾、爆炸事故。</w:t>
      </w:r>
    </w:p>
    <w:p w14:paraId="29A59FE5">
      <w:pPr>
        <w:pStyle w:val="24"/>
        <w:ind w:firstLine="480"/>
        <w:rPr>
          <w:rFonts w:hint="default" w:ascii="Times New Roman" w:hAnsi="Times New Roman"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3</w:t>
      </w:r>
      <w:r>
        <w:rPr>
          <w:rFonts w:hint="eastAsia" w:cs="Times New Roman"/>
          <w:color w:val="auto"/>
          <w:szCs w:val="24"/>
          <w:lang w:eastAsia="zh-CN"/>
        </w:rPr>
        <w:t>）</w:t>
      </w:r>
      <w:r>
        <w:rPr>
          <w:rFonts w:hint="default" w:ascii="Times New Roman" w:hAnsi="Times New Roman" w:cs="Times New Roman"/>
          <w:color w:val="auto"/>
          <w:szCs w:val="24"/>
        </w:rPr>
        <w:t>事故触发因素：主要包括车辆故障、违章驾驶、极端天气（雨、雪、冰冻、大雾）等。</w:t>
      </w:r>
    </w:p>
    <w:p w14:paraId="058F29B2">
      <w:pPr>
        <w:pStyle w:val="4"/>
        <w:numPr>
          <w:ilvl w:val="0"/>
          <w:numId w:val="0"/>
        </w:numPr>
        <w:ind w:left="720" w:leftChars="0" w:hanging="720" w:firstLineChars="0"/>
        <w:rPr>
          <w:rFonts w:hint="default" w:ascii="Times New Roman" w:hAnsi="Times New Roman" w:eastAsia="宋体" w:cs="Times New Roman"/>
          <w:b/>
          <w:bCs/>
          <w:color w:val="auto"/>
          <w:kern w:val="2"/>
          <w:sz w:val="30"/>
          <w:szCs w:val="32"/>
          <w:lang w:val="en-US" w:eastAsia="zh-CN" w:bidi="ar-SA"/>
        </w:rPr>
      </w:pPr>
      <w:r>
        <w:rPr>
          <w:rFonts w:hint="eastAsia" w:ascii="Times New Roman" w:hAnsi="Times New Roman" w:eastAsia="宋体" w:cs="Times New Roman"/>
          <w:b/>
          <w:bCs/>
          <w:color w:val="auto"/>
          <w:kern w:val="2"/>
          <w:sz w:val="30"/>
          <w:szCs w:val="32"/>
          <w:lang w:val="en-US" w:eastAsia="zh-CN" w:bidi="ar-SA"/>
        </w:rPr>
        <w:t>11.1.3</w:t>
      </w:r>
      <w:r>
        <w:rPr>
          <w:rFonts w:hint="default" w:ascii="Times New Roman" w:hAnsi="Times New Roman" w:eastAsia="宋体" w:cs="Times New Roman"/>
          <w:b/>
          <w:bCs/>
          <w:color w:val="auto"/>
          <w:kern w:val="2"/>
          <w:sz w:val="30"/>
          <w:szCs w:val="32"/>
          <w:lang w:val="en-US" w:eastAsia="zh-CN" w:bidi="ar-SA"/>
        </w:rPr>
        <w:t>环境敏感目标</w:t>
      </w:r>
    </w:p>
    <w:p w14:paraId="6CA4CD28">
      <w:pPr>
        <w:pStyle w:val="24"/>
        <w:ind w:firstLine="480"/>
        <w:rPr>
          <w:rFonts w:hint="default" w:ascii="Times New Roman" w:hAnsi="Times New Roman"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1</w:t>
      </w:r>
      <w:r>
        <w:rPr>
          <w:rFonts w:hint="eastAsia" w:cs="Times New Roman"/>
          <w:color w:val="auto"/>
          <w:szCs w:val="24"/>
          <w:lang w:eastAsia="zh-CN"/>
        </w:rPr>
        <w:t>）</w:t>
      </w:r>
      <w:r>
        <w:rPr>
          <w:rFonts w:hint="default" w:ascii="Times New Roman" w:hAnsi="Times New Roman" w:cs="Times New Roman"/>
          <w:color w:val="auto"/>
          <w:szCs w:val="24"/>
        </w:rPr>
        <w:t>大气环境敏感点：沿线分布的桂花村、响水村、大田村、斑竹村、石窝村等居民点。</w:t>
      </w:r>
    </w:p>
    <w:p w14:paraId="15E27578">
      <w:pPr>
        <w:pStyle w:val="24"/>
        <w:ind w:firstLine="480"/>
        <w:rPr>
          <w:rFonts w:hint="default" w:ascii="Times New Roman" w:hAnsi="Times New Roman" w:cs="Times New Roman"/>
          <w:color w:val="auto"/>
          <w:szCs w:val="24"/>
        </w:rPr>
      </w:pPr>
      <w:r>
        <w:rPr>
          <w:rFonts w:hint="eastAsia" w:cs="Times New Roman"/>
          <w:color w:val="auto"/>
          <w:szCs w:val="24"/>
          <w:lang w:eastAsia="zh-CN"/>
        </w:rPr>
        <w:t>（</w:t>
      </w:r>
      <w:r>
        <w:rPr>
          <w:rFonts w:hint="eastAsia" w:cs="Times New Roman"/>
          <w:color w:val="auto"/>
          <w:szCs w:val="24"/>
          <w:lang w:val="en-US" w:eastAsia="zh-CN"/>
        </w:rPr>
        <w:t>2</w:t>
      </w:r>
      <w:r>
        <w:rPr>
          <w:rFonts w:hint="eastAsia" w:cs="Times New Roman"/>
          <w:color w:val="auto"/>
          <w:szCs w:val="24"/>
          <w:lang w:eastAsia="zh-CN"/>
        </w:rPr>
        <w:t>）</w:t>
      </w:r>
      <w:r>
        <w:rPr>
          <w:rFonts w:hint="default" w:ascii="Times New Roman" w:hAnsi="Times New Roman" w:cs="Times New Roman"/>
          <w:color w:val="auto"/>
          <w:szCs w:val="24"/>
        </w:rPr>
        <w:t>水环境敏感目标：路段临近或跨越的小溪沟，以及下游的小沔镇水厂水源保护相关水域。这是本项目风险防范的重点。</w:t>
      </w:r>
    </w:p>
    <w:p w14:paraId="528BCE58">
      <w:pPr>
        <w:pStyle w:val="24"/>
        <w:ind w:firstLine="480"/>
        <w:rPr>
          <w:rFonts w:hint="default" w:ascii="Times New Roman" w:hAnsi="Times New Roman" w:eastAsia="宋体" w:cs="Times New Roman"/>
          <w:color w:val="auto"/>
          <w:szCs w:val="24"/>
          <w:lang w:val="en-US" w:eastAsia="zh-CN"/>
        </w:rPr>
      </w:pPr>
      <w:r>
        <w:rPr>
          <w:rFonts w:hint="eastAsia" w:cs="Times New Roman"/>
          <w:color w:val="auto"/>
          <w:szCs w:val="24"/>
          <w:lang w:val="en-US" w:eastAsia="zh-CN"/>
        </w:rPr>
        <w:t>（3）</w:t>
      </w:r>
      <w:r>
        <w:rPr>
          <w:rFonts w:hint="default" w:ascii="Times New Roman" w:hAnsi="Times New Roman" w:cs="Times New Roman"/>
          <w:color w:val="auto"/>
          <w:szCs w:val="24"/>
        </w:rPr>
        <w:t>其他保护目标：道路沿线的农田、林地。</w:t>
      </w:r>
    </w:p>
    <w:p w14:paraId="5E19928D">
      <w:pPr>
        <w:pStyle w:val="3"/>
        <w:numPr>
          <w:ilvl w:val="0"/>
          <w:numId w:val="0"/>
        </w:numPr>
        <w:ind w:left="578" w:leftChars="0" w:hanging="578" w:firstLineChars="0"/>
        <w:rPr>
          <w:rFonts w:hint="default" w:ascii="Times New Roman" w:hAnsi="Times New Roman" w:cs="Times New Roman"/>
          <w:color w:val="auto"/>
        </w:rPr>
      </w:pPr>
      <w:bookmarkStart w:id="190" w:name="_Toc13548"/>
      <w:bookmarkStart w:id="191" w:name="_Toc19282"/>
      <w:bookmarkStart w:id="192" w:name="_Toc13198"/>
      <w:r>
        <w:rPr>
          <w:rFonts w:hint="eastAsia" w:ascii="Times New Roman" w:hAnsi="Times New Roman" w:cs="Times New Roman"/>
          <w:b/>
          <w:bCs/>
          <w:color w:val="auto"/>
          <w:kern w:val="2"/>
          <w:sz w:val="32"/>
          <w:szCs w:val="32"/>
          <w:lang w:val="en-US" w:eastAsia="zh-CN" w:bidi="ar-SA"/>
        </w:rPr>
        <w:t>11.2</w:t>
      </w:r>
      <w:bookmarkEnd w:id="190"/>
      <w:bookmarkEnd w:id="191"/>
      <w:r>
        <w:rPr>
          <w:rFonts w:hint="default" w:ascii="Times New Roman" w:hAnsi="Times New Roman" w:cs="Times New Roman"/>
          <w:color w:val="auto"/>
        </w:rPr>
        <w:t>风险防范与应急措施落实情况调查</w:t>
      </w:r>
      <w:bookmarkEnd w:id="192"/>
    </w:p>
    <w:p w14:paraId="57213945">
      <w:pPr>
        <w:pStyle w:val="4"/>
        <w:numPr>
          <w:ilvl w:val="0"/>
          <w:numId w:val="0"/>
        </w:numPr>
        <w:ind w:left="720" w:leftChars="0" w:hanging="720" w:firstLineChars="0"/>
        <w:rPr>
          <w:rFonts w:hint="eastAsia" w:ascii="Times New Roman" w:hAnsi="Times New Roman" w:eastAsia="宋体" w:cs="Times New Roman"/>
          <w:b/>
          <w:bCs/>
          <w:color w:val="auto"/>
          <w:kern w:val="2"/>
          <w:sz w:val="30"/>
          <w:szCs w:val="32"/>
          <w:lang w:val="en-US" w:eastAsia="zh-CN" w:bidi="ar-SA"/>
        </w:rPr>
      </w:pPr>
      <w:r>
        <w:rPr>
          <w:rFonts w:hint="eastAsia" w:ascii="Times New Roman" w:hAnsi="Times New Roman" w:eastAsia="宋体" w:cs="Times New Roman"/>
          <w:b/>
          <w:bCs/>
          <w:color w:val="auto"/>
          <w:kern w:val="2"/>
          <w:sz w:val="30"/>
          <w:szCs w:val="32"/>
          <w:lang w:val="en-US" w:eastAsia="zh-CN" w:bidi="ar-SA"/>
        </w:rPr>
        <w:t>11.2.1工程防护措施</w:t>
      </w:r>
    </w:p>
    <w:p w14:paraId="45FB7C25">
      <w:pPr>
        <w:pStyle w:val="24"/>
        <w:ind w:firstLine="480"/>
        <w:rPr>
          <w:rFonts w:hint="eastAsia" w:cs="Times New Roman"/>
          <w:color w:val="auto"/>
          <w:szCs w:val="24"/>
          <w:lang w:val="en-US" w:eastAsia="zh-CN"/>
        </w:rPr>
      </w:pPr>
      <w:r>
        <w:rPr>
          <w:rFonts w:hint="eastAsia" w:cs="Times New Roman"/>
          <w:color w:val="auto"/>
          <w:szCs w:val="24"/>
          <w:lang w:val="en-US" w:eastAsia="zh-CN"/>
        </w:rPr>
        <w:t>全线路段（含桥梁）两侧均按规范设置了防撞护栏，可有效降低事故车辆翻入路侧的风险。</w:t>
      </w:r>
    </w:p>
    <w:p w14:paraId="0FE87ED3">
      <w:pPr>
        <w:pStyle w:val="24"/>
        <w:ind w:firstLine="480"/>
        <w:rPr>
          <w:rFonts w:hint="eastAsia" w:cs="Times New Roman"/>
          <w:color w:val="auto"/>
          <w:szCs w:val="24"/>
          <w:lang w:val="en-US" w:eastAsia="zh-CN"/>
        </w:rPr>
      </w:pPr>
      <w:r>
        <w:rPr>
          <w:rFonts w:hint="eastAsia" w:cs="Times New Roman"/>
          <w:color w:val="auto"/>
          <w:szCs w:val="24"/>
          <w:lang w:val="en-US" w:eastAsia="zh-CN"/>
        </w:rPr>
        <w:t>在跨越或临近水体的桥梁、路基路段两侧，已安装加强型防撞护栏，并设置了桥（路）面径流收集与导排系统。该系统可将初期雨水和可能泄漏的液体污染物导流至路侧的应急事故池，防止直接排入水体。</w:t>
      </w:r>
    </w:p>
    <w:p w14:paraId="35CAD285">
      <w:pPr>
        <w:pStyle w:val="4"/>
        <w:numPr>
          <w:ilvl w:val="0"/>
          <w:numId w:val="0"/>
        </w:numPr>
        <w:ind w:left="720" w:leftChars="0" w:hanging="720" w:firstLineChars="0"/>
        <w:rPr>
          <w:rFonts w:hint="eastAsia" w:ascii="Times New Roman" w:hAnsi="Times New Roman" w:eastAsia="宋体" w:cs="Times New Roman"/>
          <w:b/>
          <w:bCs/>
          <w:color w:val="auto"/>
          <w:kern w:val="2"/>
          <w:sz w:val="30"/>
          <w:szCs w:val="32"/>
          <w:lang w:val="en-US" w:eastAsia="zh-CN" w:bidi="ar-SA"/>
        </w:rPr>
      </w:pPr>
      <w:r>
        <w:rPr>
          <w:rFonts w:hint="eastAsia" w:ascii="Times New Roman" w:hAnsi="Times New Roman" w:eastAsia="宋体" w:cs="Times New Roman"/>
          <w:b/>
          <w:bCs/>
          <w:color w:val="auto"/>
          <w:kern w:val="2"/>
          <w:sz w:val="30"/>
          <w:szCs w:val="32"/>
          <w:lang w:val="en-US" w:eastAsia="zh-CN" w:bidi="ar-SA"/>
        </w:rPr>
        <w:t>11.2.2应急设施</w:t>
      </w:r>
      <w:r>
        <w:rPr>
          <w:rFonts w:hint="eastAsia" w:cs="Times New Roman"/>
          <w:b/>
          <w:bCs/>
          <w:color w:val="auto"/>
          <w:kern w:val="2"/>
          <w:sz w:val="30"/>
          <w:szCs w:val="32"/>
          <w:lang w:val="en-US" w:eastAsia="zh-CN" w:bidi="ar-SA"/>
        </w:rPr>
        <w:t>和物资储备</w:t>
      </w:r>
    </w:p>
    <w:p w14:paraId="6AF3DE9F">
      <w:pPr>
        <w:pStyle w:val="24"/>
        <w:ind w:firstLine="480"/>
        <w:rPr>
          <w:rFonts w:hint="eastAsia" w:cs="Times New Roman"/>
          <w:color w:val="auto"/>
          <w:szCs w:val="24"/>
          <w:lang w:val="en-US" w:eastAsia="zh-CN"/>
        </w:rPr>
      </w:pPr>
      <w:r>
        <w:rPr>
          <w:rFonts w:hint="eastAsia" w:cs="Times New Roman"/>
          <w:color w:val="auto"/>
          <w:szCs w:val="24"/>
          <w:lang w:val="en-US" w:eastAsia="zh-CN"/>
        </w:rPr>
        <w:t>在小沔收费站管理区，已设置应急物资储备点，储备了基本的应急物资，主要包括：</w:t>
      </w:r>
    </w:p>
    <w:p w14:paraId="63F99D70">
      <w:pPr>
        <w:pStyle w:val="24"/>
        <w:ind w:firstLine="480"/>
        <w:rPr>
          <w:rFonts w:hint="eastAsia" w:cs="Times New Roman"/>
          <w:color w:val="auto"/>
          <w:szCs w:val="24"/>
          <w:lang w:val="en-US" w:eastAsia="zh-CN"/>
        </w:rPr>
      </w:pPr>
      <w:r>
        <w:rPr>
          <w:rFonts w:hint="eastAsia" w:cs="Times New Roman"/>
          <w:color w:val="auto"/>
          <w:szCs w:val="24"/>
          <w:lang w:val="en-US" w:eastAsia="zh-CN"/>
        </w:rPr>
        <w:t>泄漏应急物资：吸油毡、吸油索、木楔、堵漏袋、收容桶、沙土、便携式收集泵等。</w:t>
      </w:r>
    </w:p>
    <w:p w14:paraId="30DAF941">
      <w:pPr>
        <w:pStyle w:val="24"/>
        <w:ind w:firstLine="480"/>
        <w:rPr>
          <w:rFonts w:hint="eastAsia" w:cs="Times New Roman"/>
          <w:color w:val="auto"/>
          <w:szCs w:val="24"/>
          <w:lang w:val="en-US" w:eastAsia="zh-CN"/>
        </w:rPr>
      </w:pPr>
      <w:r>
        <w:rPr>
          <w:rFonts w:hint="eastAsia" w:cs="Times New Roman"/>
          <w:color w:val="auto"/>
          <w:szCs w:val="24"/>
          <w:lang w:val="en-US" w:eastAsia="zh-CN"/>
        </w:rPr>
        <w:t>消防与安全防护物资：干粉灭火器、抗溶性泡沫灭火器、消防沙、防爆手电、安全警示带、呼吸面罩等。</w:t>
      </w:r>
    </w:p>
    <w:p w14:paraId="7C0A273F">
      <w:pPr>
        <w:pStyle w:val="24"/>
        <w:ind w:firstLine="480"/>
        <w:rPr>
          <w:rFonts w:hint="eastAsia" w:cs="Times New Roman"/>
          <w:color w:val="auto"/>
          <w:szCs w:val="24"/>
          <w:lang w:val="en-US" w:eastAsia="zh-CN"/>
        </w:rPr>
      </w:pPr>
      <w:r>
        <w:rPr>
          <w:rFonts w:hint="eastAsia" w:cs="Times New Roman"/>
          <w:color w:val="auto"/>
          <w:szCs w:val="24"/>
          <w:lang w:val="en-US" w:eastAsia="zh-CN"/>
        </w:rPr>
        <w:t>主要应急物资已建立台账，并设有专人管理，检查记录基本完善。</w:t>
      </w:r>
    </w:p>
    <w:p w14:paraId="72D66C32">
      <w:pPr>
        <w:pStyle w:val="4"/>
        <w:numPr>
          <w:ilvl w:val="0"/>
          <w:numId w:val="0"/>
        </w:numPr>
        <w:ind w:left="720" w:leftChars="0" w:hanging="720" w:firstLineChars="0"/>
        <w:rPr>
          <w:rFonts w:hint="eastAsia" w:ascii="Times New Roman" w:hAnsi="Times New Roman" w:eastAsia="宋体" w:cs="Times New Roman"/>
          <w:b/>
          <w:bCs/>
          <w:color w:val="auto"/>
          <w:kern w:val="2"/>
          <w:sz w:val="30"/>
          <w:szCs w:val="32"/>
          <w:lang w:val="en-US" w:eastAsia="zh-CN" w:bidi="ar-SA"/>
        </w:rPr>
      </w:pPr>
      <w:r>
        <w:rPr>
          <w:rFonts w:hint="eastAsia" w:ascii="Times New Roman" w:hAnsi="Times New Roman" w:eastAsia="宋体" w:cs="Times New Roman"/>
          <w:b/>
          <w:bCs/>
          <w:color w:val="auto"/>
          <w:kern w:val="2"/>
          <w:sz w:val="30"/>
          <w:szCs w:val="32"/>
          <w:lang w:val="en-US" w:eastAsia="zh-CN" w:bidi="ar-SA"/>
        </w:rPr>
        <w:t>11.2.3风险监控与预警</w:t>
      </w:r>
    </w:p>
    <w:p w14:paraId="149BAD88">
      <w:pPr>
        <w:pStyle w:val="24"/>
        <w:ind w:firstLine="480"/>
        <w:rPr>
          <w:rFonts w:hint="eastAsia" w:cs="Times New Roman"/>
          <w:color w:val="auto"/>
          <w:szCs w:val="24"/>
          <w:lang w:val="en-US" w:eastAsia="zh-CN"/>
        </w:rPr>
      </w:pPr>
      <w:r>
        <w:rPr>
          <w:rFonts w:hint="eastAsia" w:cs="Times New Roman"/>
          <w:color w:val="auto"/>
          <w:szCs w:val="24"/>
          <w:lang w:val="en-US" w:eastAsia="zh-CN"/>
        </w:rPr>
        <w:t>全路段已安装视频监控系统，可对路面状况进行实时监控，及时发现事故苗头。</w:t>
      </w:r>
    </w:p>
    <w:p w14:paraId="36DF00E4">
      <w:pPr>
        <w:pStyle w:val="24"/>
        <w:ind w:firstLine="480"/>
        <w:rPr>
          <w:rFonts w:hint="default" w:ascii="Times New Roman" w:hAnsi="Times New Roman" w:cs="Times New Roman"/>
          <w:color w:val="auto"/>
          <w:szCs w:val="24"/>
          <w:lang w:bidi="ar"/>
        </w:rPr>
      </w:pPr>
      <w:r>
        <w:rPr>
          <w:rFonts w:hint="eastAsia" w:cs="Times New Roman"/>
          <w:color w:val="auto"/>
          <w:szCs w:val="24"/>
          <w:lang w:val="en-US" w:eastAsia="zh-CN"/>
        </w:rPr>
        <w:t>监控中心实行24小时值班制度，与运营管理部门、119消防、122交警、120急救及合川区生态环境局建立了应急联络机制，确保信息畅通。</w:t>
      </w:r>
    </w:p>
    <w:p w14:paraId="73DECE24">
      <w:pPr>
        <w:pStyle w:val="3"/>
        <w:numPr>
          <w:ilvl w:val="0"/>
          <w:numId w:val="0"/>
        </w:numPr>
        <w:ind w:left="578" w:leftChars="0" w:hanging="578" w:firstLineChars="0"/>
        <w:rPr>
          <w:rFonts w:hint="default" w:ascii="Times New Roman" w:hAnsi="Times New Roman" w:cs="Times New Roman"/>
          <w:color w:val="auto"/>
          <w:lang w:bidi="ar"/>
        </w:rPr>
      </w:pPr>
      <w:bookmarkStart w:id="193" w:name="_Toc1627"/>
      <w:bookmarkStart w:id="194" w:name="_Toc4477"/>
      <w:r>
        <w:rPr>
          <w:rFonts w:hint="eastAsia" w:ascii="Times New Roman" w:hAnsi="Times New Roman" w:cs="Times New Roman"/>
          <w:b/>
          <w:bCs/>
          <w:color w:val="auto"/>
          <w:kern w:val="2"/>
          <w:sz w:val="32"/>
          <w:szCs w:val="32"/>
          <w:lang w:val="en-US" w:eastAsia="zh-CN" w:bidi="ar"/>
        </w:rPr>
        <w:t>11.3</w:t>
      </w:r>
      <w:r>
        <w:rPr>
          <w:rFonts w:hint="default" w:ascii="Times New Roman" w:hAnsi="Times New Roman" w:cs="Times New Roman"/>
          <w:color w:val="auto"/>
          <w:lang w:bidi="ar"/>
        </w:rPr>
        <w:t>应急预案</w:t>
      </w:r>
      <w:bookmarkEnd w:id="193"/>
      <w:bookmarkEnd w:id="194"/>
    </w:p>
    <w:p w14:paraId="79CC87F0">
      <w:pPr>
        <w:ind w:firstLine="480"/>
        <w:rPr>
          <w:rStyle w:val="25"/>
          <w:rFonts w:hint="default" w:ascii="Times New Roman" w:hAnsi="Times New Roman" w:cs="Times New Roman"/>
          <w:color w:val="auto"/>
          <w:szCs w:val="24"/>
        </w:rPr>
      </w:pPr>
      <w:r>
        <w:rPr>
          <w:rFonts w:hint="default" w:ascii="Times New Roman" w:hAnsi="Times New Roman" w:cs="Times New Roman"/>
          <w:color w:val="auto"/>
          <w:szCs w:val="24"/>
          <w:lang w:bidi="ar"/>
        </w:rPr>
        <w:t>202</w:t>
      </w:r>
      <w:r>
        <w:rPr>
          <w:rFonts w:hint="eastAsia" w:cs="Times New Roman"/>
          <w:color w:val="auto"/>
          <w:szCs w:val="24"/>
          <w:lang w:val="en-US" w:eastAsia="zh-CN" w:bidi="ar"/>
        </w:rPr>
        <w:t>4</w:t>
      </w:r>
      <w:r>
        <w:rPr>
          <w:rFonts w:hint="default" w:ascii="Times New Roman" w:hAnsi="Times New Roman" w:cs="Times New Roman"/>
          <w:color w:val="auto"/>
          <w:szCs w:val="24"/>
          <w:lang w:bidi="ar"/>
        </w:rPr>
        <w:t>年</w:t>
      </w:r>
      <w:r>
        <w:rPr>
          <w:rFonts w:hint="eastAsia" w:cs="Times New Roman"/>
          <w:color w:val="auto"/>
          <w:szCs w:val="24"/>
          <w:lang w:val="en-US" w:eastAsia="zh-CN" w:bidi="ar"/>
        </w:rPr>
        <w:t>4</w:t>
      </w:r>
      <w:r>
        <w:rPr>
          <w:rFonts w:hint="default" w:ascii="Times New Roman" w:hAnsi="Times New Roman" w:cs="Times New Roman"/>
          <w:color w:val="auto"/>
          <w:szCs w:val="24"/>
          <w:lang w:bidi="ar"/>
        </w:rPr>
        <w:t>月，</w:t>
      </w:r>
      <w:r>
        <w:rPr>
          <w:rFonts w:hint="default" w:ascii="Times New Roman" w:hAnsi="Times New Roman" w:cs="Times New Roman"/>
          <w:color w:val="auto"/>
          <w:szCs w:val="24"/>
          <w:lang w:eastAsia="zh-CN" w:bidi="ar"/>
        </w:rPr>
        <w:t>四川广安绕城高速公路有限责任公司</w:t>
      </w:r>
      <w:r>
        <w:rPr>
          <w:rFonts w:hint="default" w:ascii="Times New Roman" w:hAnsi="Times New Roman" w:cs="Times New Roman"/>
          <w:color w:val="auto"/>
          <w:szCs w:val="24"/>
          <w:lang w:bidi="ar"/>
        </w:rPr>
        <w:t>发布实施了《</w:t>
      </w:r>
      <w:r>
        <w:rPr>
          <w:rFonts w:hint="default" w:ascii="Times New Roman" w:hAnsi="Times New Roman" w:cs="Times New Roman"/>
          <w:color w:val="auto"/>
          <w:szCs w:val="24"/>
          <w:lang w:eastAsia="zh-CN" w:bidi="ar"/>
        </w:rPr>
        <w:t>四川广安绕城高速公路有限责任公司</w:t>
      </w:r>
      <w:r>
        <w:rPr>
          <w:rFonts w:hint="default" w:ascii="Times New Roman" w:hAnsi="Times New Roman" w:cs="Times New Roman"/>
          <w:color w:val="auto"/>
          <w:szCs w:val="24"/>
          <w:lang w:bidi="ar"/>
        </w:rPr>
        <w:t>突发事件综合应急预案》（202</w:t>
      </w:r>
      <w:r>
        <w:rPr>
          <w:rFonts w:hint="eastAsia" w:cs="Times New Roman"/>
          <w:color w:val="auto"/>
          <w:szCs w:val="24"/>
          <w:lang w:val="en-US" w:eastAsia="zh-CN" w:bidi="ar"/>
        </w:rPr>
        <w:t>4</w:t>
      </w:r>
      <w:r>
        <w:rPr>
          <w:rFonts w:hint="default" w:ascii="Times New Roman" w:hAnsi="Times New Roman" w:cs="Times New Roman"/>
          <w:color w:val="auto"/>
          <w:szCs w:val="24"/>
          <w:lang w:bidi="ar"/>
        </w:rPr>
        <w:t>年版），并在</w:t>
      </w:r>
      <w:r>
        <w:rPr>
          <w:rFonts w:hint="eastAsia" w:cs="Times New Roman"/>
          <w:color w:val="auto"/>
          <w:szCs w:val="24"/>
          <w:lang w:val="en-US" w:eastAsia="zh-CN" w:bidi="ar"/>
        </w:rPr>
        <w:t>广安市岳池、华蓥、前锋、广安区、</w:t>
      </w:r>
      <w:r>
        <w:rPr>
          <w:rFonts w:hint="eastAsia" w:cs="Times New Roman"/>
          <w:b/>
          <w:bCs/>
          <w:color w:val="auto"/>
          <w:szCs w:val="24"/>
          <w:lang w:val="en-US" w:eastAsia="zh-CN" w:bidi="ar"/>
        </w:rPr>
        <w:t>重庆市合川区</w:t>
      </w:r>
      <w:r>
        <w:rPr>
          <w:rStyle w:val="25"/>
          <w:rFonts w:hint="default" w:ascii="Times New Roman" w:hAnsi="Times New Roman" w:cs="Times New Roman"/>
          <w:color w:val="auto"/>
          <w:szCs w:val="24"/>
        </w:rPr>
        <w:t>生态环境局完成备案。</w:t>
      </w:r>
    </w:p>
    <w:p w14:paraId="6A4808D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针对突发环境事件造成的污染和危害，现场指挥部应迅速指挥相关应急行动小组，采取阻断、覆盖、转移等措施处置风险源和扩散途径，防止环境污染扩大。结合高速公路风险物质运输特点</w:t>
      </w:r>
      <w:r>
        <w:rPr>
          <w:rFonts w:hint="eastAsia" w:cs="Times New Roman"/>
          <w:color w:val="auto"/>
          <w:szCs w:val="24"/>
          <w:lang w:val="en-US" w:eastAsia="zh-CN"/>
        </w:rPr>
        <w:t>项目道路</w:t>
      </w:r>
      <w:r>
        <w:rPr>
          <w:rFonts w:hint="default" w:ascii="Times New Roman" w:hAnsi="Times New Roman" w:cs="Times New Roman"/>
          <w:color w:val="auto"/>
          <w:szCs w:val="24"/>
        </w:rPr>
        <w:t>涉及风险物质运输主要分为以下几类：石油类、酸碱类、液氯、苯类、有机苯胺类等。</w:t>
      </w:r>
    </w:p>
    <w:p w14:paraId="5C8FB138">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公司将以上可能发生事件的应急措施设置成应急处置卡，并明确相关岗位人员，实施责任到岗制。</w:t>
      </w:r>
    </w:p>
    <w:p w14:paraId="283366B0">
      <w:pPr>
        <w:pStyle w:val="4"/>
        <w:numPr>
          <w:ilvl w:val="0"/>
          <w:numId w:val="0"/>
        </w:numPr>
        <w:ind w:left="720" w:leftChars="0" w:hanging="720" w:firstLineChars="0"/>
        <w:rPr>
          <w:rFonts w:hint="default" w:ascii="Times New Roman" w:hAnsi="Times New Roman" w:cs="Times New Roman"/>
          <w:color w:val="auto"/>
        </w:rPr>
      </w:pPr>
      <w:bookmarkStart w:id="195" w:name="_Toc10698"/>
      <w:bookmarkStart w:id="196" w:name="_Toc9354"/>
      <w:bookmarkStart w:id="197" w:name="_Toc23100"/>
      <w:bookmarkStart w:id="198" w:name="_Toc6896"/>
      <w:bookmarkStart w:id="199" w:name="_Toc27873"/>
      <w:bookmarkStart w:id="200" w:name="_Toc14051"/>
      <w:bookmarkStart w:id="201" w:name="_Toc202"/>
      <w:bookmarkStart w:id="202" w:name="_Toc17321"/>
      <w:bookmarkStart w:id="203" w:name="_Toc15340"/>
      <w:bookmarkStart w:id="204" w:name="_Toc21558"/>
      <w:bookmarkStart w:id="205" w:name="_Toc13501"/>
      <w:bookmarkStart w:id="206" w:name="_Toc16392"/>
      <w:bookmarkStart w:id="207" w:name="_Toc1994"/>
      <w:bookmarkStart w:id="208" w:name="_Toc25645"/>
      <w:bookmarkStart w:id="209" w:name="_Toc2851"/>
      <w:bookmarkStart w:id="210" w:name="_Toc9864"/>
      <w:r>
        <w:rPr>
          <w:rFonts w:hint="default" w:ascii="Times New Roman" w:hAnsi="Times New Roman" w:eastAsia="宋体" w:cs="Times New Roman"/>
          <w:b/>
          <w:bCs/>
          <w:color w:val="auto"/>
          <w:kern w:val="2"/>
          <w:sz w:val="30"/>
          <w:szCs w:val="32"/>
          <w:lang w:val="en-US" w:eastAsia="zh-CN" w:bidi="ar-SA"/>
        </w:rPr>
        <w:t>11.3.1</w:t>
      </w:r>
      <w:r>
        <w:rPr>
          <w:rFonts w:hint="default" w:ascii="Times New Roman" w:hAnsi="Times New Roman" w:cs="Times New Roman"/>
          <w:color w:val="auto"/>
        </w:rPr>
        <w:t>石油类风险物质的应急处置措施</w:t>
      </w:r>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p w14:paraId="699A255A">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11.3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default" w:ascii="Times New Roman" w:hAnsi="Times New Roman" w:cs="Times New Roman"/>
          <w:color w:val="auto"/>
        </w:rPr>
        <w:t>石油类风险物质的突发环境污染事件应急处置卡</w:t>
      </w:r>
    </w:p>
    <w:tbl>
      <w:tblPr>
        <w:tblStyle w:val="20"/>
        <w:tblW w:w="0" w:type="auto"/>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7736"/>
      </w:tblGrid>
      <w:tr w14:paraId="30E5D80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786" w:type="dxa"/>
            <w:noWrap w:val="0"/>
            <w:vAlign w:val="center"/>
          </w:tcPr>
          <w:p w14:paraId="54F244E0">
            <w:pPr>
              <w:pStyle w:val="29"/>
              <w:rPr>
                <w:rFonts w:hint="default" w:ascii="Times New Roman" w:hAnsi="Times New Roman" w:cs="Times New Roman"/>
                <w:color w:val="auto"/>
                <w:szCs w:val="24"/>
              </w:rPr>
            </w:pPr>
            <w:r>
              <w:rPr>
                <w:rFonts w:hint="default" w:ascii="Times New Roman" w:hAnsi="Times New Roman" w:cs="Times New Roman"/>
                <w:color w:val="auto"/>
                <w:szCs w:val="24"/>
              </w:rPr>
              <w:t>事故特征</w:t>
            </w:r>
          </w:p>
        </w:tc>
        <w:tc>
          <w:tcPr>
            <w:tcW w:w="7736" w:type="dxa"/>
            <w:noWrap w:val="0"/>
            <w:vAlign w:val="center"/>
          </w:tcPr>
          <w:p w14:paraId="21257588">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（1）风险物质：汽油、柴油、原油和燃油，主要风险物质为：汽油和柴油；</w:t>
            </w:r>
          </w:p>
          <w:p w14:paraId="5CF6F882">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（2）风险单元：行驶车辆、货运车辆；</w:t>
            </w:r>
          </w:p>
          <w:p w14:paraId="025C3CC0">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（3）风险特征：</w:t>
            </w:r>
          </w:p>
          <w:p w14:paraId="31D217CA">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①汽油高度易燃，蒸气与空气可形成爆炸性混合物，遇明火、高热极易燃烧爆炸，高浓度吸入汽油蒸气引起急性中毒，表现为中毒性脑病，出现精神症状、意识障碍。极高浓度吸入引起意识突然丧失、反射性呼吸停止。误将汽油吸入呼吸道可引起吸入性肺炎；</w:t>
            </w:r>
          </w:p>
          <w:p w14:paraId="6A731C5D">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②柴油遇明火、高热或与氧化剂接触，有引起燃烧爆炸的危险；对眼睛、皮肤、粘膜和呼吸道具有强烈刺激作用。吸入后，可引起喉、支气管的</w:t>
            </w:r>
            <w:r>
              <w:rPr>
                <w:rFonts w:hint="eastAsia" w:cs="Times New Roman"/>
                <w:color w:val="auto"/>
                <w:szCs w:val="24"/>
                <w:lang w:eastAsia="zh-CN"/>
              </w:rPr>
              <w:t>炎症</w:t>
            </w:r>
            <w:r>
              <w:rPr>
                <w:rFonts w:hint="default" w:ascii="Times New Roman" w:hAnsi="Times New Roman" w:cs="Times New Roman"/>
                <w:color w:val="auto"/>
                <w:szCs w:val="24"/>
              </w:rPr>
              <w:t>、水肿、痉挛、化学性肺炎或肺水肿。接触后可引起燃灼感咳嗽、喘息、气短、头痛、恶心和呕吐等。</w:t>
            </w:r>
          </w:p>
        </w:tc>
      </w:tr>
      <w:tr w14:paraId="38856F2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786" w:type="dxa"/>
            <w:noWrap w:val="0"/>
            <w:vAlign w:val="center"/>
          </w:tcPr>
          <w:p w14:paraId="02EFF9DA">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w:t>
            </w:r>
          </w:p>
          <w:p w14:paraId="0E312732">
            <w:pPr>
              <w:pStyle w:val="29"/>
              <w:rPr>
                <w:rFonts w:hint="default" w:ascii="Times New Roman" w:hAnsi="Times New Roman" w:cs="Times New Roman"/>
                <w:color w:val="auto"/>
                <w:szCs w:val="24"/>
              </w:rPr>
            </w:pPr>
            <w:r>
              <w:rPr>
                <w:rFonts w:hint="default" w:ascii="Times New Roman" w:hAnsi="Times New Roman" w:cs="Times New Roman"/>
                <w:color w:val="auto"/>
                <w:szCs w:val="24"/>
              </w:rPr>
              <w:t>程序</w:t>
            </w:r>
          </w:p>
        </w:tc>
        <w:tc>
          <w:tcPr>
            <w:tcW w:w="7736" w:type="dxa"/>
            <w:noWrap w:val="0"/>
            <w:vAlign w:val="center"/>
          </w:tcPr>
          <w:p w14:paraId="50D439DD">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（1）事件确认：应急办收到本公路段发生石油类突发环境事件报告后，应急办主任或值班员应向举报人核实事件发生的地点、事故的类型及事故的风险物质；</w:t>
            </w:r>
          </w:p>
          <w:p w14:paraId="141FC02E">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（2）事件确认后，应急办主任或值班员，并及时成立现场应急处置小组并通知应急指挥中心，根据现场实际情况同时进行应急处置，且根据事故的大小及发展态势向单位领导报告和扩大应急救援级别。</w:t>
            </w:r>
          </w:p>
        </w:tc>
      </w:tr>
      <w:tr w14:paraId="427D748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786" w:type="dxa"/>
            <w:noWrap w:val="0"/>
            <w:vAlign w:val="center"/>
          </w:tcPr>
          <w:p w14:paraId="0A23CFBF">
            <w:pPr>
              <w:pStyle w:val="29"/>
              <w:rPr>
                <w:rFonts w:hint="default" w:ascii="Times New Roman" w:hAnsi="Times New Roman" w:cs="Times New Roman"/>
                <w:color w:val="auto"/>
                <w:szCs w:val="24"/>
              </w:rPr>
            </w:pPr>
            <w:r>
              <w:rPr>
                <w:rFonts w:hint="default" w:ascii="Times New Roman" w:hAnsi="Times New Roman" w:cs="Times New Roman"/>
                <w:color w:val="auto"/>
                <w:szCs w:val="24"/>
              </w:rPr>
              <w:t>撤离和疏散</w:t>
            </w:r>
          </w:p>
        </w:tc>
        <w:tc>
          <w:tcPr>
            <w:tcW w:w="7736" w:type="dxa"/>
            <w:noWrap w:val="0"/>
            <w:vAlign w:val="center"/>
          </w:tcPr>
          <w:p w14:paraId="60544D18">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进行危险区隔离，周边作业人员及可能受影响的敏感点人员疏散</w:t>
            </w:r>
          </w:p>
        </w:tc>
      </w:tr>
      <w:tr w14:paraId="0BC7FCF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786" w:type="dxa"/>
            <w:noWrap w:val="0"/>
            <w:vAlign w:val="center"/>
          </w:tcPr>
          <w:p w14:paraId="04CB9C1B">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应急处置措施</w:t>
            </w:r>
          </w:p>
        </w:tc>
        <w:tc>
          <w:tcPr>
            <w:tcW w:w="7736" w:type="dxa"/>
            <w:noWrap w:val="0"/>
            <w:vAlign w:val="center"/>
          </w:tcPr>
          <w:p w14:paraId="1193F325">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（1）石油类风险物质泄漏现场应急处置措施：</w:t>
            </w:r>
          </w:p>
          <w:p w14:paraId="5A5BB625">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①疏散与隔离：确认石油类风险物质在本公路发生泄漏后，在事故发生点车辆行驶方向上后150m</w:t>
            </w:r>
            <w:r>
              <w:rPr>
                <w:rFonts w:hint="eastAsia" w:cs="Times New Roman"/>
                <w:color w:val="auto"/>
                <w:szCs w:val="24"/>
                <w:lang w:eastAsia="zh-CN"/>
              </w:rPr>
              <w:t>～</w:t>
            </w:r>
            <w:r>
              <w:rPr>
                <w:rFonts w:hint="default" w:ascii="Times New Roman" w:hAnsi="Times New Roman" w:cs="Times New Roman"/>
                <w:color w:val="auto"/>
                <w:szCs w:val="24"/>
              </w:rPr>
              <w:t>200m处设置警示标志，拦截后方车辆驶入；</w:t>
            </w:r>
          </w:p>
          <w:p w14:paraId="67D703B7">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②切断泄漏源：现场应急处理人员根据油罐车的泄漏情况（罐体受损、槽车侧翻）采取适当的切断泄漏源的措施，若是罐体泄漏形式（砂眼、裂缝、孔洞和裂口）采用木楔、外封式堵漏袋等方式进行堵漏，若是槽车侧翻则采用吊车将其扶正即可；</w:t>
            </w:r>
          </w:p>
          <w:p w14:paraId="7346F902">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③堵漏后处置：大量泄漏时，则需根据事故发生点的地形、地势等实际情况构筑围堤或挖沟槽收容泄漏物，防止进入水体或土壤中；可用泡沫覆盖泄漏物，减少挥发；用砂土或其他不燃材料吸收泄漏物；如果储罐发生泄漏，可通过倒罐转移尚未泄漏的液体；如果跨河桥梁或农田附近路段发生泄漏事故且流入河流水体或农田中，可布设围油栏引导或遏制溢油，防止溢油扩散，使用撇油器、吸油棉或消油剂清除油污；</w:t>
            </w:r>
          </w:p>
          <w:p w14:paraId="4D772688">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④注意事项：消除所有点火源</w:t>
            </w:r>
            <w:r>
              <w:rPr>
                <w:rFonts w:hint="eastAsia" w:cs="Times New Roman"/>
                <w:color w:val="auto"/>
                <w:szCs w:val="24"/>
                <w:lang w:eastAsia="zh-CN"/>
              </w:rPr>
              <w:t>（</w:t>
            </w:r>
            <w:r>
              <w:rPr>
                <w:rFonts w:hint="default" w:ascii="Times New Roman" w:hAnsi="Times New Roman" w:cs="Times New Roman"/>
                <w:color w:val="auto"/>
                <w:szCs w:val="24"/>
              </w:rPr>
              <w:t>泄漏路段附近禁止吸烟，消除所有明火、火花或火焰</w:t>
            </w:r>
            <w:r>
              <w:rPr>
                <w:rFonts w:hint="eastAsia" w:cs="Times New Roman"/>
                <w:color w:val="auto"/>
                <w:szCs w:val="24"/>
                <w:lang w:eastAsia="zh-CN"/>
              </w:rPr>
              <w:t>）</w:t>
            </w:r>
            <w:r>
              <w:rPr>
                <w:rFonts w:hint="default" w:ascii="Times New Roman" w:hAnsi="Times New Roman" w:cs="Times New Roman"/>
                <w:color w:val="auto"/>
                <w:szCs w:val="24"/>
              </w:rPr>
              <w:t>；使用防爆的通讯工具（如对讲机）。</w:t>
            </w:r>
          </w:p>
          <w:p w14:paraId="0554EF17">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（2）石油类风险物质火灾爆炸现场应急处置措施</w:t>
            </w:r>
          </w:p>
          <w:p w14:paraId="7E4F8EBA">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①确认石油类风险物质在本公路发生泄漏后，在事故发生点车辆行驶方向上后150m</w:t>
            </w:r>
            <w:r>
              <w:rPr>
                <w:rFonts w:hint="eastAsia" w:cs="Times New Roman"/>
                <w:color w:val="auto"/>
                <w:szCs w:val="24"/>
                <w:lang w:eastAsia="zh-CN"/>
              </w:rPr>
              <w:t>～</w:t>
            </w:r>
            <w:r>
              <w:rPr>
                <w:rFonts w:hint="default" w:ascii="Times New Roman" w:hAnsi="Times New Roman" w:cs="Times New Roman"/>
                <w:color w:val="auto"/>
                <w:szCs w:val="24"/>
              </w:rPr>
              <w:t>200m处设置警示标志，拦截后方车辆驶入；迅速撤离泄漏污染区人员至上风处，并立即隔离150m，严格限制出入；</w:t>
            </w:r>
          </w:p>
          <w:p w14:paraId="05F5FAD4">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②切断火源：关闭手机及其它明火；</w:t>
            </w:r>
          </w:p>
          <w:p w14:paraId="74A89573">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③各救援小组在消防人员到达事故现场之前，应继续加强冷却，撤离周围易燃可燃物品等办法控制火势。</w:t>
            </w:r>
          </w:p>
          <w:p w14:paraId="0753B4E5">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④消防人员必须穿戴全身防火防毒服。使用抗溶性泡沫灭火器、二氧化碳灭火器以及</w:t>
            </w:r>
            <w:r>
              <w:rPr>
                <w:rFonts w:hint="eastAsia" w:cs="Times New Roman"/>
                <w:color w:val="auto"/>
                <w:szCs w:val="24"/>
                <w:lang w:eastAsia="zh-CN"/>
              </w:rPr>
              <w:t>沙土</w:t>
            </w:r>
            <w:r>
              <w:rPr>
                <w:rFonts w:hint="default" w:ascii="Times New Roman" w:hAnsi="Times New Roman" w:cs="Times New Roman"/>
                <w:color w:val="auto"/>
                <w:szCs w:val="24"/>
              </w:rPr>
              <w:t>等灭火；切断泄漏源；构筑围堤收集泄漏物，并在事故后对其进行妥善处理。事故现场继续蔓延扩大，现场指挥人员应通知各救援小组快速集结，快速反应履行各自职责投入抢救伤员、灭火行动，并按应急指挥人员要求，向公安消防机构报火警，并派人接应消防车辆，以及向地方政府及相关部门报告，请求支援。</w:t>
            </w:r>
          </w:p>
          <w:p w14:paraId="6D442F84">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⑤考虑到有可能形成窒息性CO气体，救援人员应佩戴正压式呼吸器，以防止中毒，在专业消防人员到达事故现场后，听从指挥积极配合专业消防人员完成灭火任务。</w:t>
            </w:r>
          </w:p>
          <w:p w14:paraId="7E8876D5">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⑥在进行自救灭火、疏导人员、抢救物资、抢救伤员等救援行动时，应注意自身安全，无能力自救时各组人员应尽快撤离火灾、爆炸现场。</w:t>
            </w:r>
          </w:p>
          <w:p w14:paraId="0B4F907B">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⑦通过设置阻拦设施，尽量将消防水引入环境非敏感区域中，并对其进行油污去除后排放，严防消防废水、洗消废水流入地表径流、水库、江河或农田中，确保河流水体或农田不受到污染。</w:t>
            </w:r>
          </w:p>
        </w:tc>
      </w:tr>
      <w:tr w14:paraId="6839C1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786" w:type="dxa"/>
            <w:noWrap w:val="0"/>
            <w:vAlign w:val="center"/>
          </w:tcPr>
          <w:p w14:paraId="7A7F5CE8">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应急监测</w:t>
            </w:r>
          </w:p>
        </w:tc>
        <w:tc>
          <w:tcPr>
            <w:tcW w:w="7736" w:type="dxa"/>
            <w:noWrap w:val="0"/>
            <w:vAlign w:val="center"/>
          </w:tcPr>
          <w:p w14:paraId="1B111E97">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大气监测要点如下（发生火灾爆炸事故）：</w:t>
            </w:r>
          </w:p>
          <w:p w14:paraId="550628D1">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（1）监测因子：CO等。</w:t>
            </w:r>
          </w:p>
          <w:p w14:paraId="4D389941">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（2）监测方法：CO采用五氧化二碘比长式检测管法，使用便携式气体检测仪。</w:t>
            </w:r>
          </w:p>
          <w:p w14:paraId="55CFFAF7">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（3）监测布点：事故发生地。在事故发生地下风侧50m、300m、500m及敏感点布点监测。</w:t>
            </w:r>
          </w:p>
          <w:p w14:paraId="6B277B8F">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（4）监测频次：根据污染物的状况，在事发初期应当增加频次，不少于2小时采样一次待摸清污染物规律后可适当减少，不少于6小时一次；应急终止后可24小时一次进行应急监测取样。</w:t>
            </w:r>
          </w:p>
          <w:p w14:paraId="73DA72D1">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水质监测要点如下（发生泄漏事故）：</w:t>
            </w:r>
          </w:p>
          <w:p w14:paraId="28F28960">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（1）监测因子：石油类等。</w:t>
            </w:r>
          </w:p>
          <w:p w14:paraId="33637821">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（2）监测方法：石油类采用红外分光度计法，使用红外线测油仪。</w:t>
            </w:r>
          </w:p>
          <w:p w14:paraId="08C6BFD3">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（3）监测布点：事故发生地附近水体；石油类重点在事故发生地附近水体下游100m、200m、300m处监测（事发地水体上游200m设一个监测断面），根据事态发展情况决定是否扩大监测范围；</w:t>
            </w:r>
          </w:p>
          <w:p w14:paraId="1CA50549">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（4）监测频次：根据污染物的状况，在事发初期应当增加频次，不少于2小时采样一次待摸清污染物规律后可适当减少，不少于6小时一次；应急终止后可24小时一次进行取样。</w:t>
            </w:r>
          </w:p>
        </w:tc>
      </w:tr>
      <w:tr w14:paraId="7273A7A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c>
          <w:tcPr>
            <w:tcW w:w="786" w:type="dxa"/>
            <w:noWrap w:val="0"/>
            <w:vAlign w:val="center"/>
          </w:tcPr>
          <w:p w14:paraId="3D2A177D">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应急物资</w:t>
            </w:r>
          </w:p>
        </w:tc>
        <w:tc>
          <w:tcPr>
            <w:tcW w:w="7736" w:type="dxa"/>
            <w:noWrap w:val="0"/>
            <w:vAlign w:val="center"/>
          </w:tcPr>
          <w:p w14:paraId="2C809290">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堵漏工具、吸油棉、吸油垫等。</w:t>
            </w:r>
          </w:p>
        </w:tc>
      </w:tr>
    </w:tbl>
    <w:p w14:paraId="440587A2">
      <w:pPr>
        <w:pStyle w:val="4"/>
        <w:numPr>
          <w:ilvl w:val="0"/>
          <w:numId w:val="0"/>
        </w:numPr>
        <w:ind w:left="720" w:leftChars="0" w:hanging="720" w:firstLineChars="0"/>
        <w:rPr>
          <w:rFonts w:hint="default" w:ascii="Times New Roman" w:hAnsi="Times New Roman" w:cs="Times New Roman"/>
          <w:color w:val="auto"/>
        </w:rPr>
      </w:pPr>
      <w:bookmarkStart w:id="211" w:name="_Toc15209"/>
      <w:r>
        <w:rPr>
          <w:rFonts w:hint="default" w:ascii="Times New Roman" w:hAnsi="Times New Roman" w:eastAsia="宋体" w:cs="Times New Roman"/>
          <w:b/>
          <w:bCs/>
          <w:color w:val="auto"/>
          <w:kern w:val="2"/>
          <w:sz w:val="30"/>
          <w:szCs w:val="32"/>
          <w:lang w:val="en-US" w:eastAsia="zh-CN" w:bidi="ar-SA"/>
        </w:rPr>
        <w:t>11.3.2</w:t>
      </w:r>
      <w:r>
        <w:rPr>
          <w:rFonts w:hint="default" w:ascii="Times New Roman" w:hAnsi="Times New Roman" w:cs="Times New Roman"/>
          <w:color w:val="auto"/>
        </w:rPr>
        <w:t>酸碱类风险物质的应急处置措施</w:t>
      </w:r>
      <w:bookmarkEnd w:id="211"/>
    </w:p>
    <w:p w14:paraId="6DA779F9">
      <w:pPr>
        <w:pStyle w:val="9"/>
        <w:rPr>
          <w:rFonts w:hint="default" w:ascii="Times New Roman" w:hAnsi="Times New Roman" w:cs="Times New Roman"/>
          <w:bCs/>
          <w:color w:val="auto"/>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11.3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bCs/>
          <w:color w:val="auto"/>
          <w:lang w:val="en-US" w:eastAsia="zh-CN"/>
        </w:rPr>
        <w:t>酸碱类风险物质突发环境事件应急卡</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7606"/>
      </w:tblGrid>
      <w:tr w14:paraId="6A714D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67DB0818">
            <w:pPr>
              <w:pStyle w:val="29"/>
              <w:rPr>
                <w:rFonts w:hint="default" w:ascii="Times New Roman" w:hAnsi="Times New Roman" w:cs="Times New Roman"/>
                <w:color w:val="auto"/>
                <w:szCs w:val="24"/>
              </w:rPr>
            </w:pPr>
            <w:r>
              <w:rPr>
                <w:rFonts w:hint="default" w:ascii="Times New Roman" w:hAnsi="Times New Roman" w:cs="Times New Roman"/>
                <w:color w:val="auto"/>
                <w:szCs w:val="24"/>
              </w:rPr>
              <w:t>事故特征</w:t>
            </w:r>
          </w:p>
        </w:tc>
        <w:tc>
          <w:tcPr>
            <w:tcW w:w="7606" w:type="dxa"/>
            <w:noWrap w:val="0"/>
            <w:vAlign w:val="center"/>
          </w:tcPr>
          <w:p w14:paraId="67EB5D91">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（1）风险物质：硫酸、盐酸、硝酸、氯磺酸、氨水，主要风险物质为：硫酸、盐酸、氨水；</w:t>
            </w:r>
          </w:p>
          <w:p w14:paraId="1B907223">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（2）风险单元：硫酸、盐酸和氨水货运车辆（一般为槽罐车）；</w:t>
            </w:r>
          </w:p>
          <w:p w14:paraId="794AAB88">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（3）风险特征：</w:t>
            </w:r>
          </w:p>
          <w:p w14:paraId="6093DDD7">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①浓硫酸、浓盐酸、氨水均不燃，</w:t>
            </w:r>
            <w:r>
              <w:rPr>
                <w:rFonts w:hint="eastAsia" w:cs="Times New Roman"/>
                <w:color w:val="auto"/>
                <w:szCs w:val="24"/>
                <w:lang w:eastAsia="zh-CN"/>
              </w:rPr>
              <w:t>进入</w:t>
            </w:r>
            <w:r>
              <w:rPr>
                <w:rFonts w:hint="default" w:ascii="Times New Roman" w:hAnsi="Times New Roman" w:cs="Times New Roman"/>
                <w:color w:val="auto"/>
                <w:szCs w:val="24"/>
              </w:rPr>
              <w:t>水体后，使pH值急剧变化。对水生生物和底泥微生物是致命的；</w:t>
            </w:r>
          </w:p>
          <w:p w14:paraId="22CE15A2">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②浓硫酸有强腐蚀性，接触可致人体严重灼伤，浓硫酸遇水大量放热，可发生沸溅；</w:t>
            </w:r>
          </w:p>
          <w:p w14:paraId="3EBC7CE5">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③盐酸对皮肤和黏膜有强刺激性和腐蚀性，接触盐酸烟雾后迅速出现眼和上呼吸道</w:t>
            </w:r>
            <w:r>
              <w:rPr>
                <w:rFonts w:hint="eastAsia" w:cs="Times New Roman"/>
                <w:color w:val="auto"/>
                <w:szCs w:val="24"/>
                <w:lang w:eastAsia="zh-CN"/>
              </w:rPr>
              <w:t>刺激症状</w:t>
            </w:r>
            <w:r>
              <w:rPr>
                <w:rFonts w:hint="default" w:ascii="Times New Roman" w:hAnsi="Times New Roman" w:cs="Times New Roman"/>
                <w:color w:val="auto"/>
                <w:szCs w:val="24"/>
              </w:rPr>
              <w:t>，可发生喉痉挛、水肿和化学性支气管炎、肺炎、肺水肿，眼和皮肤接触引起化学性灼伤；</w:t>
            </w:r>
          </w:p>
          <w:p w14:paraId="250242D4">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④氨水具有腐蚀性，且会挥发有毒的氨气。</w:t>
            </w:r>
          </w:p>
        </w:tc>
      </w:tr>
      <w:tr w14:paraId="2D6EAB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6FDA3A9E">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w:t>
            </w:r>
          </w:p>
          <w:p w14:paraId="37A6B304">
            <w:pPr>
              <w:pStyle w:val="29"/>
              <w:rPr>
                <w:rFonts w:hint="default" w:ascii="Times New Roman" w:hAnsi="Times New Roman" w:cs="Times New Roman"/>
                <w:color w:val="auto"/>
                <w:szCs w:val="24"/>
              </w:rPr>
            </w:pPr>
            <w:r>
              <w:rPr>
                <w:rFonts w:hint="default" w:ascii="Times New Roman" w:hAnsi="Times New Roman" w:cs="Times New Roman"/>
                <w:color w:val="auto"/>
                <w:szCs w:val="24"/>
              </w:rPr>
              <w:t>程序</w:t>
            </w:r>
          </w:p>
        </w:tc>
        <w:tc>
          <w:tcPr>
            <w:tcW w:w="7606" w:type="dxa"/>
            <w:noWrap w:val="0"/>
            <w:vAlign w:val="center"/>
          </w:tcPr>
          <w:p w14:paraId="7A35869C">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（1）事件确认：应急办收到本公路段发生酸碱类突发环境事件报告后，应急办主任或值班员应向举报人核实事件发生的地点、事故的类型及事故的风险物质；</w:t>
            </w:r>
          </w:p>
          <w:p w14:paraId="33CC7EE3">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（2）事件确认后，应急办主任或值班员，并及时成立现场应急处置小组并通知应急指挥中心，根据现场实际情况同时进行应急处置，且根据事故的大小及发展态势向单位领导报告和扩大应急救援级别。</w:t>
            </w:r>
          </w:p>
        </w:tc>
      </w:tr>
      <w:tr w14:paraId="51BC21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7375DE15">
            <w:pPr>
              <w:pStyle w:val="29"/>
              <w:rPr>
                <w:rFonts w:hint="default" w:ascii="Times New Roman" w:hAnsi="Times New Roman" w:cs="Times New Roman"/>
                <w:color w:val="auto"/>
                <w:szCs w:val="24"/>
              </w:rPr>
            </w:pPr>
            <w:r>
              <w:rPr>
                <w:rFonts w:hint="default" w:ascii="Times New Roman" w:hAnsi="Times New Roman" w:cs="Times New Roman"/>
                <w:color w:val="auto"/>
                <w:szCs w:val="24"/>
              </w:rPr>
              <w:t>撤离和</w:t>
            </w:r>
          </w:p>
          <w:p w14:paraId="646E349A">
            <w:pPr>
              <w:pStyle w:val="29"/>
              <w:rPr>
                <w:rFonts w:hint="default" w:ascii="Times New Roman" w:hAnsi="Times New Roman" w:cs="Times New Roman"/>
                <w:color w:val="auto"/>
                <w:szCs w:val="24"/>
              </w:rPr>
            </w:pPr>
            <w:r>
              <w:rPr>
                <w:rFonts w:hint="default" w:ascii="Times New Roman" w:hAnsi="Times New Roman" w:cs="Times New Roman"/>
                <w:color w:val="auto"/>
                <w:szCs w:val="24"/>
              </w:rPr>
              <w:t>疏散</w:t>
            </w:r>
          </w:p>
        </w:tc>
        <w:tc>
          <w:tcPr>
            <w:tcW w:w="7606" w:type="dxa"/>
            <w:noWrap w:val="0"/>
            <w:vAlign w:val="center"/>
          </w:tcPr>
          <w:p w14:paraId="631A91FE">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进行危险区隔离，周边作业人员及可能受影响的敏感点人员疏散</w:t>
            </w:r>
          </w:p>
        </w:tc>
      </w:tr>
      <w:tr w14:paraId="361B1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21D31BA5">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应急处置措施</w:t>
            </w:r>
          </w:p>
        </w:tc>
        <w:tc>
          <w:tcPr>
            <w:tcW w:w="7606" w:type="dxa"/>
            <w:noWrap w:val="0"/>
            <w:vAlign w:val="center"/>
          </w:tcPr>
          <w:p w14:paraId="022D57A2">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（1）酸碱类风险物质泄漏现场应急处置措施：</w:t>
            </w:r>
          </w:p>
          <w:p w14:paraId="3599EB13">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①疏散与隔离：确认酸碱类风险物质在本公路段发生泄漏后，在事故发生点车辆行驶方向上后150m</w:t>
            </w:r>
            <w:r>
              <w:rPr>
                <w:rFonts w:hint="eastAsia" w:cs="Times New Roman"/>
                <w:color w:val="auto"/>
                <w:szCs w:val="24"/>
                <w:lang w:eastAsia="zh-CN"/>
              </w:rPr>
              <w:t>～</w:t>
            </w:r>
            <w:r>
              <w:rPr>
                <w:rFonts w:hint="default" w:ascii="Times New Roman" w:hAnsi="Times New Roman" w:cs="Times New Roman"/>
                <w:color w:val="auto"/>
                <w:szCs w:val="24"/>
              </w:rPr>
              <w:t>200m处设置警示标志，拦截后方车辆驶入；</w:t>
            </w:r>
          </w:p>
          <w:p w14:paraId="21FA53F1">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②切断泄漏源：现场应急处理人员根据槽罐车的泄漏情况（罐体受损、槽车侧翻）采取适当的切断泄漏源的措施，若是罐体泄漏形式（砂眼、裂缝、孔洞和裂口）采用木楔外封式堵漏袋等方式进行堵漏，若是槽车侧翻则采用吊车将其扶正即可；</w:t>
            </w:r>
          </w:p>
          <w:p w14:paraId="6C8365AD">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③堵漏后处置：大量泄漏时，则需根据事故发生点的地形、地势等实际情况构筑围堤或挖沟槽收容泄漏物，防止进入水体或土壤中；少量酸性物质可用生石灰或碳酸氢钠覆盖以减少挥发；用砂土或其他不燃材料吸收泄漏物；如果储罐发生泄漏，可通过倒罐转移尚未泄漏的液体；如果跨河桥梁或农田附近路段发生泄漏事故且流入河流水体或农田中，对酸性物质可投放生石灰或碳酸氢钠、氢氧化钠中和对氨水可让其自然稀释并根据情况适时投加稀酸（盐酸或硫酸）中和；河流沿途进行警戒，严禁取水、用水、捕捞等一切活动等。</w:t>
            </w:r>
          </w:p>
          <w:p w14:paraId="49A30F7E">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④对形成的酸雾，应用水或弱碱液喷雾吸收，对形成的氨气应用水吸收。吸收液应尽量收集，中和后才能排放。</w:t>
            </w:r>
          </w:p>
          <w:p w14:paraId="2FA325CE">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⑤注意事项：未穿全身防护服时，禁止触及毁损容器或泄漏物；在确保安全的情况下采用关阀、堵漏等措施，以切断泄漏源。救护人员必须戴防毒面具进出现场，阻断毒物泄漏处，阻止</w:t>
            </w:r>
            <w:r>
              <w:rPr>
                <w:rFonts w:hint="eastAsia" w:cs="Times New Roman"/>
                <w:color w:val="auto"/>
                <w:szCs w:val="24"/>
                <w:lang w:eastAsia="zh-CN"/>
              </w:rPr>
              <w:t>毒物</w:t>
            </w:r>
            <w:r>
              <w:rPr>
                <w:rFonts w:hint="default" w:ascii="Times New Roman" w:hAnsi="Times New Roman" w:cs="Times New Roman"/>
                <w:color w:val="auto"/>
                <w:szCs w:val="24"/>
              </w:rPr>
              <w:t>蔓延。如时间短，对于水溶性毒物，可暂用湿毛巾捂住口鼻，迅速将中毒者移离现场至风口、空气新鲜处；如皮肤被污染，用大量流动清水冲洗15-30分钟如中毒引起呼吸、心跳停止，应立即进行人工呼吸、胸外</w:t>
            </w:r>
            <w:r>
              <w:rPr>
                <w:rFonts w:hint="eastAsia" w:cs="Times New Roman"/>
                <w:color w:val="auto"/>
                <w:szCs w:val="24"/>
                <w:lang w:eastAsia="zh-CN"/>
              </w:rPr>
              <w:t>按压</w:t>
            </w:r>
            <w:r>
              <w:rPr>
                <w:rFonts w:hint="default" w:ascii="Times New Roman" w:hAnsi="Times New Roman" w:cs="Times New Roman"/>
                <w:color w:val="auto"/>
                <w:szCs w:val="24"/>
              </w:rPr>
              <w:t>，并及时送往就近的医院进行抢救。</w:t>
            </w:r>
          </w:p>
        </w:tc>
      </w:tr>
      <w:tr w14:paraId="64976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4BEB2079">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应急监测</w:t>
            </w:r>
          </w:p>
        </w:tc>
        <w:tc>
          <w:tcPr>
            <w:tcW w:w="7606" w:type="dxa"/>
            <w:noWrap w:val="0"/>
            <w:vAlign w:val="center"/>
          </w:tcPr>
          <w:p w14:paraId="3278A462">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水质监测要点如下：</w:t>
            </w:r>
          </w:p>
          <w:p w14:paraId="12E58428">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（1）监测因子：pH等。</w:t>
            </w:r>
          </w:p>
          <w:p w14:paraId="08B0DA12">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（2）监测方法：pH采用玻璃电极法，使用Phs-3CW酸度计。</w:t>
            </w:r>
          </w:p>
          <w:p w14:paraId="2953D265">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（3）监测布点：事故发生地附近水体；重点在跨桥梁下游100m、200m、300m处监测（跨桥梁上游200m设一个监测断面），根据事态发展情况决定是否扩大监测范围。</w:t>
            </w:r>
          </w:p>
          <w:p w14:paraId="032EBCA7">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（4）监测频次：根据污染物的状况，在事发初期应当增加频次，不少于2小时采样一次；待摸清污染物规律后可适当减少，不少于6小时一次；应急终止后可24小时一次进行取样。</w:t>
            </w:r>
          </w:p>
        </w:tc>
      </w:tr>
      <w:tr w14:paraId="541E1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45CFE0BF">
            <w:pPr>
              <w:pStyle w:val="29"/>
              <w:rPr>
                <w:rFonts w:hint="default" w:ascii="Times New Roman" w:hAnsi="Times New Roman" w:cs="Times New Roman"/>
                <w:color w:val="auto"/>
                <w:szCs w:val="24"/>
              </w:rPr>
            </w:pPr>
            <w:r>
              <w:rPr>
                <w:rFonts w:hint="default" w:ascii="Times New Roman" w:hAnsi="Times New Roman" w:cs="Times New Roman"/>
                <w:color w:val="auto"/>
                <w:szCs w:val="24"/>
              </w:rPr>
              <w:t>应急物资</w:t>
            </w:r>
          </w:p>
        </w:tc>
        <w:tc>
          <w:tcPr>
            <w:tcW w:w="7606" w:type="dxa"/>
            <w:noWrap w:val="0"/>
            <w:vAlign w:val="center"/>
          </w:tcPr>
          <w:p w14:paraId="0EBA60BB">
            <w:pPr>
              <w:pStyle w:val="29"/>
              <w:jc w:val="both"/>
              <w:rPr>
                <w:rFonts w:hint="default" w:ascii="Times New Roman" w:hAnsi="Times New Roman" w:cs="Times New Roman"/>
                <w:color w:val="auto"/>
                <w:szCs w:val="24"/>
              </w:rPr>
            </w:pPr>
            <w:r>
              <w:rPr>
                <w:rFonts w:hint="default" w:ascii="Times New Roman" w:hAnsi="Times New Roman" w:cs="Times New Roman"/>
                <w:color w:val="auto"/>
                <w:szCs w:val="24"/>
              </w:rPr>
              <w:t>堵漏工具、生石灰、呼吸器、防护服、耐酸手套等</w:t>
            </w:r>
          </w:p>
        </w:tc>
      </w:tr>
    </w:tbl>
    <w:p w14:paraId="40AECBD1">
      <w:pPr>
        <w:pStyle w:val="4"/>
        <w:numPr>
          <w:ilvl w:val="0"/>
          <w:numId w:val="0"/>
        </w:numPr>
        <w:ind w:left="720" w:leftChars="0" w:hanging="720" w:firstLineChars="0"/>
        <w:rPr>
          <w:rFonts w:hint="default" w:ascii="Times New Roman" w:hAnsi="Times New Roman" w:cs="Times New Roman"/>
          <w:color w:val="auto"/>
        </w:rPr>
      </w:pPr>
      <w:bookmarkStart w:id="212" w:name="_Toc9221"/>
      <w:r>
        <w:rPr>
          <w:rFonts w:hint="default" w:ascii="Times New Roman" w:hAnsi="Times New Roman" w:eastAsia="宋体" w:cs="Times New Roman"/>
          <w:b/>
          <w:bCs/>
          <w:color w:val="auto"/>
          <w:kern w:val="2"/>
          <w:sz w:val="30"/>
          <w:szCs w:val="32"/>
          <w:lang w:val="en-US" w:eastAsia="zh-CN" w:bidi="ar-SA"/>
        </w:rPr>
        <w:t>11.3.3</w:t>
      </w:r>
      <w:r>
        <w:rPr>
          <w:rFonts w:hint="default" w:ascii="Times New Roman" w:hAnsi="Times New Roman" w:cs="Times New Roman"/>
          <w:color w:val="auto"/>
        </w:rPr>
        <w:t>液氯的应急处置措施</w:t>
      </w:r>
      <w:bookmarkEnd w:id="212"/>
    </w:p>
    <w:p w14:paraId="30927FB5">
      <w:pPr>
        <w:pStyle w:val="9"/>
        <w:rPr>
          <w:rFonts w:hint="default" w:ascii="Times New Roman" w:hAnsi="Times New Roman" w:cs="Times New Roman"/>
          <w:bCs/>
          <w:color w:val="auto"/>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11.3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3</w:t>
      </w:r>
      <w:r>
        <w:rPr>
          <w:rFonts w:hint="default" w:ascii="Times New Roman" w:hAnsi="Times New Roman" w:cs="Times New Roman"/>
          <w:color w:val="auto"/>
        </w:rPr>
        <w:fldChar w:fldCharType="end"/>
      </w:r>
      <w:r>
        <w:rPr>
          <w:rFonts w:hint="default" w:ascii="Times New Roman" w:hAnsi="Times New Roman" w:cs="Times New Roman"/>
          <w:bCs/>
          <w:color w:val="auto"/>
          <w:lang w:val="en-US" w:eastAsia="zh-CN"/>
        </w:rPr>
        <w:t>液氯突发环境事件应急卡</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7585"/>
      </w:tblGrid>
      <w:tr w14:paraId="21E43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7" w:type="dxa"/>
            <w:noWrap w:val="0"/>
            <w:vAlign w:val="center"/>
          </w:tcPr>
          <w:p w14:paraId="02B89D3E">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事故特征</w:t>
            </w:r>
          </w:p>
        </w:tc>
        <w:tc>
          <w:tcPr>
            <w:tcW w:w="7585" w:type="dxa"/>
            <w:noWrap w:val="0"/>
            <w:vAlign w:val="center"/>
          </w:tcPr>
          <w:p w14:paraId="78219EBE">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（1）风险物质：液氯；</w:t>
            </w:r>
          </w:p>
          <w:p w14:paraId="248D47E6">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（2）风险单元：液氯货运车辆（一般为槽罐车）；</w:t>
            </w:r>
          </w:p>
          <w:p w14:paraId="63F29E70">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（3）风险特征：</w:t>
            </w:r>
          </w:p>
          <w:p w14:paraId="09A0CD22">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液氨，是一种有刺激臭味的无色有毒气体，极易溶于水，水溶液呈碱性，易液化，一般液氨可作</w:t>
            </w:r>
            <w:r>
              <w:rPr>
                <w:rFonts w:hint="eastAsia" w:cs="Times New Roman"/>
                <w:color w:val="auto"/>
                <w:sz w:val="21"/>
                <w:szCs w:val="24"/>
                <w:lang w:eastAsia="zh-CN"/>
              </w:rPr>
              <w:t>制冷剂</w:t>
            </w:r>
            <w:r>
              <w:rPr>
                <w:rFonts w:hint="default" w:ascii="Times New Roman" w:hAnsi="Times New Roman" w:cs="Times New Roman"/>
                <w:color w:val="auto"/>
                <w:sz w:val="21"/>
                <w:szCs w:val="24"/>
              </w:rPr>
              <w:t>，接触液氨可引起严重冻伤。氨气爆炸极限为</w:t>
            </w:r>
            <w:r>
              <w:rPr>
                <w:rFonts w:hint="eastAsia" w:cs="Times New Roman"/>
                <w:color w:val="auto"/>
                <w:sz w:val="21"/>
                <w:szCs w:val="24"/>
                <w:lang w:eastAsia="zh-CN"/>
              </w:rPr>
              <w:t>15.7%～27.4%</w:t>
            </w:r>
            <w:r>
              <w:rPr>
                <w:rFonts w:hint="default" w:ascii="Times New Roman" w:hAnsi="Times New Roman" w:cs="Times New Roman"/>
                <w:color w:val="auto"/>
                <w:sz w:val="21"/>
                <w:szCs w:val="24"/>
              </w:rPr>
              <w:t>，其火灾危险性属于乙类2项物品。液氨为液化状态的氨气，是在适当压力下由氨气液化成液氨，一般储存于钢瓶或储罐中，在储存、运输、使用等环节，应当采取必要的防火措施，防止发生泄漏爆炸事故。因此、氨气与空气或氧气</w:t>
            </w:r>
            <w:r>
              <w:rPr>
                <w:rFonts w:hint="eastAsia" w:cs="Times New Roman"/>
                <w:color w:val="auto"/>
                <w:sz w:val="21"/>
                <w:szCs w:val="24"/>
                <w:lang w:eastAsia="zh-CN"/>
              </w:rPr>
              <w:t>混合</w:t>
            </w:r>
            <w:r>
              <w:rPr>
                <w:rFonts w:hint="default" w:ascii="Times New Roman" w:hAnsi="Times New Roman" w:cs="Times New Roman"/>
                <w:color w:val="auto"/>
                <w:sz w:val="21"/>
                <w:szCs w:val="24"/>
              </w:rPr>
              <w:t>会形成爆炸性混合物，储存容器受热时也极有可能发生爆炸。氨气能侵袭湿皮肤、粘膜和眼睛，可引起严重咳嗽、支气管痉挛、急性肺水肿，甚至会造成失明和窒息死亡。</w:t>
            </w:r>
          </w:p>
        </w:tc>
      </w:tr>
      <w:tr w14:paraId="163F7F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7" w:type="dxa"/>
            <w:noWrap w:val="0"/>
            <w:vAlign w:val="center"/>
          </w:tcPr>
          <w:p w14:paraId="4E611A52">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w:t>
            </w:r>
          </w:p>
          <w:p w14:paraId="1A2E5C2D">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程序</w:t>
            </w:r>
          </w:p>
        </w:tc>
        <w:tc>
          <w:tcPr>
            <w:tcW w:w="7585" w:type="dxa"/>
            <w:noWrap w:val="0"/>
            <w:vAlign w:val="center"/>
          </w:tcPr>
          <w:p w14:paraId="3B88F4CD">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（1）事件确认：应急办收到本公路段发生苯类突发环境事件报告后，应急办主任或值班员应向举报人核实事件发生的地点、事故的类型及事故的风险物质；</w:t>
            </w:r>
          </w:p>
          <w:p w14:paraId="455265E4">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（2）事件确认后，应急办主任或值班员，并及时成立现场应急处置小组并通知应急指挥中心，根据现场实际情况同时进行应急处置，且根据事故的大小及发展态势向单位领导报告和扩大应急救援级别。</w:t>
            </w:r>
          </w:p>
        </w:tc>
      </w:tr>
      <w:tr w14:paraId="2AC132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7" w:type="dxa"/>
            <w:noWrap w:val="0"/>
            <w:vAlign w:val="center"/>
          </w:tcPr>
          <w:p w14:paraId="416D49D1">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应急处置措施</w:t>
            </w:r>
          </w:p>
        </w:tc>
        <w:tc>
          <w:tcPr>
            <w:tcW w:w="7585" w:type="dxa"/>
            <w:noWrap w:val="0"/>
            <w:vAlign w:val="center"/>
          </w:tcPr>
          <w:p w14:paraId="61FD8C88">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（1）液氯风险物质泄漏现场应急处置措施：</w:t>
            </w:r>
          </w:p>
          <w:p w14:paraId="51930C98">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泄漏处理：迅速撤离泄漏污染区人员至上风处，并立即进行隔离，</w:t>
            </w:r>
            <w:r>
              <w:rPr>
                <w:rFonts w:hint="eastAsia" w:cs="Times New Roman"/>
                <w:color w:val="auto"/>
                <w:sz w:val="21"/>
                <w:szCs w:val="24"/>
                <w:lang w:eastAsia="zh-CN"/>
              </w:rPr>
              <w:t>少量</w:t>
            </w:r>
            <w:r>
              <w:rPr>
                <w:rFonts w:hint="default" w:ascii="Times New Roman" w:hAnsi="Times New Roman" w:cs="Times New Roman"/>
                <w:color w:val="auto"/>
                <w:sz w:val="21"/>
                <w:szCs w:val="24"/>
              </w:rPr>
              <w:t>泄漏，初始隔离60m，下风向疏散白天400m、夜晚1600m；大量泄漏，初始隔离600m，下风向疏散</w:t>
            </w:r>
            <w:r>
              <w:rPr>
                <w:rFonts w:hint="eastAsia" w:cs="Times New Roman"/>
                <w:color w:val="auto"/>
                <w:sz w:val="21"/>
                <w:szCs w:val="24"/>
                <w:lang w:eastAsia="zh-CN"/>
              </w:rPr>
              <w:t>白天</w:t>
            </w:r>
            <w:r>
              <w:rPr>
                <w:rFonts w:hint="default" w:ascii="Times New Roman" w:hAnsi="Times New Roman" w:cs="Times New Roman"/>
                <w:color w:val="auto"/>
                <w:sz w:val="21"/>
                <w:szCs w:val="24"/>
              </w:rPr>
              <w:t>3500m</w:t>
            </w:r>
            <w:r>
              <w:rPr>
                <w:rFonts w:hint="eastAsia" w:cs="Times New Roman"/>
                <w:color w:val="auto"/>
                <w:sz w:val="21"/>
                <w:szCs w:val="24"/>
                <w:lang w:eastAsia="zh-CN"/>
              </w:rPr>
              <w:t>，夜</w:t>
            </w:r>
            <w:r>
              <w:rPr>
                <w:rFonts w:hint="default" w:ascii="Times New Roman" w:hAnsi="Times New Roman" w:cs="Times New Roman"/>
                <w:color w:val="auto"/>
                <w:sz w:val="21"/>
                <w:szCs w:val="24"/>
              </w:rPr>
              <w:t>晚80m并根事故处理过程中</w:t>
            </w:r>
            <w:r>
              <w:rPr>
                <w:rFonts w:hint="eastAsia" w:cs="Times New Roman"/>
                <w:color w:val="auto"/>
                <w:sz w:val="21"/>
                <w:szCs w:val="24"/>
                <w:lang w:eastAsia="zh-CN"/>
              </w:rPr>
              <w:t>现</w:t>
            </w:r>
            <w:r>
              <w:rPr>
                <w:rFonts w:hint="default" w:ascii="Times New Roman" w:hAnsi="Times New Roman" w:cs="Times New Roman"/>
                <w:color w:val="auto"/>
                <w:sz w:val="21"/>
                <w:szCs w:val="24"/>
              </w:rPr>
              <w:t>场的检测结果</w:t>
            </w:r>
            <w:r>
              <w:rPr>
                <w:rFonts w:hint="eastAsia" w:cs="Times New Roman"/>
                <w:color w:val="auto"/>
                <w:sz w:val="21"/>
                <w:szCs w:val="24"/>
                <w:lang w:eastAsia="zh-CN"/>
              </w:rPr>
              <w:t>和可</w:t>
            </w:r>
            <w:r>
              <w:rPr>
                <w:rFonts w:hint="default" w:ascii="Times New Roman" w:hAnsi="Times New Roman" w:cs="Times New Roman"/>
                <w:color w:val="auto"/>
                <w:sz w:val="21"/>
                <w:szCs w:val="24"/>
              </w:rPr>
              <w:t>能产生的危害，随时调整隔离区的范围。建议应急处理人员戴自给正压式呼吸器，穿防毒服。尽可能切断泄漏源。</w:t>
            </w:r>
          </w:p>
          <w:p w14:paraId="4AAA52E5">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现场应彻底</w:t>
            </w:r>
            <w:r>
              <w:rPr>
                <w:rFonts w:hint="eastAsia" w:cs="Times New Roman"/>
                <w:color w:val="auto"/>
                <w:sz w:val="21"/>
                <w:szCs w:val="24"/>
                <w:lang w:eastAsia="zh-CN"/>
              </w:rPr>
              <w:t>去除</w:t>
            </w:r>
            <w:r>
              <w:rPr>
                <w:rFonts w:hint="default" w:ascii="Times New Roman" w:hAnsi="Times New Roman" w:cs="Times New Roman"/>
                <w:color w:val="auto"/>
                <w:sz w:val="21"/>
                <w:szCs w:val="24"/>
              </w:rPr>
              <w:t>可燃和易燃物质，防止发生火灾和爆炸事故。防止泄漏的液氯进入下水道。合理通风，加快扩散。喷洒雾状碱液吸收已挥发到空气中的氯气，防止大面积扩散，防止隔离区外人员中毒。</w:t>
            </w:r>
          </w:p>
        </w:tc>
      </w:tr>
      <w:tr w14:paraId="7F1596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7" w:type="dxa"/>
            <w:noWrap w:val="0"/>
            <w:vAlign w:val="center"/>
          </w:tcPr>
          <w:p w14:paraId="641D98C5">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应急监测</w:t>
            </w:r>
          </w:p>
        </w:tc>
        <w:tc>
          <w:tcPr>
            <w:tcW w:w="7585" w:type="dxa"/>
            <w:noWrap w:val="0"/>
            <w:vAlign w:val="center"/>
          </w:tcPr>
          <w:p w14:paraId="1DB5337E">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水质监测要点如下：</w:t>
            </w:r>
          </w:p>
          <w:p w14:paraId="3C09101D">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（1）监测因子：氯气等。</w:t>
            </w:r>
          </w:p>
          <w:p w14:paraId="491522FF">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（2）监测方法：观察法、试纸法。</w:t>
            </w:r>
          </w:p>
          <w:p w14:paraId="3CD4A72D">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（3）监测布点：事故发生地附近大气环境上、下风向各设一个点位，根据事态发展情况决定是否扩大监测范围。</w:t>
            </w:r>
          </w:p>
          <w:p w14:paraId="2F61A3D3">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（4）监测频次：根据污染物的状况，在事发初期应当增加频次，不少于2小时采样一次；待摸清污染物规律后可适当减少，不少于6小时一次；应急终止后可24小时一次进行取样。</w:t>
            </w:r>
          </w:p>
        </w:tc>
      </w:tr>
      <w:tr w14:paraId="5A54AA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7" w:type="dxa"/>
            <w:noWrap w:val="0"/>
            <w:vAlign w:val="center"/>
          </w:tcPr>
          <w:p w14:paraId="530144A4">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应急物资</w:t>
            </w:r>
          </w:p>
        </w:tc>
        <w:tc>
          <w:tcPr>
            <w:tcW w:w="7585" w:type="dxa"/>
            <w:noWrap w:val="0"/>
            <w:vAlign w:val="center"/>
          </w:tcPr>
          <w:p w14:paraId="190CA46A">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防护服、堵漏工具等</w:t>
            </w:r>
          </w:p>
        </w:tc>
      </w:tr>
    </w:tbl>
    <w:p w14:paraId="55CC32AD">
      <w:pPr>
        <w:pStyle w:val="4"/>
        <w:numPr>
          <w:ilvl w:val="0"/>
          <w:numId w:val="0"/>
        </w:numPr>
        <w:ind w:left="720" w:leftChars="0" w:hanging="720" w:firstLineChars="0"/>
        <w:rPr>
          <w:rFonts w:hint="default" w:ascii="Times New Roman" w:hAnsi="Times New Roman" w:cs="Times New Roman"/>
          <w:color w:val="auto"/>
        </w:rPr>
      </w:pPr>
      <w:bookmarkStart w:id="213" w:name="_Toc2229"/>
      <w:r>
        <w:rPr>
          <w:rFonts w:hint="default" w:ascii="Times New Roman" w:hAnsi="Times New Roman" w:eastAsia="宋体" w:cs="Times New Roman"/>
          <w:b/>
          <w:bCs/>
          <w:color w:val="auto"/>
          <w:kern w:val="2"/>
          <w:sz w:val="30"/>
          <w:szCs w:val="32"/>
          <w:lang w:val="en-US" w:eastAsia="zh-CN" w:bidi="ar-SA"/>
        </w:rPr>
        <w:t>11.3.4</w:t>
      </w:r>
      <w:r>
        <w:rPr>
          <w:rFonts w:hint="default" w:ascii="Times New Roman" w:hAnsi="Times New Roman" w:cs="Times New Roman"/>
          <w:color w:val="auto"/>
        </w:rPr>
        <w:t>苯类风险物质的应急处置措施</w:t>
      </w:r>
      <w:bookmarkEnd w:id="213"/>
    </w:p>
    <w:p w14:paraId="773CDC50">
      <w:pPr>
        <w:pStyle w:val="9"/>
        <w:rPr>
          <w:rFonts w:hint="default" w:ascii="Times New Roman" w:hAnsi="Times New Roman" w:cs="Times New Roman"/>
          <w:bCs/>
          <w:color w:val="auto"/>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11.3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rPr>
        <w:fldChar w:fldCharType="end"/>
      </w:r>
      <w:r>
        <w:rPr>
          <w:rFonts w:hint="default" w:ascii="Times New Roman" w:hAnsi="Times New Roman" w:cs="Times New Roman"/>
          <w:bCs/>
          <w:color w:val="auto"/>
          <w:lang w:val="en-US" w:eastAsia="zh-CN"/>
        </w:rPr>
        <w:t>苯类风险物质突发环境事件应急卡</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7606"/>
      </w:tblGrid>
      <w:tr w14:paraId="304640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32DAA864">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事故特征</w:t>
            </w:r>
          </w:p>
        </w:tc>
        <w:tc>
          <w:tcPr>
            <w:tcW w:w="7606" w:type="dxa"/>
            <w:noWrap w:val="0"/>
            <w:vAlign w:val="center"/>
          </w:tcPr>
          <w:p w14:paraId="1D358098">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（1）风险物质：苯、甲苯、二甲苯，主要风险物质为：苯；</w:t>
            </w:r>
          </w:p>
          <w:p w14:paraId="2BADD382">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（2）风险单元：苯、甲苯、二甲苯货运车辆（一般为槽罐车或桶装）；</w:t>
            </w:r>
          </w:p>
          <w:p w14:paraId="5F36C8A7">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（3）风险特征：</w:t>
            </w:r>
          </w:p>
          <w:p w14:paraId="12D9C7DA">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①苯为3.2类中闪点易燃液体、确认人类致癌物；易燃，蒸气可与空气形成爆炸性混合物，遇明火、高热能引起燃烧爆炸；蒸气比空气重，能在较低处扩散到相当远的地方遇火源会着火回燃；若遇高热，容器内压增大，有开裂或爆炸的危险；</w:t>
            </w:r>
          </w:p>
          <w:p w14:paraId="2D4105D3">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②</w:t>
            </w:r>
            <w:r>
              <w:rPr>
                <w:rFonts w:hint="eastAsia" w:cs="Times New Roman"/>
                <w:color w:val="auto"/>
                <w:sz w:val="21"/>
                <w:szCs w:val="24"/>
                <w:lang w:eastAsia="zh-CN"/>
              </w:rPr>
              <w:t>吸入</w:t>
            </w:r>
            <w:r>
              <w:rPr>
                <w:rFonts w:hint="default" w:ascii="Times New Roman" w:hAnsi="Times New Roman" w:cs="Times New Roman"/>
                <w:color w:val="auto"/>
                <w:sz w:val="21"/>
                <w:szCs w:val="24"/>
              </w:rPr>
              <w:t>高浓度苯蒸气对中枢神经系统有麻醉作用，出现头痛、头晕、恶心、呕吐、神志恍惚、嗜睡等。重者意识丧失、抽搐，甚至死亡；长期接触苯对造血系统有损害，引起白细胞和血小板减少，重者导致再生障碍性贫血；本品可引起白血病。具有生殖毒性</w:t>
            </w:r>
          </w:p>
          <w:p w14:paraId="179D0834">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③在很低的浓度下就能对水生生物造成危害，特别是能在鱼的肝脏和肌肉中富集，但一旦脱离污染水体，鱼体内污染物能很快地排泄出；具有很强的挥发性，易造成空气污染在土壤中具有很强的迁移性、在无氧状态下，很难被生物降解。在有氧状态下降解半衰期为6</w:t>
            </w:r>
            <w:r>
              <w:rPr>
                <w:rFonts w:hint="eastAsia" w:cs="Times New Roman"/>
                <w:color w:val="auto"/>
                <w:sz w:val="21"/>
                <w:szCs w:val="24"/>
                <w:lang w:eastAsia="zh-CN"/>
              </w:rPr>
              <w:t>～</w:t>
            </w:r>
            <w:r>
              <w:rPr>
                <w:rFonts w:hint="default" w:ascii="Times New Roman" w:hAnsi="Times New Roman" w:cs="Times New Roman"/>
                <w:color w:val="auto"/>
                <w:sz w:val="21"/>
                <w:szCs w:val="24"/>
              </w:rPr>
              <w:t>20天。</w:t>
            </w:r>
          </w:p>
        </w:tc>
      </w:tr>
      <w:tr w14:paraId="6BBF61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1B6BBDC9">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w:t>
            </w:r>
          </w:p>
          <w:p w14:paraId="4184555C">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程序</w:t>
            </w:r>
          </w:p>
        </w:tc>
        <w:tc>
          <w:tcPr>
            <w:tcW w:w="7606" w:type="dxa"/>
            <w:noWrap w:val="0"/>
            <w:vAlign w:val="center"/>
          </w:tcPr>
          <w:p w14:paraId="47932BB6">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（1）事件确认：应急办收到本公路段发生苯类突发环境事件报告后，应急办主任或值班员应向举报人核实事件发生的地点、事故的类型及事故的风险物质；</w:t>
            </w:r>
          </w:p>
          <w:p w14:paraId="26D63D86">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（2）事件确认后，应急办主任或值班员，并及时成立现场应急处置小组并通知应急指挥中心，根据现场实际情况同时进行应急处置，且根据事故的大小及发展态势向单位领导报告和扩大应急救援级别。</w:t>
            </w:r>
          </w:p>
        </w:tc>
      </w:tr>
      <w:tr w14:paraId="4508E1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569EC367">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应急处置措施</w:t>
            </w:r>
          </w:p>
        </w:tc>
        <w:tc>
          <w:tcPr>
            <w:tcW w:w="7606" w:type="dxa"/>
            <w:noWrap w:val="0"/>
            <w:vAlign w:val="center"/>
          </w:tcPr>
          <w:p w14:paraId="0F1609AB">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（1）苯类风险物质泄漏现场应急处置措施：</w:t>
            </w:r>
          </w:p>
          <w:p w14:paraId="68BEC6FF">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①疏散与隔离：确认苯类风险物质在本公路段发生泄漏后，在事故发生点车辆行驶方向上后150m</w:t>
            </w:r>
            <w:r>
              <w:rPr>
                <w:rFonts w:hint="eastAsia" w:cs="Times New Roman"/>
                <w:color w:val="auto"/>
                <w:sz w:val="21"/>
                <w:szCs w:val="24"/>
                <w:lang w:eastAsia="zh-CN"/>
              </w:rPr>
              <w:t>～</w:t>
            </w:r>
            <w:r>
              <w:rPr>
                <w:rFonts w:hint="default" w:ascii="Times New Roman" w:hAnsi="Times New Roman" w:cs="Times New Roman"/>
                <w:color w:val="auto"/>
                <w:sz w:val="21"/>
                <w:szCs w:val="24"/>
              </w:rPr>
              <w:t>300m处设置警示标志，拦截后方车辆驶入；在人口聚集区附近路段发生事故时，污染范围不明的情况下，初始隔离至少50m，然后进行气体浓度检测，根据有害蒸气的实际浓度，调整隔离、疏散距离、严格限制出入；</w:t>
            </w:r>
          </w:p>
          <w:p w14:paraId="3928C818">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②切断泄漏源：现场应急处理人员根据槽罐车的泄漏情况（罐体受损、槽车侧翻）采取适当的切断泄漏源的措施，若是罐体泄漏形式（砂眼、裂缝、孔洞和裂口）采用木楔外封式堵漏袋等方式进行堵漏，若是槽车侧翻则采用吊车将其扶正即可；</w:t>
            </w:r>
          </w:p>
          <w:p w14:paraId="4D2A1846">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③堵漏后处置：大量泄漏时，则需根据事故发生点的地形、地势等实际情况构筑围堤或挖沟槽收容泄漏物，防止进入水体或土壤中；可用泡沫覆盖泄漏物，减少挥发；用砂土或其他不燃材料吸收泄漏物；如果储罐发生泄漏，可通过倒罐转移尚未泄漏的液体；如果跨河桥梁或农田附近路段发生泄漏事故且流入河流水体或农田中，河流沿途进行警戒，可对苯系物入河流处下游设置多道活性炭坝对苯类物质进行拦截吸附，严禁取水用水、捕捞等一切活动等。农田可采取构筑围堤，防止扩散，并将污染物抽出用槽罐车转移处理。</w:t>
            </w:r>
          </w:p>
          <w:p w14:paraId="3EAF9C32">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④泄漏现场消除所有点火源（泄漏区附近禁止吸烟，消除所有明火、火花或火焰）使用防爆的通讯工具；在确保安全的情况下，采用关阀、堵漏等措施，以切断泄漏源；喷雾状水稀释挥发的蒸气；构筑围堤或挖沟槽收容泄漏物，防止进入水体。</w:t>
            </w:r>
          </w:p>
        </w:tc>
      </w:tr>
      <w:tr w14:paraId="06B5B1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46E78935">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应急监测</w:t>
            </w:r>
          </w:p>
        </w:tc>
        <w:tc>
          <w:tcPr>
            <w:tcW w:w="7606" w:type="dxa"/>
            <w:noWrap w:val="0"/>
            <w:vAlign w:val="center"/>
          </w:tcPr>
          <w:p w14:paraId="47B632A7">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水质监测要点如下：</w:t>
            </w:r>
          </w:p>
          <w:p w14:paraId="1FE05007">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（1）监测因子：pH、苯等。</w:t>
            </w:r>
          </w:p>
          <w:p w14:paraId="06D1C8D6">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（2）监测方法：pH采用玻璃电极法，使用Phs-3CW酸度计；苯采用气相色谱法，使用气相色谱仪。</w:t>
            </w:r>
          </w:p>
          <w:p w14:paraId="3872584A">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（3）监测布点：事故发生地附近水体；重点在跨桥梁下游100m、200m、300m处监测（跨桥梁上游200m设一个监测断面），根据事态发展情况决定是否扩大监测范围。</w:t>
            </w:r>
          </w:p>
          <w:p w14:paraId="0B094774">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（4）监测频次：根据污染物的状况，在事发初期应当增加频次，不少于2小时采样一次；待摸清污染物规律后可适当减少，不少于6小时一次；应急终止后可24小时一次进行取样。</w:t>
            </w:r>
          </w:p>
        </w:tc>
      </w:tr>
      <w:tr w14:paraId="73AE7C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6" w:type="dxa"/>
            <w:noWrap w:val="0"/>
            <w:vAlign w:val="center"/>
          </w:tcPr>
          <w:p w14:paraId="67F2D109">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应急物资</w:t>
            </w:r>
          </w:p>
        </w:tc>
        <w:tc>
          <w:tcPr>
            <w:tcW w:w="7606" w:type="dxa"/>
            <w:noWrap w:val="0"/>
            <w:vAlign w:val="center"/>
          </w:tcPr>
          <w:p w14:paraId="62C277FA">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堵漏工具、消防沙、防护服等</w:t>
            </w:r>
          </w:p>
        </w:tc>
      </w:tr>
    </w:tbl>
    <w:p w14:paraId="24748102">
      <w:pPr>
        <w:pStyle w:val="4"/>
        <w:numPr>
          <w:ilvl w:val="0"/>
          <w:numId w:val="0"/>
        </w:numPr>
        <w:ind w:left="720" w:leftChars="0" w:hanging="720" w:firstLineChars="0"/>
        <w:rPr>
          <w:rFonts w:hint="default" w:ascii="Times New Roman" w:hAnsi="Times New Roman" w:cs="Times New Roman"/>
          <w:color w:val="auto"/>
        </w:rPr>
      </w:pPr>
      <w:bookmarkStart w:id="214" w:name="_Toc1866"/>
      <w:r>
        <w:rPr>
          <w:rFonts w:hint="default" w:ascii="Times New Roman" w:hAnsi="Times New Roman" w:eastAsia="宋体" w:cs="Times New Roman"/>
          <w:b/>
          <w:bCs/>
          <w:color w:val="auto"/>
          <w:kern w:val="2"/>
          <w:sz w:val="30"/>
          <w:szCs w:val="32"/>
          <w:lang w:val="en-US" w:eastAsia="zh-CN" w:bidi="ar-SA"/>
        </w:rPr>
        <w:t>11.3.5</w:t>
      </w:r>
      <w:r>
        <w:rPr>
          <w:rFonts w:hint="default" w:ascii="Times New Roman" w:hAnsi="Times New Roman" w:cs="Times New Roman"/>
          <w:color w:val="auto"/>
        </w:rPr>
        <w:t>有机苯胺类风险物质的应急处置措施</w:t>
      </w:r>
      <w:bookmarkEnd w:id="214"/>
    </w:p>
    <w:p w14:paraId="16EAF1BB">
      <w:pPr>
        <w:pStyle w:val="9"/>
        <w:rPr>
          <w:rFonts w:hint="default" w:ascii="Times New Roman" w:hAnsi="Times New Roman" w:cs="Times New Roman"/>
          <w:bCs/>
          <w:color w:val="auto"/>
          <w:lang w:val="en-US" w:eastAsia="zh-CN"/>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11.3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5</w:t>
      </w:r>
      <w:r>
        <w:rPr>
          <w:rFonts w:hint="default" w:ascii="Times New Roman" w:hAnsi="Times New Roman" w:cs="Times New Roman"/>
          <w:color w:val="auto"/>
        </w:rPr>
        <w:fldChar w:fldCharType="end"/>
      </w:r>
      <w:r>
        <w:rPr>
          <w:rFonts w:hint="default" w:ascii="Times New Roman" w:hAnsi="Times New Roman" w:cs="Times New Roman"/>
          <w:bCs/>
          <w:color w:val="auto"/>
          <w:lang w:val="en-US" w:eastAsia="zh-CN"/>
        </w:rPr>
        <w:t>有机苯胺类风险物质突发环境事件应急卡</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7703"/>
      </w:tblGrid>
      <w:tr w14:paraId="420927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9" w:type="dxa"/>
            <w:noWrap w:val="0"/>
            <w:vAlign w:val="center"/>
          </w:tcPr>
          <w:p w14:paraId="05172B8E">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事故特征</w:t>
            </w:r>
          </w:p>
        </w:tc>
        <w:tc>
          <w:tcPr>
            <w:tcW w:w="7703" w:type="dxa"/>
            <w:noWrap w:val="0"/>
            <w:vAlign w:val="center"/>
          </w:tcPr>
          <w:p w14:paraId="0D0555BD">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（1）风险物质：苯胺、甲基苯胺、硝基苯胺、三溴苯胺，主要风险物质为：苯胺；</w:t>
            </w:r>
          </w:p>
          <w:p w14:paraId="5F874EBA">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（2）风险单元：苯胺货运车辆（一般为槽罐车）；</w:t>
            </w:r>
          </w:p>
          <w:p w14:paraId="09439415">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（3）风险特征：</w:t>
            </w:r>
          </w:p>
          <w:p w14:paraId="58C713C7">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①易燃，蒸气可与空气形成爆炸性混合物，遇明火、高热能引起燃烧爆炸燃烧产生有毒的刺激性的氮氧化物气体；</w:t>
            </w:r>
          </w:p>
          <w:p w14:paraId="63046003">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②苯胺主要引起高铁血红蛋白血症，出现</w:t>
            </w:r>
            <w:r>
              <w:rPr>
                <w:rFonts w:hint="eastAsia" w:cs="Times New Roman"/>
                <w:color w:val="auto"/>
                <w:sz w:val="21"/>
                <w:szCs w:val="24"/>
                <w:lang w:eastAsia="zh-CN"/>
              </w:rPr>
              <w:t>发绀</w:t>
            </w:r>
            <w:r>
              <w:rPr>
                <w:rFonts w:hint="default" w:ascii="Times New Roman" w:hAnsi="Times New Roman" w:cs="Times New Roman"/>
                <w:color w:val="auto"/>
                <w:sz w:val="21"/>
                <w:szCs w:val="24"/>
              </w:rPr>
              <w:t>可引起溶血性贫血和肝、肾损害。可致化学性膀胱炎，眼接触引起结膜角膜炎；</w:t>
            </w:r>
          </w:p>
          <w:p w14:paraId="57D5BDF2">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③对水生生物有很强的毒性作用、在土壤中具有很强的迁移性、易挥发，是有害的空气污染物、在天然水体中，易被生物降解，20天内可被完全降解。</w:t>
            </w:r>
          </w:p>
        </w:tc>
      </w:tr>
      <w:tr w14:paraId="3E8A3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9" w:type="dxa"/>
            <w:noWrap w:val="0"/>
            <w:vAlign w:val="center"/>
          </w:tcPr>
          <w:p w14:paraId="4DA5C701">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w:t>
            </w:r>
          </w:p>
          <w:p w14:paraId="3892ACD7">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程序</w:t>
            </w:r>
          </w:p>
        </w:tc>
        <w:tc>
          <w:tcPr>
            <w:tcW w:w="7703" w:type="dxa"/>
            <w:noWrap w:val="0"/>
            <w:vAlign w:val="center"/>
          </w:tcPr>
          <w:p w14:paraId="7BFF2CAA">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（1）事件确认：应急办收到本公路段发生有机苯胺类突发环境事件报告后，应急办主任或值班员应向举报人核实事件发生的地点、事故的类型及事故的风险物质；</w:t>
            </w:r>
          </w:p>
          <w:p w14:paraId="0EBCC339">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（2）事件确认后，应急办主任或值班员，并及时成立现场应急处置小组并通知应急指挥中心，根据现场实际情况同时进行应急处置，且根据事故的大小及发展态势向单位领导报告和扩大应急救援级别。</w:t>
            </w:r>
          </w:p>
        </w:tc>
      </w:tr>
      <w:tr w14:paraId="2D00D4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9" w:type="dxa"/>
            <w:noWrap w:val="0"/>
            <w:vAlign w:val="center"/>
          </w:tcPr>
          <w:p w14:paraId="45305305">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应急处置措施</w:t>
            </w:r>
          </w:p>
        </w:tc>
        <w:tc>
          <w:tcPr>
            <w:tcW w:w="7703" w:type="dxa"/>
            <w:noWrap w:val="0"/>
            <w:vAlign w:val="center"/>
          </w:tcPr>
          <w:p w14:paraId="0C754B8C">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（1）有机苯胺类风险物质泄漏现场应急处置措施：</w:t>
            </w:r>
          </w:p>
          <w:p w14:paraId="06C8CBE7">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①疏散与隔离：确认有机苯胺类风险物质在本公路段发生泄漏后，在事故发生点车辆行驶方向上后150m</w:t>
            </w:r>
            <w:r>
              <w:rPr>
                <w:rFonts w:hint="eastAsia" w:cs="Times New Roman"/>
                <w:color w:val="auto"/>
                <w:sz w:val="21"/>
                <w:szCs w:val="24"/>
                <w:lang w:eastAsia="zh-CN"/>
              </w:rPr>
              <w:t>～</w:t>
            </w:r>
            <w:r>
              <w:rPr>
                <w:rFonts w:hint="default" w:ascii="Times New Roman" w:hAnsi="Times New Roman" w:cs="Times New Roman"/>
                <w:color w:val="auto"/>
                <w:sz w:val="21"/>
                <w:szCs w:val="24"/>
              </w:rPr>
              <w:t>200m处设置警示标志，拦截后方车辆驶入；在人口聚集区附近路段发生事故时，污染范围不明的情况下，初始隔离至少50m，然后进行气体浓度检测，根据有害蒸气的实际浓度，调整隔离、疏散距离、严格限制出入；</w:t>
            </w:r>
          </w:p>
          <w:p w14:paraId="60B7B788">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②切断泄漏源：现场应急处理人员根据槽罐车的泄漏情况（罐体受损、槽车侧翻）采取适当的切断泄漏源的措施，若是罐体泄漏形式（砂眼、裂缝、孔洞和裂口）采用木楔外封式堵漏袋等方式进行堵漏，若是槽车侧翻则采用吊车将其扶正即可；</w:t>
            </w:r>
          </w:p>
          <w:p w14:paraId="78F2879F">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③堵漏后处置：大量泄漏时，则需根据事故发生点的地形、地势等实际情况构筑围堤或挖沟槽收容泄漏物，防止进入水体或土壤中；用砂土或其他不燃材料吸收泄漏物；如果储罐发生泄漏，可通过倒罐转移尚未泄漏的液体；如果在赤城湖饮用水水源保护区等水体或农田附近路段发生泄漏事故且流入河流水体或农田中，河流可设置拦截带，用活性炭吸附泄漏于水体的苯胺；沿途进行警戒，严禁取水、用水、捕捞等一切活动等。农田可采取构筑围堤，防止扩散，并将污染物抽出用槽罐车转移处理。</w:t>
            </w:r>
          </w:p>
          <w:p w14:paraId="2EF00673">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④注意事项：未穿全身防护服时，禁止触及毁损容器或泄漏物；在确保安全的情况下采用关阀、堵漏等措施，以切断泄漏源。</w:t>
            </w:r>
          </w:p>
        </w:tc>
      </w:tr>
      <w:tr w14:paraId="15CC77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9" w:type="dxa"/>
            <w:noWrap w:val="0"/>
            <w:vAlign w:val="center"/>
          </w:tcPr>
          <w:p w14:paraId="56B7FA42">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应急监测</w:t>
            </w:r>
          </w:p>
        </w:tc>
        <w:tc>
          <w:tcPr>
            <w:tcW w:w="7703" w:type="dxa"/>
            <w:noWrap w:val="0"/>
            <w:vAlign w:val="center"/>
          </w:tcPr>
          <w:p w14:paraId="4ADEBB30">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水质监测要点如下：</w:t>
            </w:r>
          </w:p>
          <w:p w14:paraId="13F32440">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（1）监测因子：pH、苯等。</w:t>
            </w:r>
          </w:p>
          <w:p w14:paraId="01D33962">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（2）监测方法：pH采用玻璃电极法，使用Phs-3CW酸度计；苯采用气相色谱法，使用气相色谱仪。</w:t>
            </w:r>
          </w:p>
          <w:p w14:paraId="006299F1">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（3）监测布点：事故发生地附近水体；重点在跨桥梁下游100m、200m、300m处监测（跨桥梁上游200m设一个监测断面），根据事态发展情况决定是否扩大监测范围。</w:t>
            </w:r>
          </w:p>
          <w:p w14:paraId="4132042F">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（4）监测频次：根据污染物的状况，在事发初期应当增加频次，不少于2小时采样一次；待摸清污染物规律后可适当减少，不少于6小时一次；应急终止后可24小时一次进行取样。</w:t>
            </w:r>
          </w:p>
        </w:tc>
      </w:tr>
      <w:tr w14:paraId="7FEB0B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9" w:type="dxa"/>
            <w:noWrap w:val="0"/>
            <w:vAlign w:val="center"/>
          </w:tcPr>
          <w:p w14:paraId="37321E0C">
            <w:pPr>
              <w:adjustRightInd/>
              <w:snapToGrid/>
              <w:spacing w:line="240" w:lineRule="auto"/>
              <w:ind w:firstLine="0" w:firstLineChars="0"/>
              <w:jc w:val="center"/>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应急物资</w:t>
            </w:r>
          </w:p>
        </w:tc>
        <w:tc>
          <w:tcPr>
            <w:tcW w:w="7703" w:type="dxa"/>
            <w:noWrap w:val="0"/>
            <w:vAlign w:val="center"/>
          </w:tcPr>
          <w:p w14:paraId="4014E505">
            <w:pPr>
              <w:adjustRightInd/>
              <w:snapToGrid/>
              <w:spacing w:line="240" w:lineRule="auto"/>
              <w:ind w:firstLine="0" w:firstLineChars="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堵漏工具、砂土、防护服等</w:t>
            </w:r>
          </w:p>
        </w:tc>
      </w:tr>
    </w:tbl>
    <w:p w14:paraId="130DAFAE">
      <w:pPr>
        <w:pStyle w:val="3"/>
        <w:numPr>
          <w:ilvl w:val="0"/>
          <w:numId w:val="0"/>
        </w:numPr>
        <w:ind w:left="578" w:leftChars="0" w:hanging="578" w:firstLineChars="0"/>
        <w:rPr>
          <w:rFonts w:hint="default" w:ascii="Times New Roman" w:hAnsi="Times New Roman" w:cs="Times New Roman"/>
          <w:color w:val="auto"/>
          <w:lang w:bidi="ar"/>
        </w:rPr>
      </w:pPr>
      <w:bookmarkStart w:id="215" w:name="_Toc10484"/>
      <w:bookmarkStart w:id="216" w:name="_Toc25862"/>
      <w:r>
        <w:rPr>
          <w:rFonts w:hint="eastAsia" w:ascii="Times New Roman" w:hAnsi="Times New Roman" w:cs="Times New Roman"/>
          <w:b/>
          <w:bCs/>
          <w:color w:val="auto"/>
          <w:kern w:val="2"/>
          <w:sz w:val="32"/>
          <w:szCs w:val="32"/>
          <w:lang w:val="en-US" w:eastAsia="zh-CN" w:bidi="ar"/>
        </w:rPr>
        <w:t>11.4</w:t>
      </w:r>
      <w:r>
        <w:rPr>
          <w:rFonts w:hint="default" w:ascii="Times New Roman" w:hAnsi="Times New Roman" w:cs="Times New Roman"/>
          <w:color w:val="auto"/>
          <w:lang w:bidi="ar"/>
        </w:rPr>
        <w:t>结论及建议</w:t>
      </w:r>
      <w:bookmarkEnd w:id="215"/>
      <w:bookmarkEnd w:id="216"/>
    </w:p>
    <w:p w14:paraId="49445C39">
      <w:pPr>
        <w:pStyle w:val="24"/>
        <w:ind w:firstLine="480"/>
        <w:rPr>
          <w:rFonts w:hint="default" w:ascii="Times New Roman" w:hAnsi="Times New Roman" w:cs="Times New Roman"/>
          <w:color w:val="auto"/>
          <w:szCs w:val="24"/>
          <w:lang w:bidi="ar"/>
        </w:rPr>
      </w:pPr>
      <w:r>
        <w:rPr>
          <w:rFonts w:hint="default" w:ascii="Times New Roman" w:hAnsi="Times New Roman" w:cs="Times New Roman"/>
          <w:color w:val="auto"/>
          <w:szCs w:val="24"/>
        </w:rPr>
        <w:t>根据调查，</w:t>
      </w:r>
      <w:r>
        <w:rPr>
          <w:rFonts w:hint="eastAsia" w:cs="Times New Roman"/>
          <w:color w:val="auto"/>
          <w:szCs w:val="24"/>
          <w:lang w:eastAsia="zh-CN"/>
        </w:rPr>
        <w:t>广安市过境高速公路东环线及渝广高速支线项目（重庆合川境）</w:t>
      </w:r>
      <w:r>
        <w:rPr>
          <w:rFonts w:hint="default" w:ascii="Times New Roman" w:hAnsi="Times New Roman" w:cs="Times New Roman"/>
          <w:color w:val="auto"/>
          <w:szCs w:val="24"/>
        </w:rPr>
        <w:t>公路自建成通车至今，运营状况良好，未出现重大环境风险事故。建设单位针对危险品运输事故已进行过相应的应急演练，后续运营中建设单位应进一步完善道路运行管理和风险事故应急管理工作，确保避免环境风险事故发生。</w:t>
      </w:r>
    </w:p>
    <w:p w14:paraId="7CB7A0CE">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br w:type="page"/>
      </w:r>
    </w:p>
    <w:p w14:paraId="3652165F">
      <w:pPr>
        <w:pStyle w:val="2"/>
        <w:pageBreakBefore w:val="0"/>
        <w:widowControl w:val="0"/>
        <w:numPr>
          <w:ilvl w:val="0"/>
          <w:numId w:val="0"/>
        </w:numPr>
        <w:kinsoku/>
        <w:wordWrap/>
        <w:overflowPunct/>
        <w:topLinePunct w:val="0"/>
        <w:autoSpaceDE/>
        <w:autoSpaceDN/>
        <w:bidi w:val="0"/>
        <w:adjustRightInd w:val="0"/>
        <w:snapToGrid w:val="0"/>
        <w:spacing w:before="0" w:beforeLines="0" w:after="0" w:afterLines="0"/>
        <w:ind w:left="432" w:leftChars="0" w:hanging="432" w:firstLineChars="0"/>
        <w:textAlignment w:val="auto"/>
        <w:rPr>
          <w:rFonts w:hint="default" w:ascii="Times New Roman" w:hAnsi="Times New Roman" w:cs="Times New Roman"/>
          <w:color w:val="auto"/>
        </w:rPr>
      </w:pPr>
      <w:bookmarkStart w:id="217" w:name="_Toc3144"/>
      <w:bookmarkStart w:id="218" w:name="_Toc15743"/>
      <w:bookmarkStart w:id="219" w:name="_Toc11224"/>
      <w:bookmarkStart w:id="220" w:name="_Toc17136"/>
      <w:r>
        <w:rPr>
          <w:rFonts w:hint="eastAsia" w:ascii="Times New Roman" w:hAnsi="Times New Roman" w:cs="Times New Roman"/>
          <w:b/>
          <w:color w:val="auto"/>
          <w:kern w:val="2"/>
          <w:sz w:val="36"/>
          <w:lang w:val="en-US" w:eastAsia="zh-CN" w:bidi="ar-SA"/>
        </w:rPr>
        <w:t>12</w:t>
      </w:r>
      <w:r>
        <w:rPr>
          <w:rFonts w:hint="default" w:ascii="Times New Roman" w:hAnsi="Times New Roman" w:cs="Times New Roman"/>
          <w:color w:val="auto"/>
        </w:rPr>
        <w:t>环境管理状况及监测计划落实情况调查</w:t>
      </w:r>
      <w:bookmarkEnd w:id="217"/>
      <w:bookmarkEnd w:id="218"/>
      <w:bookmarkEnd w:id="219"/>
      <w:bookmarkEnd w:id="220"/>
    </w:p>
    <w:p w14:paraId="7C295E01">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21" w:name="_Toc14943"/>
      <w:bookmarkStart w:id="222" w:name="_Toc10652"/>
      <w:bookmarkStart w:id="223" w:name="_Toc15071"/>
      <w:bookmarkStart w:id="224" w:name="_Toc29124"/>
      <w:bookmarkStart w:id="225" w:name="_Toc26301"/>
      <w:r>
        <w:rPr>
          <w:rFonts w:hint="eastAsia" w:ascii="Times New Roman" w:hAnsi="Times New Roman" w:cs="Times New Roman"/>
          <w:b/>
          <w:bCs/>
          <w:color w:val="auto"/>
          <w:kern w:val="2"/>
          <w:sz w:val="32"/>
          <w:szCs w:val="32"/>
          <w:lang w:val="en-US" w:eastAsia="zh-CN" w:bidi="ar-SA"/>
        </w:rPr>
        <w:t>12.1</w:t>
      </w:r>
      <w:r>
        <w:rPr>
          <w:rFonts w:hint="default" w:ascii="Times New Roman" w:hAnsi="Times New Roman" w:cs="Times New Roman"/>
          <w:color w:val="auto"/>
        </w:rPr>
        <w:t>环境管理工作调查</w:t>
      </w:r>
      <w:bookmarkEnd w:id="221"/>
      <w:bookmarkEnd w:id="222"/>
      <w:bookmarkEnd w:id="223"/>
      <w:bookmarkEnd w:id="224"/>
      <w:bookmarkEnd w:id="225"/>
    </w:p>
    <w:p w14:paraId="5B2CD48D">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val="0"/>
          <w:color w:val="auto"/>
          <w:sz w:val="24"/>
          <w:highlight w:val="none"/>
          <w:lang w:val="en-US" w:eastAsia="zh-CN"/>
        </w:rPr>
      </w:pPr>
      <w:r>
        <w:rPr>
          <w:rFonts w:hint="default" w:ascii="Times New Roman" w:hAnsi="Times New Roman" w:eastAsia="宋体" w:cs="Times New Roman"/>
          <w:b w:val="0"/>
          <w:color w:val="auto"/>
          <w:sz w:val="24"/>
          <w:highlight w:val="none"/>
          <w:lang w:val="en-US" w:eastAsia="zh-CN"/>
        </w:rPr>
        <w:t>项目于2018年9月开工建设，2020年12月主体及辅助工程完工并通车运行。施工期未单独设立环境监理，其环境保护相关要求与措施落实情况已纳入主体工程的工程监理范围，由监理单位统一实施监督管理。</w:t>
      </w:r>
    </w:p>
    <w:p w14:paraId="1B5A3EDD">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b w:val="0"/>
          <w:color w:val="auto"/>
          <w:sz w:val="24"/>
          <w:highlight w:val="none"/>
          <w:lang w:val="en-US" w:eastAsia="zh-CN"/>
        </w:rPr>
      </w:pPr>
      <w:r>
        <w:rPr>
          <w:rFonts w:hint="default" w:ascii="Times New Roman" w:hAnsi="Times New Roman" w:eastAsia="宋体" w:cs="Times New Roman"/>
          <w:b w:val="0"/>
          <w:color w:val="auto"/>
          <w:sz w:val="24"/>
          <w:highlight w:val="none"/>
          <w:lang w:val="en-US" w:eastAsia="zh-CN"/>
        </w:rPr>
        <w:t>根据施工期监理资料，监理单位对“广安市过境高速公路东环线及渝广高速支线项目”进行了全线监理。本项目（重庆合川境）作为该项目的组成部分，其施工期环境管理在此框架下同步执行。监理记录显示，监理单位对重庆段施工过程中的环保措施（如扬尘控制、废水处理、固废处置、生态保护等）进行了现场检查与监督，各项环保要求基本得到落实。</w:t>
      </w:r>
    </w:p>
    <w:p w14:paraId="508D1AFD">
      <w:pPr>
        <w:pStyle w:val="4"/>
        <w:numPr>
          <w:ilvl w:val="0"/>
          <w:numId w:val="0"/>
        </w:numPr>
        <w:ind w:left="720" w:leftChars="0" w:hanging="720" w:firstLineChars="0"/>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12.1.1</w:t>
      </w:r>
      <w:r>
        <w:rPr>
          <w:rFonts w:hint="default" w:ascii="Times New Roman" w:hAnsi="Times New Roman" w:cs="Times New Roman"/>
          <w:color w:val="auto"/>
        </w:rPr>
        <w:t>施工期环境管理工作调查</w:t>
      </w:r>
    </w:p>
    <w:p w14:paraId="5D58CCC4">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本项目施工期，施工单位和监理单位在建设单位</w:t>
      </w:r>
      <w:r>
        <w:rPr>
          <w:rFonts w:hint="default" w:ascii="Times New Roman" w:hAnsi="Times New Roman" w:cs="Times New Roman"/>
          <w:color w:val="auto"/>
          <w:szCs w:val="24"/>
          <w:lang w:eastAsia="zh-CN"/>
        </w:rPr>
        <w:t>四川广安绕城高速公路有限责任公司</w:t>
      </w:r>
      <w:r>
        <w:rPr>
          <w:rFonts w:hint="default" w:ascii="Times New Roman" w:hAnsi="Times New Roman" w:cs="Times New Roman"/>
          <w:color w:val="auto"/>
          <w:szCs w:val="24"/>
        </w:rPr>
        <w:t>引导下，开展本项目的环境保护工作，并制定了详尽可行的环保实施细则。原</w:t>
      </w:r>
      <w:r>
        <w:rPr>
          <w:rFonts w:hint="eastAsia" w:cs="Times New Roman"/>
          <w:color w:val="auto"/>
          <w:szCs w:val="24"/>
          <w:lang w:val="en-US" w:eastAsia="zh-CN"/>
        </w:rPr>
        <w:t>合川区环境保护局（现重庆市合川区生态环境局）</w:t>
      </w:r>
      <w:r>
        <w:rPr>
          <w:rFonts w:hint="default" w:ascii="Times New Roman" w:hAnsi="Times New Roman" w:cs="Times New Roman"/>
          <w:color w:val="auto"/>
          <w:szCs w:val="24"/>
        </w:rPr>
        <w:t>负责沿线辖区环境保护监督管理工作。</w:t>
      </w:r>
    </w:p>
    <w:p w14:paraId="5AB2B33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项目在设计、施工、管理过程中，始终把沿线的生态环境保护作为一项重要工作，制定了工程施工规范，有专人负责。各个标段均开展了环保教育，组织学习环境保护和基本建设的相关法律法规，做到宣传在先，学习在前，措施到位。项目在施工过程中认真落实各项环保措施，由专人负责，做到有措施、有落实。</w:t>
      </w:r>
    </w:p>
    <w:p w14:paraId="09B3B3F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按照《建设项目环境保护管理条例》的规定，在工程可行性研究阶段，委托招商局重庆交通科研设计院有限公司进行了环境影响评价。对于环境影响评价中提出的要求，在设计文件中予以体现，招商局重庆交通科研设计院有限公司对本工程沿线边坡、土质排水沟进行了专项设计。</w:t>
      </w:r>
    </w:p>
    <w:p w14:paraId="2DA57FEC">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认真贯彻生态环境保护与项目建设并重的方针，把“预防为主、保护优先、防治结合、强化管理”和“谁污染谁治理，谁破坏谁恢复”的原则落实到公路建设的全过程。在工程招标中将环境保护纳入招标文件；在签订工程合同时已责成承包商做出了搞好环保工作，承担环保责任的书面承诺；在各标段施工合同中也具有专项的施工环保费用用于施工</w:t>
      </w:r>
      <w:r>
        <w:rPr>
          <w:rFonts w:hint="eastAsia" w:cs="Times New Roman"/>
          <w:color w:val="auto"/>
          <w:szCs w:val="24"/>
          <w:lang w:eastAsia="zh-CN"/>
        </w:rPr>
        <w:t>期间</w:t>
      </w:r>
      <w:r>
        <w:rPr>
          <w:rFonts w:hint="default" w:ascii="Times New Roman" w:hAnsi="Times New Roman" w:cs="Times New Roman"/>
          <w:color w:val="auto"/>
          <w:szCs w:val="24"/>
        </w:rPr>
        <w:t>各项环保措施的落实。</w:t>
      </w:r>
    </w:p>
    <w:p w14:paraId="662E07ED">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）在贯彻环境保护工作、</w:t>
      </w:r>
      <w:r>
        <w:rPr>
          <w:rFonts w:hint="eastAsia" w:cs="Times New Roman"/>
          <w:color w:val="auto"/>
          <w:szCs w:val="24"/>
          <w:lang w:eastAsia="zh-CN"/>
        </w:rPr>
        <w:t>加大</w:t>
      </w:r>
      <w:r>
        <w:rPr>
          <w:rFonts w:hint="default" w:ascii="Times New Roman" w:hAnsi="Times New Roman" w:cs="Times New Roman"/>
          <w:color w:val="auto"/>
          <w:szCs w:val="24"/>
        </w:rPr>
        <w:t>建设单位的监督工作力度、实行工程技术交底的同时进行环境保护规定和要求交底</w:t>
      </w:r>
      <w:r>
        <w:rPr>
          <w:rFonts w:hint="eastAsia" w:cs="Times New Roman"/>
          <w:color w:val="auto"/>
          <w:szCs w:val="24"/>
          <w:lang w:eastAsia="zh-CN"/>
        </w:rPr>
        <w:t>；在</w:t>
      </w:r>
      <w:r>
        <w:rPr>
          <w:rFonts w:hint="default" w:ascii="Times New Roman" w:hAnsi="Times New Roman" w:cs="Times New Roman"/>
          <w:color w:val="auto"/>
          <w:szCs w:val="24"/>
        </w:rPr>
        <w:t>安排工程进度的同时提出环境保护目标</w:t>
      </w:r>
      <w:r>
        <w:rPr>
          <w:rFonts w:hint="eastAsia" w:cs="Times New Roman"/>
          <w:color w:val="auto"/>
          <w:szCs w:val="24"/>
          <w:lang w:eastAsia="zh-CN"/>
        </w:rPr>
        <w:t>；在</w:t>
      </w:r>
      <w:r>
        <w:rPr>
          <w:rFonts w:hint="default" w:ascii="Times New Roman" w:hAnsi="Times New Roman" w:cs="Times New Roman"/>
          <w:color w:val="auto"/>
          <w:szCs w:val="24"/>
        </w:rPr>
        <w:t>现场检查工程质量的同时检查环境保护存在的问题并做出整改决定。</w:t>
      </w:r>
    </w:p>
    <w:p w14:paraId="63F8E25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坚持施工过程中的环境保护现场管理，做到文明施工。对建筑垃圾、生活垃圾、沉淀池泥浆及时清理，改善作业方式进行噪声控制，加快施工进度以减少环境污染周期和生态环境的干扰。施工期间，搅拌场、砂石料加工场远离居民区布置，避免了扬尘、沥青烟污排放对居民影响。</w:t>
      </w:r>
    </w:p>
    <w:p w14:paraId="4154738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5</w:t>
      </w:r>
      <w:r>
        <w:rPr>
          <w:rFonts w:hint="default" w:ascii="Times New Roman" w:hAnsi="Times New Roman" w:cs="Times New Roman"/>
          <w:color w:val="auto"/>
          <w:szCs w:val="24"/>
        </w:rPr>
        <w:t>）工程施工期间，项目指挥部设有专人负责公路建设期间的环保工作。各施工标段和监理代表处均有专人负责施工过程中环保措施的落实等具体工作。</w:t>
      </w:r>
    </w:p>
    <w:p w14:paraId="26A2C47A">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6</w:t>
      </w:r>
      <w:r>
        <w:rPr>
          <w:rFonts w:hint="default" w:ascii="Times New Roman" w:hAnsi="Times New Roman" w:cs="Times New Roman"/>
          <w:color w:val="auto"/>
          <w:szCs w:val="24"/>
        </w:rPr>
        <w:t>）项目开工之初，生态环保就</w:t>
      </w:r>
      <w:r>
        <w:rPr>
          <w:rFonts w:hint="eastAsia" w:cs="Times New Roman"/>
          <w:color w:val="auto"/>
          <w:szCs w:val="24"/>
          <w:lang w:eastAsia="zh-CN"/>
        </w:rPr>
        <w:t>作为</w:t>
      </w:r>
      <w:r>
        <w:rPr>
          <w:rFonts w:hint="default" w:ascii="Times New Roman" w:hAnsi="Times New Roman" w:cs="Times New Roman"/>
          <w:color w:val="auto"/>
          <w:szCs w:val="24"/>
        </w:rPr>
        <w:t>一项重要思想贯穿于建设大纲，工程质量和环保被列为两大目标。建设者从管理上确保环保措施落实到位，工程在设计之初就尽量依托原有路线，减少新占地，</w:t>
      </w:r>
      <w:r>
        <w:rPr>
          <w:rFonts w:hint="eastAsia" w:cs="Times New Roman"/>
          <w:color w:val="auto"/>
          <w:szCs w:val="24"/>
          <w:lang w:eastAsia="zh-CN"/>
        </w:rPr>
        <w:t>减少</w:t>
      </w:r>
      <w:r>
        <w:rPr>
          <w:rFonts w:hint="default" w:ascii="Times New Roman" w:hAnsi="Times New Roman" w:cs="Times New Roman"/>
          <w:color w:val="auto"/>
          <w:szCs w:val="24"/>
        </w:rPr>
        <w:t>新增水土流失和生态破坏。</w:t>
      </w:r>
    </w:p>
    <w:p w14:paraId="1218FA00">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综上所述，本工程施工期建立了较完全的环境管理体系，将环境监理工作纳入了工程监理中，在各施工单位密切配合下，及时处理了施工过程中发现的违反文明施工与环境保护要求的行为，有针对性</w:t>
      </w:r>
      <w:r>
        <w:rPr>
          <w:rFonts w:hint="eastAsia" w:cs="Times New Roman"/>
          <w:color w:val="auto"/>
          <w:szCs w:val="24"/>
          <w:lang w:eastAsia="zh-CN"/>
        </w:rPr>
        <w:t>地</w:t>
      </w:r>
      <w:r>
        <w:rPr>
          <w:rFonts w:hint="default" w:ascii="Times New Roman" w:hAnsi="Times New Roman" w:cs="Times New Roman"/>
          <w:color w:val="auto"/>
          <w:szCs w:val="24"/>
        </w:rPr>
        <w:t>解决了施工中反映出的环境问题。</w:t>
      </w:r>
    </w:p>
    <w:p w14:paraId="6AF23EA3">
      <w:pPr>
        <w:pStyle w:val="4"/>
        <w:numPr>
          <w:ilvl w:val="0"/>
          <w:numId w:val="0"/>
        </w:numPr>
        <w:ind w:left="720" w:leftChars="0" w:hanging="720" w:firstLineChars="0"/>
        <w:rPr>
          <w:rFonts w:hint="default" w:ascii="Times New Roman" w:hAnsi="Times New Roman" w:cs="Times New Roman"/>
          <w:color w:val="auto"/>
        </w:rPr>
      </w:pPr>
      <w:bookmarkStart w:id="226" w:name="_Toc25729"/>
      <w:r>
        <w:rPr>
          <w:rFonts w:hint="default" w:ascii="Times New Roman" w:hAnsi="Times New Roman" w:eastAsia="宋体" w:cs="Times New Roman"/>
          <w:b/>
          <w:bCs/>
          <w:color w:val="auto"/>
          <w:kern w:val="2"/>
          <w:sz w:val="30"/>
          <w:szCs w:val="32"/>
          <w:lang w:val="en-US" w:eastAsia="zh-CN" w:bidi="ar-SA"/>
        </w:rPr>
        <w:t>12.1.2</w:t>
      </w:r>
      <w:r>
        <w:rPr>
          <w:rFonts w:hint="default" w:ascii="Times New Roman" w:hAnsi="Times New Roman" w:cs="Times New Roman"/>
          <w:color w:val="auto"/>
        </w:rPr>
        <w:t>验收阶段环境监理工作调查</w:t>
      </w:r>
      <w:bookmarkEnd w:id="226"/>
    </w:p>
    <w:p w14:paraId="3E6BEC77">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运营期环境管理工作由建设单位设管理处统一协调管理，公司设专人负责环境管理工作，</w:t>
      </w:r>
      <w:r>
        <w:rPr>
          <w:rFonts w:hint="eastAsia" w:cs="Times New Roman"/>
          <w:color w:val="auto"/>
          <w:szCs w:val="24"/>
          <w:lang w:eastAsia="zh-CN"/>
        </w:rPr>
        <w:t>制定了</w:t>
      </w:r>
      <w:r>
        <w:rPr>
          <w:rFonts w:hint="default" w:ascii="Times New Roman" w:hAnsi="Times New Roman" w:cs="Times New Roman"/>
          <w:color w:val="auto"/>
          <w:szCs w:val="24"/>
        </w:rPr>
        <w:t>环水保管理相关规章制度等，层层落实责任制，各项环保相关制度得到有效执行，与工程有关的环境保护及生态保护资料、档案均由公司档案室统一收存、管理。验收阶段建设单位制定了突发环境事件应急预案。</w:t>
      </w:r>
    </w:p>
    <w:p w14:paraId="2121F9CD">
      <w:pPr>
        <w:pStyle w:val="3"/>
        <w:numPr>
          <w:ilvl w:val="0"/>
          <w:numId w:val="0"/>
        </w:numPr>
        <w:ind w:left="578" w:leftChars="0" w:hanging="578" w:firstLineChars="0"/>
        <w:rPr>
          <w:rFonts w:hint="default" w:ascii="Times New Roman" w:hAnsi="Times New Roman" w:cs="Times New Roman"/>
          <w:color w:val="auto"/>
        </w:rPr>
      </w:pPr>
      <w:bookmarkStart w:id="227" w:name="_Toc7111"/>
      <w:bookmarkStart w:id="228" w:name="_Toc14408"/>
      <w:bookmarkStart w:id="229" w:name="_Toc9717"/>
      <w:bookmarkStart w:id="230" w:name="_Toc29926"/>
      <w:bookmarkStart w:id="231" w:name="_Toc27063"/>
      <w:r>
        <w:rPr>
          <w:rFonts w:hint="eastAsia" w:ascii="Times New Roman" w:hAnsi="Times New Roman" w:cs="Times New Roman"/>
          <w:b/>
          <w:bCs/>
          <w:color w:val="auto"/>
          <w:kern w:val="2"/>
          <w:sz w:val="32"/>
          <w:szCs w:val="32"/>
          <w:lang w:val="en-US" w:eastAsia="zh-CN" w:bidi="ar-SA"/>
        </w:rPr>
        <w:t>12.2</w:t>
      </w:r>
      <w:r>
        <w:rPr>
          <w:rFonts w:hint="default" w:ascii="Times New Roman" w:hAnsi="Times New Roman" w:cs="Times New Roman"/>
          <w:color w:val="auto"/>
        </w:rPr>
        <w:t>环境监测计划落实情况</w:t>
      </w:r>
      <w:bookmarkEnd w:id="227"/>
      <w:bookmarkEnd w:id="228"/>
      <w:bookmarkEnd w:id="229"/>
      <w:bookmarkEnd w:id="230"/>
      <w:bookmarkEnd w:id="231"/>
    </w:p>
    <w:p w14:paraId="64A87160">
      <w:pPr>
        <w:pStyle w:val="24"/>
        <w:ind w:firstLine="480"/>
        <w:rPr>
          <w:rFonts w:hint="default" w:ascii="Times New Roman" w:hAnsi="Times New Roman" w:eastAsia="宋体" w:cs="Times New Roman"/>
          <w:b w:val="0"/>
          <w:color w:val="auto"/>
          <w:sz w:val="24"/>
          <w:lang w:val="en-US" w:eastAsia="zh-CN"/>
        </w:rPr>
      </w:pPr>
      <w:r>
        <w:rPr>
          <w:rFonts w:hint="default" w:ascii="Times New Roman" w:hAnsi="Times New Roman" w:eastAsia="宋体" w:cs="Times New Roman"/>
          <w:b w:val="0"/>
          <w:color w:val="auto"/>
          <w:sz w:val="24"/>
          <w:lang w:val="en-US" w:eastAsia="zh-CN"/>
        </w:rPr>
        <w:t>项目于2018年9月开工建设，2020年12月主体及辅助工程完工并通车运行，根据现场调查，项目施工期未单独开展环境监理，</w:t>
      </w:r>
      <w:r>
        <w:rPr>
          <w:rFonts w:hint="eastAsia" w:cs="Times New Roman"/>
          <w:b w:val="0"/>
          <w:color w:val="auto"/>
          <w:sz w:val="24"/>
          <w:lang w:val="en-US" w:eastAsia="zh-CN"/>
        </w:rPr>
        <w:t>纳入</w:t>
      </w:r>
      <w:r>
        <w:rPr>
          <w:rFonts w:hint="default" w:ascii="Times New Roman" w:hAnsi="Times New Roman" w:eastAsia="宋体" w:cs="Times New Roman"/>
          <w:b w:val="0"/>
          <w:color w:val="auto"/>
          <w:sz w:val="24"/>
          <w:lang w:val="en-US" w:eastAsia="zh-CN"/>
        </w:rPr>
        <w:t>项目工程监理进行管理。因此</w:t>
      </w:r>
      <w:r>
        <w:rPr>
          <w:rFonts w:hint="eastAsia" w:ascii="Times New Roman" w:hAnsi="Times New Roman" w:eastAsia="宋体" w:cs="Times New Roman"/>
          <w:b w:val="0"/>
          <w:color w:val="auto"/>
          <w:sz w:val="24"/>
          <w:lang w:val="en-US" w:eastAsia="zh-CN"/>
        </w:rPr>
        <w:t>重新报批</w:t>
      </w:r>
      <w:r>
        <w:rPr>
          <w:rFonts w:hint="default" w:ascii="Times New Roman" w:hAnsi="Times New Roman" w:eastAsia="宋体" w:cs="Times New Roman"/>
          <w:b w:val="0"/>
          <w:color w:val="auto"/>
          <w:sz w:val="24"/>
          <w:lang w:val="en-US" w:eastAsia="zh-CN"/>
        </w:rPr>
        <w:t>不要求进行施工期环境监测，仅进行运营期环境监测</w:t>
      </w:r>
      <w:r>
        <w:rPr>
          <w:rFonts w:hint="eastAsia" w:cs="Times New Roman"/>
          <w:b w:val="0"/>
          <w:color w:val="auto"/>
          <w:sz w:val="24"/>
          <w:lang w:val="en-US" w:eastAsia="zh-CN"/>
        </w:rPr>
        <w:t>（详见附件）</w:t>
      </w:r>
      <w:r>
        <w:rPr>
          <w:rFonts w:hint="default" w:ascii="Times New Roman" w:hAnsi="Times New Roman" w:eastAsia="宋体" w:cs="Times New Roman"/>
          <w:b w:val="0"/>
          <w:color w:val="auto"/>
          <w:sz w:val="24"/>
          <w:lang w:val="en-US" w:eastAsia="zh-CN"/>
        </w:rPr>
        <w:t>。</w:t>
      </w:r>
    </w:p>
    <w:p w14:paraId="2A331F75">
      <w:pPr>
        <w:pStyle w:val="24"/>
        <w:ind w:firstLine="480"/>
        <w:rPr>
          <w:rFonts w:hint="default" w:ascii="Times New Roman" w:hAnsi="Times New Roman" w:eastAsia="宋体" w:cs="Times New Roman"/>
          <w:b w:val="0"/>
          <w:color w:val="auto"/>
          <w:sz w:val="24"/>
          <w:lang w:val="en-US" w:eastAsia="zh-CN"/>
        </w:rPr>
      </w:pPr>
    </w:p>
    <w:p w14:paraId="460A49D1">
      <w:pPr>
        <w:pStyle w:val="3"/>
        <w:numPr>
          <w:ilvl w:val="0"/>
          <w:numId w:val="0"/>
        </w:numPr>
        <w:ind w:left="578" w:leftChars="0" w:hanging="578" w:firstLineChars="0"/>
        <w:rPr>
          <w:rFonts w:hint="default" w:ascii="Times New Roman" w:hAnsi="Times New Roman" w:cs="Times New Roman"/>
          <w:color w:val="auto"/>
        </w:rPr>
      </w:pPr>
      <w:bookmarkStart w:id="232" w:name="_Toc27324"/>
      <w:bookmarkStart w:id="233" w:name="_Toc10050"/>
      <w:bookmarkStart w:id="234" w:name="_Toc2234"/>
      <w:bookmarkStart w:id="235" w:name="_Toc1664"/>
      <w:bookmarkStart w:id="236" w:name="_Toc17864"/>
      <w:r>
        <w:rPr>
          <w:rFonts w:hint="eastAsia" w:ascii="Times New Roman" w:hAnsi="Times New Roman" w:cs="Times New Roman"/>
          <w:b/>
          <w:bCs/>
          <w:color w:val="auto"/>
          <w:kern w:val="2"/>
          <w:sz w:val="32"/>
          <w:szCs w:val="32"/>
          <w:lang w:val="en-US" w:eastAsia="zh-CN" w:bidi="ar-SA"/>
        </w:rPr>
        <w:t>12.3</w:t>
      </w:r>
      <w:r>
        <w:rPr>
          <w:rFonts w:hint="default" w:ascii="Times New Roman" w:hAnsi="Times New Roman" w:cs="Times New Roman"/>
          <w:color w:val="auto"/>
        </w:rPr>
        <w:t>环境保护投资落实情况</w:t>
      </w:r>
      <w:bookmarkEnd w:id="232"/>
      <w:bookmarkEnd w:id="233"/>
      <w:bookmarkEnd w:id="234"/>
      <w:bookmarkEnd w:id="235"/>
      <w:bookmarkEnd w:id="236"/>
    </w:p>
    <w:p w14:paraId="272AF93D">
      <w:pPr>
        <w:pStyle w:val="24"/>
        <w:ind w:firstLine="480"/>
        <w:rPr>
          <w:rFonts w:hint="default" w:ascii="Times New Roman" w:hAnsi="Times New Roman" w:cs="Times New Roman"/>
          <w:color w:val="auto"/>
          <w:szCs w:val="24"/>
        </w:rPr>
      </w:pPr>
      <w:r>
        <w:rPr>
          <w:rFonts w:hint="eastAsia" w:cs="Times New Roman"/>
          <w:color w:val="auto"/>
          <w:szCs w:val="24"/>
          <w:lang w:val="en-US" w:eastAsia="zh-CN"/>
        </w:rPr>
        <w:t>根据重新报批资料，</w:t>
      </w:r>
      <w:r>
        <w:rPr>
          <w:rFonts w:hint="default" w:ascii="Times New Roman" w:hAnsi="Times New Roman" w:eastAsia="宋体" w:cs="Times New Roman"/>
          <w:b w:val="0"/>
          <w:color w:val="auto"/>
          <w:sz w:val="24"/>
          <w:lang w:val="en-US" w:eastAsia="zh-CN"/>
        </w:rPr>
        <w:t>项目</w:t>
      </w:r>
      <w:r>
        <w:rPr>
          <w:rFonts w:hint="default" w:ascii="Times New Roman" w:hAnsi="Times New Roman" w:eastAsia="宋体" w:cs="Times New Roman"/>
          <w:b w:val="0"/>
          <w:color w:val="auto"/>
          <w:sz w:val="24"/>
        </w:rPr>
        <w:t>环保总投资为</w:t>
      </w:r>
      <w:r>
        <w:rPr>
          <w:rFonts w:hint="eastAsia" w:ascii="Times New Roman" w:hAnsi="Times New Roman" w:eastAsia="宋体" w:cs="Times New Roman"/>
          <w:color w:val="auto"/>
          <w:sz w:val="24"/>
          <w:szCs w:val="24"/>
          <w:highlight w:val="none"/>
          <w:lang w:val="en-US" w:eastAsia="zh-CN"/>
        </w:rPr>
        <w:t>8061.52</w:t>
      </w:r>
      <w:r>
        <w:rPr>
          <w:rFonts w:hint="default" w:ascii="Times New Roman" w:hAnsi="Times New Roman" w:eastAsia="宋体" w:cs="Times New Roman"/>
          <w:b w:val="0"/>
          <w:color w:val="auto"/>
          <w:sz w:val="24"/>
        </w:rPr>
        <w:t>万元，工程环保总投资费用占工程总投资</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0"/>
          <w:w w:val="100"/>
          <w:kern w:val="0"/>
          <w:position w:val="0"/>
          <w:sz w:val="24"/>
          <w:szCs w:val="24"/>
          <w:lang w:val="en-US" w:eastAsia="zh-CN"/>
        </w:rPr>
        <w:t>88635.60万</w:t>
      </w:r>
      <w:r>
        <w:rPr>
          <w:rFonts w:hint="default" w:ascii="Times New Roman" w:hAnsi="Times New Roman" w:eastAsia="宋体" w:cs="Times New Roman"/>
          <w:color w:val="auto"/>
          <w:spacing w:val="-2"/>
          <w:sz w:val="24"/>
          <w:szCs w:val="24"/>
        </w:rPr>
        <w:t>元）的</w:t>
      </w:r>
      <w:r>
        <w:rPr>
          <w:rFonts w:hint="default" w:ascii="Times New Roman" w:hAnsi="Times New Roman" w:eastAsia="宋体" w:cs="Times New Roman"/>
          <w:color w:val="auto"/>
          <w:spacing w:val="-2"/>
          <w:sz w:val="24"/>
          <w:szCs w:val="24"/>
          <w:lang w:val="en-US" w:eastAsia="zh-CN"/>
        </w:rPr>
        <w:t>9.</w:t>
      </w:r>
      <w:r>
        <w:rPr>
          <w:rFonts w:hint="eastAsia" w:ascii="Times New Roman" w:hAnsi="Times New Roman" w:eastAsia="宋体" w:cs="Times New Roman"/>
          <w:color w:val="auto"/>
          <w:spacing w:val="-2"/>
          <w:sz w:val="24"/>
          <w:szCs w:val="24"/>
          <w:lang w:val="en-US" w:eastAsia="zh-CN"/>
        </w:rPr>
        <w:t>1</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2"/>
          <w:sz w:val="24"/>
          <w:szCs w:val="24"/>
          <w:lang w:eastAsia="zh-CN"/>
        </w:rPr>
        <w:t>。</w:t>
      </w:r>
      <w:r>
        <w:rPr>
          <w:rFonts w:hint="default" w:ascii="Times New Roman" w:hAnsi="Times New Roman" w:cs="Times New Roman"/>
          <w:color w:val="auto"/>
          <w:szCs w:val="24"/>
        </w:rPr>
        <w:t>根据核查，验收调查阶段实际已投入的环保投资为</w:t>
      </w:r>
      <w:r>
        <w:rPr>
          <w:rFonts w:hint="eastAsia" w:cs="Times New Roman"/>
          <w:color w:val="auto"/>
          <w:szCs w:val="24"/>
          <w:lang w:val="en-US" w:eastAsia="zh-CN"/>
        </w:rPr>
        <w:t>7886.52</w:t>
      </w:r>
      <w:r>
        <w:rPr>
          <w:rFonts w:hint="default" w:ascii="Times New Roman" w:hAnsi="Times New Roman" w:cs="Times New Roman"/>
          <w:color w:val="auto"/>
          <w:szCs w:val="24"/>
        </w:rPr>
        <w:t>万元，占工程投资的</w:t>
      </w:r>
      <w:r>
        <w:rPr>
          <w:rFonts w:hint="eastAsia" w:cs="Times New Roman"/>
          <w:color w:val="auto"/>
          <w:szCs w:val="24"/>
          <w:lang w:val="en-US" w:eastAsia="zh-CN"/>
        </w:rPr>
        <w:t>8.90</w:t>
      </w:r>
      <w:r>
        <w:rPr>
          <w:rFonts w:hint="default" w:ascii="Times New Roman" w:hAnsi="Times New Roman" w:cs="Times New Roman"/>
          <w:color w:val="auto"/>
          <w:szCs w:val="24"/>
        </w:rPr>
        <w:t>%。</w:t>
      </w:r>
    </w:p>
    <w:p w14:paraId="07D852E0">
      <w:pPr>
        <w:pStyle w:val="24"/>
        <w:ind w:firstLine="480"/>
        <w:rPr>
          <w:rFonts w:hint="default" w:ascii="Times New Roman" w:hAnsi="Times New Roman" w:cs="Times New Roman"/>
          <w:color w:val="auto"/>
          <w:szCs w:val="24"/>
        </w:rPr>
      </w:pPr>
      <w:bookmarkStart w:id="237" w:name="_Toc5756"/>
      <w:bookmarkStart w:id="238" w:name="_Toc27282"/>
      <w:bookmarkStart w:id="239" w:name="_Toc9791"/>
      <w:r>
        <w:rPr>
          <w:rFonts w:hint="default" w:ascii="Times New Roman" w:hAnsi="Times New Roman" w:cs="Times New Roman"/>
          <w:color w:val="auto"/>
          <w:szCs w:val="24"/>
        </w:rPr>
        <w:t>建设单位落实了相关环保措施及投资，使生态环境保护、水环境、声环境等得到更好、更有效</w:t>
      </w:r>
      <w:r>
        <w:rPr>
          <w:rFonts w:hint="eastAsia" w:cs="Times New Roman"/>
          <w:color w:val="auto"/>
          <w:szCs w:val="24"/>
          <w:lang w:eastAsia="zh-CN"/>
        </w:rPr>
        <w:t>地</w:t>
      </w:r>
      <w:r>
        <w:rPr>
          <w:rFonts w:hint="default" w:ascii="Times New Roman" w:hAnsi="Times New Roman" w:cs="Times New Roman"/>
          <w:color w:val="auto"/>
          <w:szCs w:val="24"/>
        </w:rPr>
        <w:t>保护，公路建设对环境的影响得到有效控制。</w:t>
      </w:r>
    </w:p>
    <w:p w14:paraId="0A887B88">
      <w:pPr>
        <w:pStyle w:val="3"/>
        <w:numPr>
          <w:ilvl w:val="0"/>
          <w:numId w:val="0"/>
        </w:numPr>
        <w:ind w:left="578" w:leftChars="0" w:hanging="578" w:firstLineChars="0"/>
        <w:rPr>
          <w:rFonts w:hint="default" w:ascii="Times New Roman" w:hAnsi="Times New Roman" w:cs="Times New Roman"/>
          <w:color w:val="auto"/>
        </w:rPr>
      </w:pPr>
      <w:bookmarkStart w:id="240" w:name="_Toc27053"/>
      <w:bookmarkStart w:id="241" w:name="_Toc20920"/>
      <w:r>
        <w:rPr>
          <w:rFonts w:hint="eastAsia" w:ascii="Times New Roman" w:hAnsi="Times New Roman" w:cs="Times New Roman"/>
          <w:b/>
          <w:bCs/>
          <w:color w:val="auto"/>
          <w:kern w:val="2"/>
          <w:sz w:val="32"/>
          <w:szCs w:val="32"/>
          <w:lang w:val="en-US" w:eastAsia="zh-CN" w:bidi="ar-SA"/>
        </w:rPr>
        <w:t>12.4</w:t>
      </w:r>
      <w:r>
        <w:rPr>
          <w:rFonts w:hint="default" w:ascii="Times New Roman" w:hAnsi="Times New Roman" w:cs="Times New Roman"/>
          <w:color w:val="auto"/>
        </w:rPr>
        <w:t>环境保护管理状况的有效性</w:t>
      </w:r>
      <w:bookmarkEnd w:id="237"/>
      <w:bookmarkEnd w:id="238"/>
      <w:bookmarkEnd w:id="239"/>
      <w:bookmarkEnd w:id="240"/>
      <w:bookmarkEnd w:id="241"/>
    </w:p>
    <w:p w14:paraId="0D1BA795">
      <w:pPr>
        <w:pStyle w:val="24"/>
        <w:ind w:firstLine="480"/>
        <w:rPr>
          <w:rFonts w:hint="default" w:ascii="Times New Roman" w:hAnsi="Times New Roman" w:cs="Times New Roman"/>
          <w:color w:val="auto"/>
          <w:kern w:val="0"/>
          <w:szCs w:val="24"/>
        </w:rPr>
      </w:pPr>
      <w:r>
        <w:rPr>
          <w:rFonts w:hint="eastAsia" w:cs="Times New Roman"/>
          <w:color w:val="auto"/>
          <w:kern w:val="0"/>
          <w:szCs w:val="24"/>
          <w:lang w:eastAsia="zh-CN"/>
        </w:rPr>
        <w:t>四川广安绕城高速公路有限责任公司</w:t>
      </w:r>
      <w:r>
        <w:rPr>
          <w:rFonts w:hint="default" w:ascii="Times New Roman" w:hAnsi="Times New Roman" w:cs="Times New Roman"/>
          <w:color w:val="auto"/>
          <w:kern w:val="0"/>
          <w:szCs w:val="24"/>
        </w:rPr>
        <w:t>在</w:t>
      </w:r>
      <w:r>
        <w:rPr>
          <w:rFonts w:hint="eastAsia" w:cs="Times New Roman"/>
          <w:color w:val="auto"/>
          <w:kern w:val="0"/>
          <w:szCs w:val="24"/>
          <w:lang w:eastAsia="zh-CN"/>
        </w:rPr>
        <w:t>广安市过境高速公路东环线及渝广高速支线项目（</w:t>
      </w:r>
      <w:r>
        <w:rPr>
          <w:rFonts w:hint="eastAsia" w:cs="Times New Roman"/>
          <w:color w:val="auto"/>
          <w:kern w:val="0"/>
          <w:szCs w:val="24"/>
          <w:lang w:val="en-US" w:eastAsia="zh-CN"/>
        </w:rPr>
        <w:t>重庆合川</w:t>
      </w:r>
      <w:r>
        <w:rPr>
          <w:rFonts w:hint="eastAsia" w:cs="Times New Roman"/>
          <w:color w:val="auto"/>
          <w:kern w:val="0"/>
          <w:szCs w:val="24"/>
          <w:lang w:eastAsia="zh-CN"/>
        </w:rPr>
        <w:t>境）（</w:t>
      </w:r>
      <w:r>
        <w:rPr>
          <w:rFonts w:hint="eastAsia" w:cs="Times New Roman"/>
          <w:color w:val="auto"/>
          <w:kern w:val="0"/>
          <w:szCs w:val="24"/>
          <w:lang w:val="en-US" w:eastAsia="zh-CN"/>
        </w:rPr>
        <w:t>重新报批</w:t>
      </w:r>
      <w:r>
        <w:rPr>
          <w:rFonts w:hint="eastAsia" w:cs="Times New Roman"/>
          <w:color w:val="auto"/>
          <w:kern w:val="0"/>
          <w:szCs w:val="24"/>
          <w:lang w:eastAsia="zh-CN"/>
        </w:rPr>
        <w:t>）</w:t>
      </w:r>
      <w:r>
        <w:rPr>
          <w:rFonts w:hint="default" w:ascii="Times New Roman" w:hAnsi="Times New Roman" w:cs="Times New Roman"/>
          <w:color w:val="auto"/>
          <w:kern w:val="0"/>
          <w:szCs w:val="24"/>
        </w:rPr>
        <w:t>施工期和运营期十分重视环境保护工作，环境保护机构健全，较好</w:t>
      </w:r>
      <w:r>
        <w:rPr>
          <w:rFonts w:hint="eastAsia" w:cs="Times New Roman"/>
          <w:color w:val="auto"/>
          <w:kern w:val="0"/>
          <w:szCs w:val="24"/>
          <w:lang w:eastAsia="zh-CN"/>
        </w:rPr>
        <w:t>地</w:t>
      </w:r>
      <w:r>
        <w:rPr>
          <w:rFonts w:hint="default" w:ascii="Times New Roman" w:hAnsi="Times New Roman" w:cs="Times New Roman"/>
          <w:color w:val="auto"/>
          <w:kern w:val="0"/>
          <w:szCs w:val="24"/>
        </w:rPr>
        <w:t>落实了环保“三同时”要求。</w:t>
      </w:r>
    </w:p>
    <w:p w14:paraId="53CBADB6">
      <w:pPr>
        <w:rPr>
          <w:rFonts w:hint="default" w:ascii="Times New Roman" w:hAnsi="Times New Roman" w:cs="Times New Roman"/>
          <w:color w:val="auto"/>
          <w:kern w:val="0"/>
          <w:szCs w:val="24"/>
        </w:rPr>
      </w:pPr>
      <w:r>
        <w:rPr>
          <w:rFonts w:hint="default" w:ascii="Times New Roman" w:hAnsi="Times New Roman" w:cs="Times New Roman"/>
          <w:color w:val="auto"/>
          <w:kern w:val="0"/>
          <w:szCs w:val="24"/>
        </w:rPr>
        <w:br w:type="page"/>
      </w:r>
    </w:p>
    <w:p w14:paraId="5A32ECD1">
      <w:pPr>
        <w:pStyle w:val="2"/>
        <w:pageBreakBefore w:val="0"/>
        <w:widowControl w:val="0"/>
        <w:numPr>
          <w:ilvl w:val="0"/>
          <w:numId w:val="0"/>
        </w:numPr>
        <w:kinsoku/>
        <w:wordWrap/>
        <w:overflowPunct/>
        <w:topLinePunct w:val="0"/>
        <w:autoSpaceDE/>
        <w:autoSpaceDN/>
        <w:bidi w:val="0"/>
        <w:adjustRightInd w:val="0"/>
        <w:snapToGrid w:val="0"/>
        <w:spacing w:before="0" w:beforeLines="0" w:after="0" w:afterLines="0"/>
        <w:ind w:left="432" w:leftChars="0" w:hanging="432" w:firstLineChars="0"/>
        <w:textAlignment w:val="auto"/>
        <w:rPr>
          <w:rFonts w:hint="default" w:ascii="Times New Roman" w:hAnsi="Times New Roman" w:cs="Times New Roman"/>
          <w:color w:val="auto"/>
        </w:rPr>
      </w:pPr>
      <w:bookmarkStart w:id="242" w:name="_Toc21921"/>
      <w:bookmarkStart w:id="243" w:name="_Toc12477"/>
      <w:bookmarkStart w:id="244" w:name="_Toc28411"/>
      <w:bookmarkStart w:id="245" w:name="_Toc18921"/>
      <w:r>
        <w:rPr>
          <w:rFonts w:hint="eastAsia" w:ascii="Times New Roman" w:hAnsi="Times New Roman" w:cs="Times New Roman"/>
          <w:b/>
          <w:color w:val="auto"/>
          <w:kern w:val="2"/>
          <w:sz w:val="36"/>
          <w:lang w:val="en-US" w:eastAsia="zh-CN" w:bidi="ar-SA"/>
        </w:rPr>
        <w:t>13</w:t>
      </w:r>
      <w:r>
        <w:rPr>
          <w:rFonts w:hint="default" w:ascii="Times New Roman" w:hAnsi="Times New Roman" w:cs="Times New Roman"/>
          <w:color w:val="auto"/>
        </w:rPr>
        <w:t>公众意见调查</w:t>
      </w:r>
      <w:bookmarkEnd w:id="242"/>
      <w:bookmarkEnd w:id="243"/>
      <w:bookmarkEnd w:id="244"/>
      <w:bookmarkEnd w:id="245"/>
    </w:p>
    <w:p w14:paraId="66E6AE3F">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46" w:name="_Toc20336"/>
      <w:bookmarkStart w:id="247" w:name="_Toc4814"/>
      <w:r>
        <w:rPr>
          <w:rFonts w:hint="eastAsia" w:ascii="Times New Roman" w:hAnsi="Times New Roman" w:cs="Times New Roman"/>
          <w:b/>
          <w:bCs/>
          <w:color w:val="auto"/>
          <w:kern w:val="2"/>
          <w:sz w:val="32"/>
          <w:szCs w:val="32"/>
          <w:lang w:val="en-US" w:eastAsia="zh-CN" w:bidi="ar-SA"/>
        </w:rPr>
        <w:t>13.1</w:t>
      </w:r>
      <w:r>
        <w:rPr>
          <w:rFonts w:hint="default" w:ascii="Times New Roman" w:hAnsi="Times New Roman" w:cs="Times New Roman"/>
          <w:color w:val="auto"/>
        </w:rPr>
        <w:t>调查目的</w:t>
      </w:r>
      <w:bookmarkEnd w:id="246"/>
      <w:bookmarkEnd w:id="247"/>
    </w:p>
    <w:p w14:paraId="004AA870">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lang w:eastAsia="zh-CN"/>
        </w:rPr>
        <w:t>广安市过境高速公路东环线及渝广高速支线项目（重庆合川境）项目</w:t>
      </w:r>
      <w:r>
        <w:rPr>
          <w:rFonts w:hint="default" w:ascii="Times New Roman" w:hAnsi="Times New Roman" w:cs="Times New Roman"/>
          <w:color w:val="auto"/>
          <w:szCs w:val="24"/>
        </w:rPr>
        <w:t>的修建对当地的交通条件、经济发展起到了较大的促进作用，但也不可避免地对沿线区域及附近的环境产生了一定的影响。为了解工程施工期及运营期受影响区域居民的意见和要求，弥补工程在设计、建设过程中的不足，进一步改进和完善该工程的环境保护工作。</w:t>
      </w:r>
    </w:p>
    <w:p w14:paraId="15ED556E">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48" w:name="_Toc6401"/>
      <w:bookmarkStart w:id="249" w:name="_Toc4057"/>
      <w:r>
        <w:rPr>
          <w:rFonts w:hint="eastAsia" w:ascii="Times New Roman" w:hAnsi="Times New Roman" w:cs="Times New Roman"/>
          <w:b/>
          <w:bCs/>
          <w:color w:val="auto"/>
          <w:kern w:val="2"/>
          <w:sz w:val="32"/>
          <w:szCs w:val="32"/>
          <w:lang w:val="en-US" w:eastAsia="zh-CN" w:bidi="ar-SA"/>
        </w:rPr>
        <w:t>13.2</w:t>
      </w:r>
      <w:r>
        <w:rPr>
          <w:rFonts w:hint="default" w:ascii="Times New Roman" w:hAnsi="Times New Roman" w:cs="Times New Roman"/>
          <w:color w:val="auto"/>
        </w:rPr>
        <w:t>调查方法</w:t>
      </w:r>
      <w:bookmarkEnd w:id="248"/>
      <w:bookmarkEnd w:id="249"/>
    </w:p>
    <w:p w14:paraId="0A376E17">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本次公众意见调查主要采用走访咨询和发放调查表相结合的方式，来了解公路施工期和运营期存在的社会、环境问题，以及</w:t>
      </w:r>
      <w:r>
        <w:rPr>
          <w:rFonts w:hint="eastAsia" w:cs="Times New Roman"/>
          <w:color w:val="auto"/>
          <w:szCs w:val="24"/>
          <w:lang w:eastAsia="zh-CN"/>
        </w:rPr>
        <w:t>广安市过境高速公路东环线及渝广高速支线项目（重庆合川境）项目</w:t>
      </w:r>
      <w:r>
        <w:rPr>
          <w:rFonts w:hint="default" w:ascii="Times New Roman" w:hAnsi="Times New Roman" w:cs="Times New Roman"/>
          <w:color w:val="auto"/>
          <w:szCs w:val="24"/>
        </w:rPr>
        <w:t>不同时期有关保护措施的落实情况。具体采用了两种方式：</w:t>
      </w:r>
    </w:p>
    <w:p w14:paraId="3CA61219">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）问卷调查一一被</w:t>
      </w:r>
      <w:r>
        <w:rPr>
          <w:rFonts w:hint="eastAsia" w:cs="Times New Roman"/>
          <w:color w:val="auto"/>
          <w:szCs w:val="24"/>
          <w:lang w:eastAsia="zh-CN"/>
        </w:rPr>
        <w:t>调查</w:t>
      </w:r>
      <w:r>
        <w:rPr>
          <w:rFonts w:hint="default" w:ascii="Times New Roman" w:hAnsi="Times New Roman" w:cs="Times New Roman"/>
          <w:color w:val="auto"/>
          <w:szCs w:val="24"/>
        </w:rPr>
        <w:t>对象按设定的</w:t>
      </w:r>
      <w:r>
        <w:rPr>
          <w:rFonts w:hint="eastAsia" w:cs="Times New Roman"/>
          <w:color w:val="auto"/>
          <w:szCs w:val="24"/>
          <w:lang w:eastAsia="zh-CN"/>
        </w:rPr>
        <w:t>广安市过境高速公路东环线及渝广高速支线项目（重庆合川境）项目</w:t>
      </w:r>
      <w:r>
        <w:rPr>
          <w:rFonts w:hint="default" w:ascii="Times New Roman" w:hAnsi="Times New Roman" w:cs="Times New Roman"/>
          <w:color w:val="auto"/>
          <w:szCs w:val="24"/>
        </w:rPr>
        <w:t>沿线居民、单位意见调查表或</w:t>
      </w:r>
      <w:r>
        <w:rPr>
          <w:rFonts w:hint="eastAsia" w:cs="Times New Roman"/>
          <w:color w:val="auto"/>
          <w:szCs w:val="24"/>
          <w:lang w:eastAsia="zh-CN"/>
        </w:rPr>
        <w:t>广安市过境高速公路东环线及渝广高速支线项目（重庆合川境）项目</w:t>
      </w:r>
      <w:r>
        <w:rPr>
          <w:rFonts w:hint="default" w:ascii="Times New Roman" w:hAnsi="Times New Roman" w:cs="Times New Roman"/>
          <w:color w:val="auto"/>
          <w:szCs w:val="24"/>
        </w:rPr>
        <w:t>司乘人员意见调查表的格式，采取打勾的方式回答，即被调查对象按设定的表格采取划“√”方式作回答。</w:t>
      </w:r>
    </w:p>
    <w:p w14:paraId="717BCE21">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）走访咨询一一重点</w:t>
      </w:r>
      <w:r>
        <w:rPr>
          <w:rFonts w:hint="eastAsia" w:cs="Times New Roman"/>
          <w:color w:val="auto"/>
          <w:szCs w:val="24"/>
          <w:lang w:eastAsia="zh-CN"/>
        </w:rPr>
        <w:t>针对</w:t>
      </w:r>
      <w:r>
        <w:rPr>
          <w:rFonts w:hint="default" w:ascii="Times New Roman" w:hAnsi="Times New Roman" w:cs="Times New Roman"/>
          <w:color w:val="auto"/>
          <w:szCs w:val="24"/>
        </w:rPr>
        <w:t>公路沿线被征地户、拆迁户等直接受公路影响的居民，并以访问的形式进行调查；咨询当地环境保护部门有无居民投诉情况。</w:t>
      </w:r>
    </w:p>
    <w:p w14:paraId="3EAB1528">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50" w:name="_Toc2498"/>
      <w:bookmarkStart w:id="251" w:name="_Toc13576"/>
      <w:bookmarkStart w:id="252" w:name="_Toc210"/>
      <w:bookmarkStart w:id="253" w:name="_Toc124"/>
      <w:bookmarkStart w:id="254" w:name="_Toc5106"/>
      <w:r>
        <w:rPr>
          <w:rFonts w:hint="eastAsia" w:ascii="Times New Roman" w:hAnsi="Times New Roman" w:cs="Times New Roman"/>
          <w:b/>
          <w:bCs/>
          <w:color w:val="auto"/>
          <w:kern w:val="2"/>
          <w:sz w:val="32"/>
          <w:szCs w:val="32"/>
          <w:lang w:val="en-US" w:eastAsia="zh-CN" w:bidi="ar-SA"/>
        </w:rPr>
        <w:t>13.3</w:t>
      </w:r>
      <w:r>
        <w:rPr>
          <w:rFonts w:hint="default" w:ascii="Times New Roman" w:hAnsi="Times New Roman" w:cs="Times New Roman"/>
          <w:color w:val="auto"/>
        </w:rPr>
        <w:t>调查对象及调查内容</w:t>
      </w:r>
      <w:bookmarkEnd w:id="250"/>
      <w:bookmarkEnd w:id="251"/>
      <w:bookmarkEnd w:id="252"/>
      <w:bookmarkEnd w:id="253"/>
      <w:bookmarkEnd w:id="254"/>
    </w:p>
    <w:p w14:paraId="765241E4">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本次公众意见调查主要在公路沿线的影响区域内进行，调查对象为工程沿线两侧受工程影响居住区的居民、单位、途经公路的司乘人员以及有关单位等。调查内容按调查对象的不同分为3类：一类是对司乘人员的调查，一类是对公路沿线居民的调查，一类是对沿线团体、单位的调查。具体内容见问卷调查</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REF _Ref135126056 \h  \* MERGEFORMAT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color w:val="auto"/>
        </w:rPr>
        <w:instrText xml:space="preserve"> STYL～REF 2 \s  \* MERGEFORMAT</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13.3</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noBreakHyphen/>
      </w:r>
      <w:r>
        <w:rPr>
          <w:rFonts w:hint="default" w:ascii="Times New Roman" w:hAnsi="Times New Roman" w:cs="Times New Roman"/>
          <w:color w:val="auto"/>
          <w:szCs w:val="24"/>
        </w:rPr>
        <w:t>1</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t>~</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REF _Ref135126062 \h  \* MERGEFORMAT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表</w:t>
      </w: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STYLEREF 2 \s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13.3</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noBreakHyphen/>
      </w:r>
      <w:r>
        <w:rPr>
          <w:rFonts w:hint="default" w:ascii="Times New Roman" w:hAnsi="Times New Roman" w:cs="Times New Roman"/>
          <w:color w:val="auto"/>
          <w:szCs w:val="24"/>
        </w:rPr>
        <w:t>3</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t>。</w:t>
      </w:r>
    </w:p>
    <w:p w14:paraId="04CD8BC5">
      <w:pPr>
        <w:pStyle w:val="9"/>
        <w:rPr>
          <w:rFonts w:hint="default" w:ascii="Times New Roman" w:hAnsi="Times New Roman" w:cs="Times New Roman"/>
          <w:color w:val="auto"/>
        </w:rPr>
      </w:pPr>
      <w:bookmarkStart w:id="255" w:name="_Ref135126056"/>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13.3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bookmarkEnd w:id="255"/>
      <w:r>
        <w:rPr>
          <w:rFonts w:hint="default" w:ascii="Times New Roman" w:hAnsi="Times New Roman" w:cs="Times New Roman"/>
          <w:color w:val="auto"/>
          <w:lang w:eastAsia="zh-CN"/>
        </w:rPr>
        <w:t>广安市过境高速公路东环线及渝广高速支线项目（重庆合川境）项目</w:t>
      </w:r>
      <w:r>
        <w:rPr>
          <w:rFonts w:hint="default" w:ascii="Times New Roman" w:hAnsi="Times New Roman" w:cs="Times New Roman"/>
          <w:color w:val="auto"/>
        </w:rPr>
        <w:t>沿线公众意见调查表</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07"/>
        <w:gridCol w:w="1523"/>
        <w:gridCol w:w="1883"/>
        <w:gridCol w:w="1677"/>
        <w:gridCol w:w="2629"/>
      </w:tblGrid>
      <w:tr w14:paraId="17E96A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0" w:hRule="atLeast"/>
          <w:jc w:val="center"/>
        </w:trPr>
        <w:tc>
          <w:tcPr>
            <w:tcW w:w="474" w:type="pct"/>
            <w:noWrap w:val="0"/>
            <w:vAlign w:val="center"/>
          </w:tcPr>
          <w:p w14:paraId="111B2B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项目名称</w:t>
            </w:r>
          </w:p>
        </w:tc>
        <w:tc>
          <w:tcPr>
            <w:tcW w:w="1999" w:type="pct"/>
            <w:gridSpan w:val="2"/>
            <w:noWrap w:val="0"/>
            <w:vAlign w:val="center"/>
          </w:tcPr>
          <w:p w14:paraId="277747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广安市过境高速公路东环线及渝广高速支线项目（重庆合川境）</w:t>
            </w:r>
            <w:r>
              <w:rPr>
                <w:rFonts w:hint="eastAsia" w:ascii="Times New Roman" w:hAnsi="Times New Roman" w:eastAsia="宋体" w:cs="Times New Roman"/>
                <w:color w:val="auto"/>
                <w:sz w:val="21"/>
                <w:szCs w:val="21"/>
                <w:lang w:val="en-US" w:eastAsia="zh-CN"/>
              </w:rPr>
              <w:t>项目</w:t>
            </w:r>
          </w:p>
        </w:tc>
        <w:tc>
          <w:tcPr>
            <w:tcW w:w="984" w:type="pct"/>
            <w:noWrap w:val="0"/>
            <w:vAlign w:val="center"/>
          </w:tcPr>
          <w:p w14:paraId="38EC80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建设地点</w:t>
            </w:r>
          </w:p>
        </w:tc>
        <w:tc>
          <w:tcPr>
            <w:tcW w:w="1541" w:type="pct"/>
            <w:noWrap w:val="0"/>
            <w:vAlign w:val="center"/>
          </w:tcPr>
          <w:p w14:paraId="3DC2EA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rPr>
              <w:t>重庆市合川区</w:t>
            </w:r>
          </w:p>
        </w:tc>
      </w:tr>
      <w:tr w14:paraId="73978E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68" w:type="pct"/>
            <w:gridSpan w:val="2"/>
            <w:noWrap w:val="0"/>
            <w:vAlign w:val="center"/>
          </w:tcPr>
          <w:p w14:paraId="42DAF0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姓名：</w:t>
            </w:r>
          </w:p>
        </w:tc>
        <w:tc>
          <w:tcPr>
            <w:tcW w:w="1105" w:type="pct"/>
            <w:noWrap w:val="0"/>
            <w:vAlign w:val="center"/>
          </w:tcPr>
          <w:p w14:paraId="307370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性别：</w:t>
            </w:r>
          </w:p>
        </w:tc>
        <w:tc>
          <w:tcPr>
            <w:tcW w:w="984" w:type="pct"/>
            <w:tcBorders>
              <w:right w:val="single" w:color="auto" w:sz="4" w:space="0"/>
            </w:tcBorders>
            <w:noWrap w:val="0"/>
            <w:vAlign w:val="center"/>
          </w:tcPr>
          <w:p w14:paraId="663EC5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年龄：</w:t>
            </w:r>
          </w:p>
        </w:tc>
        <w:tc>
          <w:tcPr>
            <w:tcW w:w="1541" w:type="pct"/>
            <w:tcBorders>
              <w:left w:val="single" w:color="auto" w:sz="4" w:space="0"/>
            </w:tcBorders>
            <w:noWrap w:val="0"/>
            <w:vAlign w:val="center"/>
          </w:tcPr>
          <w:p w14:paraId="700D11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职业：</w:t>
            </w:r>
          </w:p>
        </w:tc>
      </w:tr>
      <w:tr w14:paraId="267B8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68" w:type="pct"/>
            <w:gridSpan w:val="2"/>
            <w:noWrap w:val="0"/>
            <w:vAlign w:val="center"/>
          </w:tcPr>
          <w:p w14:paraId="13BED9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有效联系方式：</w:t>
            </w:r>
          </w:p>
        </w:tc>
        <w:tc>
          <w:tcPr>
            <w:tcW w:w="1105" w:type="pct"/>
            <w:noWrap w:val="0"/>
            <w:vAlign w:val="center"/>
          </w:tcPr>
          <w:p w14:paraId="7E60FB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文化程度：</w:t>
            </w:r>
          </w:p>
        </w:tc>
        <w:tc>
          <w:tcPr>
            <w:tcW w:w="2526" w:type="pct"/>
            <w:gridSpan w:val="2"/>
            <w:noWrap w:val="0"/>
            <w:vAlign w:val="center"/>
          </w:tcPr>
          <w:p w14:paraId="19952E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住址或单位：</w:t>
            </w:r>
          </w:p>
        </w:tc>
      </w:tr>
      <w:tr w14:paraId="25D404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5"/>
            <w:noWrap w:val="0"/>
            <w:vAlign w:val="center"/>
          </w:tcPr>
          <w:p w14:paraId="3979B8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项目简介：</w:t>
            </w:r>
          </w:p>
          <w:p w14:paraId="6F4E2B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位于重庆市合川区境内。路线总体呈南北走向，起于合川区三汇镇斑竹院子（川渝界，接四川境段），经三汇镇桂花村、响水村、大田村及小沔镇竹湾村、石窝村，止于小沔镇东北侧石窝村，设小沔枢纽互通与G85渝广高速相接，并设置小沔收费站连接地方公路。采用高速公路标准，主线全长9.668km（含小沔枢纽互通），设计速度80km/h，整体式路基宽25.5m，分离式路基宽12.75m，桥涵设计荷载为公路-I级。</w:t>
            </w:r>
          </w:p>
          <w:p w14:paraId="1BB432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本项目的建设对环境的影响主要是</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工程施工期生产废水</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施工人员生活污水</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生活垃圾送附近城镇垃圾处理场处置，弃渣送渣场堆存；桥梁施工在枯水期进行，并设置围堰，钻孔泥浆废水循环使用；施工扬尘、噪声对周围环境的影响；采取合理安排施工进度、设置围堰</w:t>
            </w:r>
            <w:r>
              <w:rPr>
                <w:rFonts w:hint="eastAsia" w:cs="Times New Roman"/>
                <w:color w:val="auto"/>
                <w:sz w:val="21"/>
                <w:szCs w:val="21"/>
                <w:lang w:val="en-US" w:eastAsia="zh-CN"/>
              </w:rPr>
              <w:t>等</w:t>
            </w:r>
            <w:r>
              <w:rPr>
                <w:rFonts w:hint="eastAsia" w:ascii="Times New Roman" w:hAnsi="Times New Roman" w:eastAsia="宋体" w:cs="Times New Roman"/>
                <w:color w:val="auto"/>
                <w:sz w:val="21"/>
                <w:szCs w:val="21"/>
              </w:rPr>
              <w:t>措施控制和减小不利影响。针对项目营运期可能存在的噪声、</w:t>
            </w:r>
            <w:r>
              <w:rPr>
                <w:rFonts w:hint="eastAsia" w:ascii="Times New Roman" w:hAnsi="Times New Roman" w:eastAsia="宋体" w:cs="Times New Roman"/>
                <w:color w:val="auto"/>
                <w:sz w:val="21"/>
                <w:szCs w:val="21"/>
                <w:lang w:val="en-US" w:eastAsia="zh-CN"/>
              </w:rPr>
              <w:t>机动车</w:t>
            </w:r>
            <w:r>
              <w:rPr>
                <w:rFonts w:hint="eastAsia" w:ascii="Times New Roman" w:hAnsi="Times New Roman" w:eastAsia="宋体" w:cs="Times New Roman"/>
                <w:color w:val="auto"/>
                <w:sz w:val="21"/>
                <w:szCs w:val="21"/>
              </w:rPr>
              <w:t>废气污染等环境问题均采取必要的污染防治措施，</w:t>
            </w:r>
            <w:r>
              <w:rPr>
                <w:rFonts w:hint="eastAsia" w:ascii="Times New Roman" w:hAnsi="Times New Roman" w:eastAsia="宋体" w:cs="Times New Roman"/>
                <w:color w:val="auto"/>
                <w:sz w:val="21"/>
                <w:szCs w:val="21"/>
                <w:lang w:val="en-US" w:eastAsia="zh-CN"/>
              </w:rPr>
              <w:t>如</w:t>
            </w:r>
            <w:r>
              <w:rPr>
                <w:rFonts w:hint="eastAsia" w:ascii="Times New Roman" w:hAnsi="Times New Roman" w:eastAsia="宋体" w:cs="Times New Roman"/>
                <w:color w:val="auto"/>
                <w:sz w:val="21"/>
                <w:szCs w:val="21"/>
              </w:rPr>
              <w:t>采用声屏障等保护措施</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可确保污染物符合国家有关标准要求。</w:t>
            </w:r>
          </w:p>
          <w:p w14:paraId="4BBFE4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为了了解该项目建设对您的工作及生活可能造成的影响，以便改善建设方案、加强管理，请您根据自己的感受和认识，客观公正地做出您的选择，并留下您的宝贵意见、建议和要求，我们由衷感谢</w:t>
            </w:r>
            <w:r>
              <w:rPr>
                <w:rFonts w:hint="eastAsia" w:cs="Times New Roman"/>
                <w:color w:val="auto"/>
                <w:sz w:val="21"/>
                <w:szCs w:val="21"/>
                <w:lang w:eastAsia="zh-CN"/>
              </w:rPr>
              <w:t>！</w:t>
            </w:r>
          </w:p>
        </w:tc>
      </w:tr>
      <w:tr w14:paraId="3963D1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5"/>
            <w:noWrap w:val="0"/>
            <w:vAlign w:val="center"/>
          </w:tcPr>
          <w:p w14:paraId="7868E5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调查内容：</w:t>
            </w:r>
          </w:p>
          <w:p w14:paraId="567D6D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r>
              <w:rPr>
                <w:rFonts w:hint="eastAsia" w:ascii="Times New Roman" w:hAnsi="Times New Roman" w:eastAsia="宋体" w:cs="Times New Roman"/>
                <w:color w:val="auto"/>
                <w:sz w:val="21"/>
                <w:szCs w:val="21"/>
              </w:rPr>
              <w:t>您对本项目了解程度？</w:t>
            </w:r>
          </w:p>
          <w:p w14:paraId="2AAB3D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很了解</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听说过</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不知道</w:t>
            </w:r>
            <w:r>
              <w:rPr>
                <w:rFonts w:hint="default" w:ascii="Times New Roman" w:hAnsi="Times New Roman" w:eastAsia="宋体" w:cs="Times New Roman"/>
                <w:color w:val="auto"/>
                <w:sz w:val="21"/>
                <w:szCs w:val="21"/>
              </w:rPr>
              <w:t>□</w:t>
            </w:r>
          </w:p>
          <w:p w14:paraId="405A04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r>
              <w:rPr>
                <w:rFonts w:hint="eastAsia" w:ascii="Times New Roman" w:hAnsi="Times New Roman" w:eastAsia="宋体" w:cs="Times New Roman"/>
                <w:color w:val="auto"/>
                <w:sz w:val="21"/>
                <w:szCs w:val="21"/>
              </w:rPr>
              <w:t>您是否支持本项目建设？</w:t>
            </w:r>
          </w:p>
          <w:p w14:paraId="2F869E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支持</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反对</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无所谓</w:t>
            </w:r>
            <w:r>
              <w:rPr>
                <w:rFonts w:hint="default" w:ascii="Times New Roman" w:hAnsi="Times New Roman" w:eastAsia="宋体" w:cs="Times New Roman"/>
                <w:color w:val="auto"/>
                <w:sz w:val="21"/>
                <w:szCs w:val="21"/>
              </w:rPr>
              <w:t>□</w:t>
            </w:r>
          </w:p>
          <w:p w14:paraId="5D6BD0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r>
              <w:rPr>
                <w:rFonts w:hint="eastAsia" w:ascii="Times New Roman" w:hAnsi="Times New Roman" w:eastAsia="宋体" w:cs="Times New Roman"/>
                <w:color w:val="auto"/>
                <w:sz w:val="21"/>
                <w:szCs w:val="21"/>
              </w:rPr>
              <w:t>您认为本项目建设对当地医疗发展有何影响？</w:t>
            </w:r>
          </w:p>
          <w:p w14:paraId="27EABB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有利</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不利</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无影响</w:t>
            </w:r>
            <w:r>
              <w:rPr>
                <w:rFonts w:hint="default" w:ascii="Times New Roman" w:hAnsi="Times New Roman" w:eastAsia="宋体" w:cs="Times New Roman"/>
                <w:color w:val="auto"/>
                <w:sz w:val="21"/>
                <w:szCs w:val="21"/>
              </w:rPr>
              <w:t>□</w:t>
            </w:r>
          </w:p>
          <w:p w14:paraId="53D239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w:t>
            </w:r>
            <w:r>
              <w:rPr>
                <w:rFonts w:hint="eastAsia" w:ascii="Times New Roman" w:hAnsi="Times New Roman" w:eastAsia="宋体" w:cs="Times New Roman"/>
                <w:color w:val="auto"/>
                <w:sz w:val="21"/>
                <w:szCs w:val="21"/>
              </w:rPr>
              <w:t>您认为本地区目前存在的环境问题有？</w:t>
            </w:r>
          </w:p>
          <w:p w14:paraId="3E4BCC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废水□</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固体废弃物□</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噪声□</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地下水污染</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生态破坏</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无</w:t>
            </w:r>
            <w:r>
              <w:rPr>
                <w:rFonts w:hint="default" w:ascii="Times New Roman" w:hAnsi="Times New Roman" w:eastAsia="宋体" w:cs="Times New Roman"/>
                <w:color w:val="auto"/>
                <w:sz w:val="21"/>
                <w:szCs w:val="21"/>
              </w:rPr>
              <w:t>□</w:t>
            </w:r>
          </w:p>
          <w:p w14:paraId="40E808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五、您认为本项目对环境的主要影响有？</w:t>
            </w:r>
          </w:p>
          <w:p w14:paraId="35B15A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大气环境</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噪声污染</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固体废弃物□</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水污染</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无</w:t>
            </w:r>
            <w:r>
              <w:rPr>
                <w:rFonts w:hint="default" w:ascii="Times New Roman" w:hAnsi="Times New Roman" w:eastAsia="宋体" w:cs="Times New Roman"/>
                <w:color w:val="auto"/>
                <w:sz w:val="21"/>
                <w:szCs w:val="21"/>
              </w:rPr>
              <w:t>□</w:t>
            </w:r>
          </w:p>
          <w:p w14:paraId="612437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w:t>
            </w:r>
            <w:r>
              <w:rPr>
                <w:rFonts w:hint="eastAsia" w:ascii="Times New Roman" w:hAnsi="Times New Roman" w:eastAsia="宋体" w:cs="Times New Roman"/>
                <w:color w:val="auto"/>
                <w:sz w:val="21"/>
                <w:szCs w:val="21"/>
              </w:rPr>
              <w:t>您认为本项目拟采取的治理</w:t>
            </w:r>
            <w:r>
              <w:rPr>
                <w:rFonts w:hint="eastAsia" w:cs="Times New Roman"/>
                <w:color w:val="auto"/>
                <w:sz w:val="21"/>
                <w:szCs w:val="21"/>
                <w:lang w:eastAsia="zh-CN"/>
              </w:rPr>
              <w:t>措施</w:t>
            </w:r>
            <w:r>
              <w:rPr>
                <w:rFonts w:hint="eastAsia" w:ascii="Times New Roman" w:hAnsi="Times New Roman" w:eastAsia="宋体" w:cs="Times New Roman"/>
                <w:color w:val="auto"/>
                <w:sz w:val="21"/>
                <w:szCs w:val="21"/>
              </w:rPr>
              <w:t>是否可行？</w:t>
            </w:r>
          </w:p>
          <w:p w14:paraId="560BDC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治理措施可行</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治理</w:t>
            </w:r>
            <w:r>
              <w:rPr>
                <w:rFonts w:hint="eastAsia" w:cs="Times New Roman"/>
                <w:color w:val="auto"/>
                <w:sz w:val="21"/>
                <w:szCs w:val="21"/>
                <w:lang w:eastAsia="zh-CN"/>
              </w:rPr>
              <w:t>措施</w:t>
            </w:r>
            <w:r>
              <w:rPr>
                <w:rFonts w:hint="eastAsia" w:ascii="Times New Roman" w:hAnsi="Times New Roman" w:eastAsia="宋体" w:cs="Times New Roman"/>
                <w:color w:val="auto"/>
                <w:sz w:val="21"/>
                <w:szCs w:val="21"/>
              </w:rPr>
              <w:t>不可行</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 xml:space="preserve">      </w:t>
            </w:r>
            <w:r>
              <w:rPr>
                <w:rFonts w:hint="eastAsia" w:ascii="Times New Roman" w:hAnsi="Times New Roman" w:eastAsia="宋体" w:cs="Times New Roman"/>
                <w:color w:val="auto"/>
                <w:sz w:val="21"/>
                <w:szCs w:val="21"/>
              </w:rPr>
              <w:t>不知道</w:t>
            </w:r>
            <w:r>
              <w:rPr>
                <w:rFonts w:hint="default" w:ascii="Times New Roman" w:hAnsi="Times New Roman" w:eastAsia="宋体" w:cs="Times New Roman"/>
                <w:color w:val="auto"/>
                <w:sz w:val="21"/>
                <w:szCs w:val="21"/>
              </w:rPr>
              <w:t>□</w:t>
            </w:r>
          </w:p>
          <w:p w14:paraId="596D7C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七、您认为本项目建成投产后对周边办公和生活环境的影响：</w:t>
            </w:r>
          </w:p>
          <w:p w14:paraId="7E3828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有正影响□</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有负影响□</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有负影响但可接受□</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无影响□</w:t>
            </w:r>
          </w:p>
          <w:p w14:paraId="5CC20E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八、您对该建项目的具体意见和建议：</w:t>
            </w:r>
          </w:p>
          <w:p w14:paraId="78416F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p>
        </w:tc>
      </w:tr>
    </w:tbl>
    <w:p w14:paraId="4DD80FBC">
      <w:pPr>
        <w:ind w:firstLine="42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注：请在你选择的答案后的括号内划“√”。</w:t>
      </w:r>
    </w:p>
    <w:p w14:paraId="6BBB34E1">
      <w:pPr>
        <w:pStyle w:val="9"/>
        <w:rPr>
          <w:rFonts w:hint="default" w:ascii="Times New Roman" w:hAnsi="Times New Roman" w:cs="Times New Roman"/>
          <w:color w:val="auto"/>
        </w:rPr>
      </w:pPr>
      <w:bookmarkStart w:id="256" w:name="_Ref135126062"/>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13.3</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bookmarkEnd w:id="256"/>
      <w:r>
        <w:rPr>
          <w:rFonts w:hint="default" w:ascii="Times New Roman" w:hAnsi="Times New Roman" w:cs="Times New Roman"/>
          <w:color w:val="auto"/>
          <w:lang w:eastAsia="zh-CN"/>
        </w:rPr>
        <w:t>广安市过境高速公路东环线及渝广高速支线项目（重庆合川境）项目</w:t>
      </w:r>
      <w:r>
        <w:rPr>
          <w:rFonts w:hint="default" w:ascii="Times New Roman" w:hAnsi="Times New Roman" w:cs="Times New Roman"/>
          <w:color w:val="auto"/>
        </w:rPr>
        <w:t>沿线团体意见调查表</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72"/>
        <w:gridCol w:w="1591"/>
        <w:gridCol w:w="1934"/>
        <w:gridCol w:w="1470"/>
        <w:gridCol w:w="2952"/>
      </w:tblGrid>
      <w:tr w14:paraId="6078BF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0" w:hRule="atLeast"/>
          <w:jc w:val="center"/>
        </w:trPr>
        <w:tc>
          <w:tcPr>
            <w:tcW w:w="336" w:type="pct"/>
            <w:noWrap w:val="0"/>
            <w:vAlign w:val="center"/>
          </w:tcPr>
          <w:p w14:paraId="407D0FDE">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项目名称</w:t>
            </w:r>
          </w:p>
        </w:tc>
        <w:tc>
          <w:tcPr>
            <w:tcW w:w="2068" w:type="pct"/>
            <w:gridSpan w:val="2"/>
            <w:noWrap w:val="0"/>
            <w:vAlign w:val="center"/>
          </w:tcPr>
          <w:p w14:paraId="225AFE52">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广安市过境高速公路东环线及渝广高速支线项目（重庆合川境）</w:t>
            </w:r>
            <w:r>
              <w:rPr>
                <w:rFonts w:hint="eastAsia" w:ascii="Times New Roman" w:hAnsi="Times New Roman" w:eastAsia="宋体" w:cs="Times New Roman"/>
                <w:color w:val="auto"/>
                <w:sz w:val="21"/>
                <w:szCs w:val="21"/>
                <w:lang w:val="en-US" w:eastAsia="zh-CN"/>
              </w:rPr>
              <w:t>项目</w:t>
            </w:r>
          </w:p>
        </w:tc>
        <w:tc>
          <w:tcPr>
            <w:tcW w:w="863" w:type="pct"/>
            <w:noWrap w:val="0"/>
            <w:vAlign w:val="center"/>
          </w:tcPr>
          <w:p w14:paraId="0B6EE935">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建设地点</w:t>
            </w:r>
          </w:p>
        </w:tc>
        <w:tc>
          <w:tcPr>
            <w:tcW w:w="1730" w:type="pct"/>
            <w:noWrap w:val="0"/>
            <w:vAlign w:val="center"/>
          </w:tcPr>
          <w:p w14:paraId="4081AB1C">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重庆市合川区</w:t>
            </w:r>
          </w:p>
        </w:tc>
      </w:tr>
      <w:tr w14:paraId="657853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70" w:type="pct"/>
            <w:gridSpan w:val="2"/>
            <w:noWrap w:val="0"/>
            <w:vAlign w:val="center"/>
          </w:tcPr>
          <w:p w14:paraId="59AF203D">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被调查单位</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公章</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w:t>
            </w:r>
          </w:p>
        </w:tc>
        <w:tc>
          <w:tcPr>
            <w:tcW w:w="1135" w:type="pct"/>
            <w:noWrap w:val="0"/>
            <w:vAlign w:val="center"/>
          </w:tcPr>
          <w:p w14:paraId="3809A148">
            <w:pPr>
              <w:spacing w:line="240" w:lineRule="auto"/>
              <w:ind w:firstLine="0" w:firstLineChars="0"/>
              <w:rPr>
                <w:rFonts w:hint="default" w:ascii="Times New Roman" w:hAnsi="Times New Roman" w:eastAsia="宋体" w:cs="Times New Roman"/>
                <w:color w:val="auto"/>
                <w:sz w:val="21"/>
                <w:szCs w:val="21"/>
              </w:rPr>
            </w:pPr>
          </w:p>
        </w:tc>
        <w:tc>
          <w:tcPr>
            <w:tcW w:w="863" w:type="pct"/>
            <w:tcBorders>
              <w:right w:val="single" w:color="auto" w:sz="4" w:space="0"/>
            </w:tcBorders>
            <w:noWrap w:val="0"/>
            <w:vAlign w:val="center"/>
          </w:tcPr>
          <w:p w14:paraId="0721D04E">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被调查单位地址</w:t>
            </w:r>
          </w:p>
        </w:tc>
        <w:tc>
          <w:tcPr>
            <w:tcW w:w="1730" w:type="pct"/>
            <w:tcBorders>
              <w:left w:val="single" w:color="auto" w:sz="4" w:space="0"/>
            </w:tcBorders>
            <w:noWrap w:val="0"/>
            <w:vAlign w:val="center"/>
          </w:tcPr>
          <w:p w14:paraId="464F3B8C">
            <w:pPr>
              <w:spacing w:line="240" w:lineRule="auto"/>
              <w:ind w:firstLine="0" w:firstLineChars="0"/>
              <w:rPr>
                <w:rFonts w:hint="default" w:ascii="Times New Roman" w:hAnsi="Times New Roman" w:eastAsia="宋体" w:cs="Times New Roman"/>
                <w:color w:val="auto"/>
                <w:sz w:val="21"/>
                <w:szCs w:val="21"/>
              </w:rPr>
            </w:pPr>
          </w:p>
        </w:tc>
      </w:tr>
      <w:tr w14:paraId="01F85E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70" w:type="pct"/>
            <w:gridSpan w:val="2"/>
            <w:noWrap w:val="0"/>
            <w:vAlign w:val="center"/>
          </w:tcPr>
          <w:p w14:paraId="5D6096F8">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联系人</w:t>
            </w:r>
          </w:p>
        </w:tc>
        <w:tc>
          <w:tcPr>
            <w:tcW w:w="1135" w:type="pct"/>
            <w:noWrap w:val="0"/>
            <w:vAlign w:val="center"/>
          </w:tcPr>
          <w:p w14:paraId="2C544DDE">
            <w:pPr>
              <w:spacing w:line="240" w:lineRule="auto"/>
              <w:ind w:firstLine="0" w:firstLineChars="0"/>
              <w:rPr>
                <w:rFonts w:hint="default" w:ascii="Times New Roman" w:hAnsi="Times New Roman" w:eastAsia="宋体" w:cs="Times New Roman"/>
                <w:color w:val="auto"/>
                <w:sz w:val="21"/>
                <w:szCs w:val="21"/>
              </w:rPr>
            </w:pPr>
          </w:p>
        </w:tc>
        <w:tc>
          <w:tcPr>
            <w:tcW w:w="863" w:type="pct"/>
            <w:tcBorders>
              <w:right w:val="single" w:color="auto" w:sz="4" w:space="0"/>
            </w:tcBorders>
            <w:noWrap w:val="0"/>
            <w:vAlign w:val="center"/>
          </w:tcPr>
          <w:p w14:paraId="67154F1C">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联系电话</w:t>
            </w:r>
          </w:p>
        </w:tc>
        <w:tc>
          <w:tcPr>
            <w:tcW w:w="1730" w:type="pct"/>
            <w:tcBorders>
              <w:left w:val="single" w:color="auto" w:sz="4" w:space="0"/>
            </w:tcBorders>
            <w:noWrap w:val="0"/>
            <w:vAlign w:val="center"/>
          </w:tcPr>
          <w:p w14:paraId="517CF326">
            <w:pPr>
              <w:spacing w:line="240" w:lineRule="auto"/>
              <w:ind w:firstLine="0" w:firstLineChars="0"/>
              <w:rPr>
                <w:rFonts w:hint="default" w:ascii="Times New Roman" w:hAnsi="Times New Roman" w:eastAsia="宋体" w:cs="Times New Roman"/>
                <w:color w:val="auto"/>
                <w:sz w:val="21"/>
                <w:szCs w:val="21"/>
              </w:rPr>
            </w:pPr>
          </w:p>
        </w:tc>
      </w:tr>
      <w:tr w14:paraId="0E2D62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5"/>
            <w:noWrap w:val="0"/>
            <w:vAlign w:val="center"/>
          </w:tcPr>
          <w:p w14:paraId="699586AB">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项目简介：</w:t>
            </w:r>
          </w:p>
          <w:p w14:paraId="39B1E8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位于重庆市合川区境内。路线总体呈南北走向，起于合川区三汇镇斑竹院子（川渝界，接四川境段），经三汇镇桂花村、响水村、大田村及小沔镇竹湾村、石窝村，止于小沔镇东北侧石窝村，设小沔枢纽互通与G85渝广高速相接，并设置小沔收费站连接地方公路。采用高速公路标准，主线全长9.668km（含小沔枢纽互通），设计速度80km/h，整体式路基宽25.5m，分离式路基宽12.75m，桥涵设计荷载为公路-I级。</w:t>
            </w:r>
          </w:p>
          <w:p w14:paraId="2F2EB7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本项目的建设对环境的影响主要是</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工程施工期生产废水</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施工人员生活污水</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生活垃圾送附近城镇垃圾处理场处置，弃渣送渣场堆存；桥梁施工在枯水期进行，并设置围堰，钻孔泥浆废水循环使用；施工扬尘、噪声对周围环境的影响；采取合理安排施工进度、设置围堰</w:t>
            </w:r>
            <w:r>
              <w:rPr>
                <w:rFonts w:hint="eastAsia" w:cs="Times New Roman"/>
                <w:color w:val="auto"/>
                <w:sz w:val="21"/>
                <w:szCs w:val="21"/>
                <w:lang w:val="en-US" w:eastAsia="zh-CN"/>
              </w:rPr>
              <w:t>等</w:t>
            </w:r>
            <w:r>
              <w:rPr>
                <w:rFonts w:hint="eastAsia" w:ascii="Times New Roman" w:hAnsi="Times New Roman" w:eastAsia="宋体" w:cs="Times New Roman"/>
                <w:color w:val="auto"/>
                <w:sz w:val="21"/>
                <w:szCs w:val="21"/>
              </w:rPr>
              <w:t>措施控制和减小不利影响。针对项目营运期可能存在的噪声、</w:t>
            </w:r>
            <w:r>
              <w:rPr>
                <w:rFonts w:hint="eastAsia" w:ascii="Times New Roman" w:hAnsi="Times New Roman" w:eastAsia="宋体" w:cs="Times New Roman"/>
                <w:color w:val="auto"/>
                <w:sz w:val="21"/>
                <w:szCs w:val="21"/>
                <w:lang w:val="en-US" w:eastAsia="zh-CN"/>
              </w:rPr>
              <w:t>机动车</w:t>
            </w:r>
            <w:r>
              <w:rPr>
                <w:rFonts w:hint="eastAsia" w:ascii="Times New Roman" w:hAnsi="Times New Roman" w:eastAsia="宋体" w:cs="Times New Roman"/>
                <w:color w:val="auto"/>
                <w:sz w:val="21"/>
                <w:szCs w:val="21"/>
              </w:rPr>
              <w:t>废气污染等环境问题均采取必要的污染防治措施，</w:t>
            </w:r>
            <w:r>
              <w:rPr>
                <w:rFonts w:hint="eastAsia" w:ascii="Times New Roman" w:hAnsi="Times New Roman" w:eastAsia="宋体" w:cs="Times New Roman"/>
                <w:color w:val="auto"/>
                <w:sz w:val="21"/>
                <w:szCs w:val="21"/>
                <w:lang w:val="en-US" w:eastAsia="zh-CN"/>
              </w:rPr>
              <w:t>如</w:t>
            </w:r>
            <w:r>
              <w:rPr>
                <w:rFonts w:hint="eastAsia" w:ascii="Times New Roman" w:hAnsi="Times New Roman" w:eastAsia="宋体" w:cs="Times New Roman"/>
                <w:color w:val="auto"/>
                <w:sz w:val="21"/>
                <w:szCs w:val="21"/>
              </w:rPr>
              <w:t>采用声屏障等保护措施</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可确保污染物符合国家有关标准要求。</w:t>
            </w:r>
          </w:p>
          <w:p w14:paraId="3FE752A6">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为了了解该项目建设对您的工作及生活可能造成的影响，以便改善建设方案、加强管理，请您根据自己的感受和认识，客观公正地做出您的选择，并留下您的宝贵意见、建议和要求，我们由衷感谢</w:t>
            </w:r>
            <w:r>
              <w:rPr>
                <w:rFonts w:hint="eastAsia" w:cs="Times New Roman"/>
                <w:color w:val="auto"/>
                <w:sz w:val="21"/>
                <w:szCs w:val="21"/>
                <w:lang w:eastAsia="zh-CN"/>
              </w:rPr>
              <w:t>！</w:t>
            </w:r>
          </w:p>
        </w:tc>
      </w:tr>
      <w:tr w14:paraId="0E51A9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00" w:type="pct"/>
            <w:gridSpan w:val="5"/>
            <w:noWrap w:val="0"/>
            <w:vAlign w:val="center"/>
          </w:tcPr>
          <w:p w14:paraId="53689735">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调查内容：</w:t>
            </w:r>
          </w:p>
          <w:p w14:paraId="07BCCBDC">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r>
              <w:rPr>
                <w:rFonts w:hint="eastAsia" w:ascii="Times New Roman" w:hAnsi="Times New Roman" w:eastAsia="宋体" w:cs="Times New Roman"/>
                <w:color w:val="auto"/>
                <w:sz w:val="21"/>
                <w:szCs w:val="21"/>
              </w:rPr>
              <w:t>贵单位对本项目了解程度？</w:t>
            </w:r>
          </w:p>
          <w:p w14:paraId="14F17F1E">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很了解</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听说过      </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不知道</w:t>
            </w:r>
            <w:r>
              <w:rPr>
                <w:rFonts w:hint="default" w:ascii="Times New Roman" w:hAnsi="Times New Roman" w:eastAsia="宋体" w:cs="Times New Roman"/>
                <w:color w:val="auto"/>
                <w:sz w:val="21"/>
                <w:szCs w:val="21"/>
              </w:rPr>
              <w:t>□</w:t>
            </w:r>
          </w:p>
          <w:p w14:paraId="4BC34CC1">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r>
              <w:rPr>
                <w:rFonts w:hint="eastAsia" w:ascii="Times New Roman" w:hAnsi="Times New Roman" w:eastAsia="宋体" w:cs="Times New Roman"/>
                <w:color w:val="auto"/>
                <w:sz w:val="21"/>
                <w:szCs w:val="21"/>
              </w:rPr>
              <w:t>贵单位</w:t>
            </w:r>
            <w:r>
              <w:rPr>
                <w:rFonts w:hint="eastAsia" w:ascii="Times New Roman" w:hAnsi="Times New Roman" w:eastAsia="宋体" w:cs="Times New Roman"/>
                <w:color w:val="auto"/>
                <w:sz w:val="21"/>
                <w:szCs w:val="21"/>
                <w:lang w:eastAsia="zh-CN"/>
              </w:rPr>
              <w:t>是</w:t>
            </w:r>
            <w:r>
              <w:rPr>
                <w:rFonts w:hint="eastAsia" w:ascii="Times New Roman" w:hAnsi="Times New Roman" w:eastAsia="宋体" w:cs="Times New Roman"/>
                <w:color w:val="auto"/>
                <w:sz w:val="21"/>
                <w:szCs w:val="21"/>
              </w:rPr>
              <w:t>否支持本项目建设？</w:t>
            </w:r>
          </w:p>
          <w:p w14:paraId="7C5335DB">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支持</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反对</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无所谓</w:t>
            </w:r>
            <w:r>
              <w:rPr>
                <w:rFonts w:hint="default" w:ascii="Times New Roman" w:hAnsi="Times New Roman" w:eastAsia="宋体" w:cs="Times New Roman"/>
                <w:color w:val="auto"/>
                <w:sz w:val="21"/>
                <w:szCs w:val="21"/>
              </w:rPr>
              <w:t>□</w:t>
            </w:r>
          </w:p>
          <w:p w14:paraId="06CD331E">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r>
              <w:rPr>
                <w:rFonts w:hint="eastAsia" w:ascii="Times New Roman" w:hAnsi="Times New Roman" w:eastAsia="宋体" w:cs="Times New Roman"/>
                <w:color w:val="auto"/>
                <w:sz w:val="21"/>
                <w:szCs w:val="21"/>
              </w:rPr>
              <w:t>贵单位认为本项目建设对当地医疗发展有何影响？</w:t>
            </w:r>
          </w:p>
          <w:p w14:paraId="4843F82C">
            <w:pPr>
              <w:spacing w:line="240" w:lineRule="auto"/>
              <w:ind w:firstLine="0" w:firstLineChars="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有利</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不利</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无影响</w:t>
            </w:r>
            <w:r>
              <w:rPr>
                <w:rFonts w:hint="default" w:ascii="Times New Roman" w:hAnsi="Times New Roman" w:eastAsia="宋体" w:cs="Times New Roman"/>
                <w:color w:val="auto"/>
                <w:sz w:val="21"/>
                <w:szCs w:val="21"/>
              </w:rPr>
              <w:t>□</w:t>
            </w:r>
          </w:p>
          <w:p w14:paraId="484B2A3D">
            <w:pPr>
              <w:spacing w:line="240" w:lineRule="auto"/>
              <w:ind w:firstLine="0" w:firstLineChars="0"/>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w:t>
            </w:r>
            <w:r>
              <w:rPr>
                <w:rFonts w:hint="eastAsia" w:ascii="Times New Roman" w:hAnsi="Times New Roman" w:eastAsia="宋体" w:cs="Times New Roman"/>
                <w:color w:val="auto"/>
                <w:sz w:val="21"/>
                <w:szCs w:val="21"/>
              </w:rPr>
              <w:t>贵单位认为本地区目前存在的环境问题有？</w:t>
            </w:r>
          </w:p>
          <w:p w14:paraId="1F056544">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废水□</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固体废弃物□</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噪声□</w:t>
            </w:r>
            <w:r>
              <w:rPr>
                <w:rFonts w:hint="eastAsia" w:ascii="Times New Roman" w:hAnsi="Times New Roman" w:eastAsia="宋体" w:cs="Times New Roman"/>
                <w:color w:val="auto"/>
                <w:sz w:val="21"/>
                <w:szCs w:val="21"/>
              </w:rPr>
              <w:t xml:space="preserve">      地下水污染</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生态破坏</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无</w:t>
            </w:r>
            <w:r>
              <w:rPr>
                <w:rFonts w:hint="default" w:ascii="Times New Roman" w:hAnsi="Times New Roman" w:eastAsia="宋体" w:cs="Times New Roman"/>
                <w:color w:val="auto"/>
                <w:sz w:val="21"/>
                <w:szCs w:val="21"/>
              </w:rPr>
              <w:t>□</w:t>
            </w:r>
          </w:p>
          <w:p w14:paraId="55EC8104">
            <w:pPr>
              <w:spacing w:line="240" w:lineRule="auto"/>
              <w:ind w:firstLine="0" w:firstLineChars="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五、贵单位认为本项目对环境的主要影响有？</w:t>
            </w:r>
          </w:p>
          <w:p w14:paraId="3A6D75E5">
            <w:pPr>
              <w:spacing w:line="240" w:lineRule="auto"/>
              <w:ind w:firstLine="0" w:firstLineChars="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大气环境</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噪声污染</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固体废弃物□</w:t>
            </w:r>
            <w:r>
              <w:rPr>
                <w:rFonts w:hint="eastAsia" w:ascii="Times New Roman" w:hAnsi="Times New Roman" w:eastAsia="宋体" w:cs="Times New Roman"/>
                <w:color w:val="auto"/>
                <w:sz w:val="21"/>
                <w:szCs w:val="21"/>
              </w:rPr>
              <w:t xml:space="preserve">      水污染</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无</w:t>
            </w:r>
            <w:r>
              <w:rPr>
                <w:rFonts w:hint="default" w:ascii="Times New Roman" w:hAnsi="Times New Roman" w:eastAsia="宋体" w:cs="Times New Roman"/>
                <w:color w:val="auto"/>
                <w:sz w:val="21"/>
                <w:szCs w:val="21"/>
              </w:rPr>
              <w:t>□</w:t>
            </w:r>
          </w:p>
          <w:p w14:paraId="20294928">
            <w:pPr>
              <w:spacing w:line="240" w:lineRule="auto"/>
              <w:ind w:firstLine="0" w:firstLineChars="0"/>
              <w:rPr>
                <w:rFonts w:hint="eastAsia"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w:t>
            </w:r>
            <w:r>
              <w:rPr>
                <w:rFonts w:hint="eastAsia" w:ascii="Times New Roman" w:hAnsi="Times New Roman" w:eastAsia="宋体" w:cs="Times New Roman"/>
                <w:color w:val="auto"/>
                <w:sz w:val="21"/>
                <w:szCs w:val="21"/>
              </w:rPr>
              <w:t>贵单位认为本项目拟采取的治理</w:t>
            </w:r>
            <w:r>
              <w:rPr>
                <w:rFonts w:hint="eastAsia" w:cs="Times New Roman"/>
                <w:color w:val="auto"/>
                <w:sz w:val="21"/>
                <w:szCs w:val="21"/>
                <w:lang w:eastAsia="zh-CN"/>
              </w:rPr>
              <w:t>措施</w:t>
            </w:r>
            <w:r>
              <w:rPr>
                <w:rFonts w:hint="eastAsia" w:ascii="Times New Roman" w:hAnsi="Times New Roman" w:eastAsia="宋体" w:cs="Times New Roman"/>
                <w:color w:val="auto"/>
                <w:sz w:val="21"/>
                <w:szCs w:val="21"/>
              </w:rPr>
              <w:t>是否可行？</w:t>
            </w:r>
          </w:p>
          <w:p w14:paraId="416C6CC8">
            <w:pPr>
              <w:spacing w:line="240" w:lineRule="auto"/>
              <w:ind w:firstLine="0" w:firstLineChars="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治理措施可行</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治理</w:t>
            </w:r>
            <w:r>
              <w:rPr>
                <w:rFonts w:hint="eastAsia" w:cs="Times New Roman"/>
                <w:color w:val="auto"/>
                <w:sz w:val="21"/>
                <w:szCs w:val="21"/>
                <w:lang w:eastAsia="zh-CN"/>
              </w:rPr>
              <w:t>措施</w:t>
            </w:r>
            <w:r>
              <w:rPr>
                <w:rFonts w:hint="eastAsia" w:ascii="Times New Roman" w:hAnsi="Times New Roman" w:eastAsia="宋体" w:cs="Times New Roman"/>
                <w:color w:val="auto"/>
                <w:sz w:val="21"/>
                <w:szCs w:val="21"/>
              </w:rPr>
              <w:t>不可行</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不知道</w:t>
            </w:r>
            <w:r>
              <w:rPr>
                <w:rFonts w:hint="default" w:ascii="Times New Roman" w:hAnsi="Times New Roman" w:eastAsia="宋体" w:cs="Times New Roman"/>
                <w:color w:val="auto"/>
                <w:sz w:val="21"/>
                <w:szCs w:val="21"/>
              </w:rPr>
              <w:t>□</w:t>
            </w:r>
          </w:p>
          <w:p w14:paraId="79505111">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七、</w:t>
            </w:r>
            <w:r>
              <w:rPr>
                <w:rFonts w:hint="eastAsia" w:ascii="Times New Roman" w:hAnsi="Times New Roman" w:eastAsia="宋体" w:cs="Times New Roman"/>
                <w:color w:val="auto"/>
                <w:sz w:val="21"/>
                <w:szCs w:val="21"/>
              </w:rPr>
              <w:t>贵单位</w:t>
            </w:r>
            <w:r>
              <w:rPr>
                <w:rFonts w:hint="default" w:ascii="Times New Roman" w:hAnsi="Times New Roman" w:eastAsia="宋体" w:cs="Times New Roman"/>
                <w:color w:val="auto"/>
                <w:sz w:val="21"/>
                <w:szCs w:val="21"/>
              </w:rPr>
              <w:t>认为本项目建成投产后对周边办公和生活环境的影响：</w:t>
            </w:r>
          </w:p>
          <w:p w14:paraId="7FCAE311">
            <w:pPr>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有正影响□</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有负影响□</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有负影响但可接受□</w:t>
            </w:r>
            <w:r>
              <w:rPr>
                <w:rFonts w:hint="eastAsia"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rPr>
              <w:t>无影响□</w:t>
            </w:r>
          </w:p>
          <w:p w14:paraId="60ECCE3F">
            <w:pPr>
              <w:spacing w:line="240" w:lineRule="auto"/>
              <w:ind w:firstLine="0" w:firstLineChars="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贵单位</w:t>
            </w:r>
            <w:r>
              <w:rPr>
                <w:rFonts w:hint="default" w:ascii="Times New Roman" w:hAnsi="Times New Roman" w:eastAsia="宋体" w:cs="Times New Roman"/>
                <w:color w:val="auto"/>
                <w:sz w:val="21"/>
                <w:szCs w:val="21"/>
              </w:rPr>
              <w:t>对该建项目的具体意见和建议：</w:t>
            </w:r>
          </w:p>
        </w:tc>
      </w:tr>
    </w:tbl>
    <w:p w14:paraId="6FE515D8">
      <w:pPr>
        <w:ind w:firstLine="420"/>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注：请在你选择的答案后的括号内划“√”。</w:t>
      </w:r>
    </w:p>
    <w:p w14:paraId="017FE0D5">
      <w:pPr>
        <w:pStyle w:val="3"/>
        <w:numPr>
          <w:ilvl w:val="0"/>
          <w:numId w:val="0"/>
        </w:numPr>
        <w:ind w:left="578" w:leftChars="0" w:hanging="578" w:firstLineChars="0"/>
        <w:rPr>
          <w:rFonts w:hint="default" w:ascii="Times New Roman" w:hAnsi="Times New Roman" w:cs="Times New Roman"/>
          <w:color w:val="auto"/>
        </w:rPr>
      </w:pPr>
      <w:bookmarkStart w:id="257" w:name="_Toc2854"/>
      <w:bookmarkStart w:id="258" w:name="_Toc7669"/>
      <w:r>
        <w:rPr>
          <w:rFonts w:hint="eastAsia" w:ascii="Times New Roman" w:hAnsi="Times New Roman" w:cs="Times New Roman"/>
          <w:b/>
          <w:bCs/>
          <w:color w:val="auto"/>
          <w:kern w:val="2"/>
          <w:sz w:val="32"/>
          <w:szCs w:val="32"/>
          <w:lang w:val="en-US" w:eastAsia="zh-CN" w:bidi="ar-SA"/>
        </w:rPr>
        <w:t>13.4</w:t>
      </w:r>
      <w:r>
        <w:rPr>
          <w:rFonts w:hint="default" w:ascii="Times New Roman" w:hAnsi="Times New Roman" w:cs="Times New Roman"/>
          <w:color w:val="auto"/>
        </w:rPr>
        <w:t>调查结果</w:t>
      </w:r>
      <w:bookmarkEnd w:id="257"/>
      <w:bookmarkEnd w:id="258"/>
    </w:p>
    <w:p w14:paraId="356A20AE">
      <w:pPr>
        <w:pStyle w:val="4"/>
        <w:numPr>
          <w:ilvl w:val="0"/>
          <w:numId w:val="0"/>
        </w:numPr>
        <w:ind w:left="720" w:leftChars="0" w:hanging="720" w:firstLineChars="0"/>
        <w:rPr>
          <w:rFonts w:hint="default" w:ascii="Times New Roman" w:hAnsi="Times New Roman" w:cs="Times New Roman"/>
          <w:color w:val="auto"/>
        </w:rPr>
      </w:pPr>
      <w:bookmarkStart w:id="259" w:name="_Toc5205"/>
      <w:r>
        <w:rPr>
          <w:rFonts w:hint="default" w:ascii="Times New Roman" w:hAnsi="Times New Roman" w:eastAsia="宋体" w:cs="Times New Roman"/>
          <w:b/>
          <w:bCs/>
          <w:color w:val="auto"/>
          <w:kern w:val="2"/>
          <w:sz w:val="30"/>
          <w:szCs w:val="32"/>
          <w:lang w:val="en-US" w:eastAsia="zh-CN" w:bidi="ar-SA"/>
        </w:rPr>
        <w:t>13.4.1</w:t>
      </w:r>
      <w:r>
        <w:rPr>
          <w:rFonts w:hint="default" w:ascii="Times New Roman" w:hAnsi="Times New Roman" w:cs="Times New Roman"/>
          <w:color w:val="auto"/>
        </w:rPr>
        <w:t>公路沿线公众意见调查结果统计与分析</w:t>
      </w:r>
      <w:bookmarkEnd w:id="259"/>
    </w:p>
    <w:p w14:paraId="72A6F706">
      <w:pPr>
        <w:pStyle w:val="24"/>
        <w:ind w:firstLine="480"/>
        <w:rPr>
          <w:rFonts w:hint="default" w:ascii="Times New Roman" w:hAnsi="Times New Roman" w:cs="Times New Roman"/>
          <w:color w:val="auto"/>
          <w:szCs w:val="24"/>
        </w:rPr>
      </w:pPr>
      <w:r>
        <w:rPr>
          <w:rFonts w:hint="eastAsia" w:cs="Times New Roman"/>
          <w:color w:val="auto"/>
          <w:szCs w:val="24"/>
          <w:lang w:eastAsia="zh-CN"/>
        </w:rPr>
        <w:t>广安市过境高速公路东环线及渝广高速支线项目（重庆合川境）项目</w:t>
      </w:r>
      <w:r>
        <w:rPr>
          <w:rFonts w:hint="default" w:ascii="Times New Roman" w:hAnsi="Times New Roman" w:cs="Times New Roman"/>
          <w:color w:val="auto"/>
          <w:szCs w:val="24"/>
        </w:rPr>
        <w:t>沿线居民公众意见调查表共收回有效问卷调查</w:t>
      </w:r>
      <w:r>
        <w:rPr>
          <w:rFonts w:hint="eastAsia" w:ascii="Times New Roman" w:hAnsi="Times New Roman" w:cs="Times New Roman"/>
          <w:color w:val="auto"/>
          <w:szCs w:val="24"/>
          <w:lang w:val="en-US" w:eastAsia="zh-CN"/>
        </w:rPr>
        <w:t>10</w:t>
      </w:r>
      <w:r>
        <w:rPr>
          <w:rFonts w:hint="default" w:ascii="Times New Roman" w:hAnsi="Times New Roman" w:cs="Times New Roman"/>
          <w:color w:val="auto"/>
          <w:szCs w:val="24"/>
        </w:rPr>
        <w:t>份，调查统计结果见下表。由调查结果表并结合现场咨询基本情况汇总如下：</w:t>
      </w:r>
    </w:p>
    <w:p w14:paraId="62DE6AD7">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eastAsia" w:ascii="Times New Roman" w:hAnsi="Times New Roman" w:cs="Times New Roman"/>
          <w:color w:val="auto"/>
          <w:szCs w:val="24"/>
          <w:lang w:eastAsia="zh-CN"/>
        </w:rPr>
        <w:t>）</w:t>
      </w:r>
      <w:r>
        <w:rPr>
          <w:rFonts w:hint="eastAsia" w:cs="Times New Roman"/>
          <w:color w:val="auto"/>
          <w:szCs w:val="24"/>
          <w:lang w:val="en-US" w:eastAsia="zh-CN"/>
        </w:rPr>
        <w:t>所有</w:t>
      </w:r>
      <w:r>
        <w:rPr>
          <w:rFonts w:hint="default" w:ascii="Times New Roman" w:hAnsi="Times New Roman" w:cs="Times New Roman"/>
          <w:color w:val="auto"/>
          <w:szCs w:val="24"/>
        </w:rPr>
        <w:t>被调查者</w:t>
      </w:r>
      <w:r>
        <w:rPr>
          <w:rFonts w:hint="eastAsia" w:ascii="Times New Roman" w:hAnsi="Times New Roman" w:cs="Times New Roman"/>
          <w:color w:val="auto"/>
          <w:szCs w:val="24"/>
          <w:lang w:val="en-US" w:eastAsia="zh-CN"/>
        </w:rPr>
        <w:t>都</w:t>
      </w:r>
      <w:r>
        <w:rPr>
          <w:rFonts w:hint="eastAsia" w:cs="Times New Roman"/>
          <w:color w:val="auto"/>
          <w:szCs w:val="24"/>
          <w:lang w:val="en-US" w:eastAsia="zh-CN"/>
        </w:rPr>
        <w:t>很了解本项目。</w:t>
      </w:r>
    </w:p>
    <w:p w14:paraId="71902D53">
      <w:pPr>
        <w:pStyle w:val="24"/>
        <w:ind w:firstLine="480"/>
        <w:rPr>
          <w:rFonts w:hint="default" w:eastAsia="宋体" w:cs="Times New Roman"/>
          <w:color w:val="auto"/>
          <w:szCs w:val="24"/>
          <w:lang w:val="en-US"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eastAsia" w:cs="Times New Roman"/>
          <w:color w:val="auto"/>
          <w:szCs w:val="24"/>
          <w:lang w:val="en-US" w:eastAsia="zh-CN"/>
        </w:rPr>
        <w:t>所有</w:t>
      </w:r>
      <w:r>
        <w:rPr>
          <w:rFonts w:hint="default" w:ascii="Times New Roman" w:hAnsi="Times New Roman" w:cs="Times New Roman"/>
          <w:color w:val="auto"/>
          <w:szCs w:val="24"/>
        </w:rPr>
        <w:t>被调查者</w:t>
      </w:r>
      <w:r>
        <w:rPr>
          <w:rFonts w:hint="eastAsia" w:ascii="Times New Roman" w:hAnsi="Times New Roman" w:cs="Times New Roman"/>
          <w:color w:val="auto"/>
          <w:szCs w:val="24"/>
          <w:lang w:val="en-US" w:eastAsia="zh-CN"/>
        </w:rPr>
        <w:t>都</w:t>
      </w:r>
      <w:r>
        <w:rPr>
          <w:rFonts w:hint="eastAsia" w:cs="Times New Roman"/>
          <w:color w:val="auto"/>
          <w:szCs w:val="24"/>
          <w:lang w:val="en-US" w:eastAsia="zh-CN"/>
        </w:rPr>
        <w:t>支持本项目建设。</w:t>
      </w:r>
    </w:p>
    <w:p w14:paraId="49F0BFFF">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（3）</w:t>
      </w:r>
      <w:r>
        <w:rPr>
          <w:rFonts w:hint="eastAsia" w:ascii="Times New Roman" w:hAnsi="Times New Roman" w:cs="Times New Roman"/>
          <w:color w:val="auto"/>
          <w:szCs w:val="24"/>
          <w:lang w:val="en-US" w:eastAsia="zh-CN"/>
        </w:rPr>
        <w:t>90%</w:t>
      </w:r>
      <w:r>
        <w:rPr>
          <w:rFonts w:hint="default" w:ascii="Times New Roman" w:hAnsi="Times New Roman" w:cs="Times New Roman"/>
          <w:color w:val="auto"/>
          <w:szCs w:val="24"/>
        </w:rPr>
        <w:t>的被调查者认为</w:t>
      </w:r>
      <w:r>
        <w:rPr>
          <w:rFonts w:hint="eastAsia" w:cs="Times New Roman"/>
          <w:color w:val="auto"/>
          <w:szCs w:val="24"/>
          <w:lang w:val="en-US" w:eastAsia="zh-CN"/>
        </w:rPr>
        <w:t>本项目建设有利于当地医疗发展，10%被调查者认为对当地医疗发展无影响。</w:t>
      </w:r>
    </w:p>
    <w:p w14:paraId="39B5A49B">
      <w:pPr>
        <w:pStyle w:val="24"/>
        <w:ind w:firstLine="480"/>
        <w:rPr>
          <w:rFonts w:hint="default" w:ascii="Times New Roman" w:hAnsi="Times New Roman" w:eastAsia="宋体" w:cs="Times New Roman"/>
          <w:color w:val="auto"/>
          <w:szCs w:val="24"/>
          <w:lang w:val="en-US" w:eastAsia="zh-CN"/>
        </w:rPr>
      </w:pPr>
      <w:r>
        <w:rPr>
          <w:rFonts w:hint="default" w:ascii="Times New Roman" w:hAnsi="Times New Roman" w:cs="Times New Roman"/>
          <w:color w:val="auto"/>
          <w:szCs w:val="24"/>
        </w:rPr>
        <w:t>（4）</w:t>
      </w:r>
      <w:r>
        <w:rPr>
          <w:rFonts w:hint="eastAsia" w:ascii="Times New Roman" w:hAnsi="Times New Roman" w:cs="Times New Roman"/>
          <w:color w:val="auto"/>
          <w:szCs w:val="24"/>
          <w:lang w:val="en-US" w:eastAsia="zh-CN"/>
        </w:rPr>
        <w:t>80%</w:t>
      </w:r>
      <w:r>
        <w:rPr>
          <w:rFonts w:hint="eastAsia" w:cs="Times New Roman"/>
          <w:color w:val="auto"/>
          <w:szCs w:val="24"/>
          <w:lang w:val="en-US" w:eastAsia="zh-CN"/>
        </w:rPr>
        <w:t>被调查者认为本地区目前不存在环境问题，20%被调查者认为当地目前存在噪声环境问题。</w:t>
      </w:r>
    </w:p>
    <w:p w14:paraId="017A71F3">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（5）</w:t>
      </w:r>
      <w:r>
        <w:rPr>
          <w:rFonts w:hint="eastAsia" w:cs="Times New Roman"/>
          <w:color w:val="auto"/>
          <w:szCs w:val="24"/>
          <w:lang w:val="en-US" w:eastAsia="zh-CN"/>
        </w:rPr>
        <w:t>80%被调查者均认为本项目对环境无影响，20%被调查者认为本项目对环境主要影响为噪声。</w:t>
      </w:r>
    </w:p>
    <w:p w14:paraId="6CD79A32">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（6）</w:t>
      </w:r>
      <w:r>
        <w:rPr>
          <w:rFonts w:hint="eastAsia" w:ascii="Times New Roman" w:hAnsi="Times New Roman" w:cs="Times New Roman"/>
          <w:color w:val="auto"/>
          <w:szCs w:val="24"/>
          <w:lang w:val="en-US" w:eastAsia="zh-CN"/>
        </w:rPr>
        <w:t>80%</w:t>
      </w:r>
      <w:r>
        <w:rPr>
          <w:rFonts w:hint="eastAsia" w:cs="Times New Roman"/>
          <w:color w:val="auto"/>
          <w:szCs w:val="24"/>
          <w:lang w:val="en-US" w:eastAsia="zh-CN"/>
        </w:rPr>
        <w:t>被调查者认为本项目拟采取的治理措施可行，10%被调查者表示认为不可行，10%被调查者表示不知道。</w:t>
      </w:r>
    </w:p>
    <w:p w14:paraId="366E75C2">
      <w:pPr>
        <w:pStyle w:val="24"/>
        <w:ind w:firstLine="480"/>
        <w:rPr>
          <w:rFonts w:hint="eastAsia" w:cs="Times New Roman"/>
          <w:color w:val="auto"/>
          <w:szCs w:val="24"/>
          <w:lang w:val="en-US" w:eastAsia="zh-CN"/>
        </w:rPr>
      </w:pPr>
      <w:r>
        <w:rPr>
          <w:rFonts w:hint="default" w:ascii="Times New Roman" w:hAnsi="Times New Roman" w:cs="Times New Roman"/>
          <w:color w:val="auto"/>
          <w:szCs w:val="24"/>
        </w:rPr>
        <w:t>（7）</w:t>
      </w:r>
      <w:r>
        <w:rPr>
          <w:rFonts w:hint="eastAsia" w:ascii="Times New Roman" w:hAnsi="Times New Roman" w:cs="Times New Roman"/>
          <w:color w:val="auto"/>
          <w:szCs w:val="24"/>
          <w:lang w:val="en-US" w:eastAsia="zh-CN"/>
        </w:rPr>
        <w:t>60%</w:t>
      </w:r>
      <w:r>
        <w:rPr>
          <w:rFonts w:hint="eastAsia" w:cs="Times New Roman"/>
          <w:color w:val="auto"/>
          <w:szCs w:val="24"/>
          <w:lang w:val="en-US" w:eastAsia="zh-CN"/>
        </w:rPr>
        <w:t>被调查者认为本项目建成投产后对周边办公和生活环境有正影响，40%被调查者认为无影响。</w:t>
      </w:r>
    </w:p>
    <w:p w14:paraId="60D7A0CE">
      <w:pPr>
        <w:pStyle w:val="24"/>
        <w:ind w:firstLine="480"/>
        <w:rPr>
          <w:rFonts w:hint="default" w:cs="Times New Roman"/>
          <w:color w:val="auto"/>
          <w:szCs w:val="24"/>
          <w:lang w:val="en-US" w:eastAsia="zh-CN"/>
        </w:rPr>
      </w:pPr>
      <w:r>
        <w:rPr>
          <w:rFonts w:hint="eastAsia" w:cs="Times New Roman"/>
          <w:color w:val="auto"/>
          <w:szCs w:val="24"/>
          <w:lang w:val="en-US" w:eastAsia="zh-CN"/>
        </w:rPr>
        <w:t>（8）20%的居民认为项目的建设造成日常出行不方便。</w:t>
      </w:r>
    </w:p>
    <w:p w14:paraId="4564C354">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13.4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1</w:t>
      </w:r>
      <w:r>
        <w:rPr>
          <w:rFonts w:hint="default" w:ascii="Times New Roman" w:hAnsi="Times New Roman" w:cs="Times New Roman"/>
          <w:color w:val="auto"/>
        </w:rPr>
        <w:fldChar w:fldCharType="end"/>
      </w:r>
      <w:r>
        <w:rPr>
          <w:rFonts w:hint="eastAsia" w:cs="Times New Roman"/>
          <w:color w:val="auto"/>
          <w:lang w:val="en-US" w:eastAsia="zh-CN"/>
        </w:rPr>
        <w:t>项目</w:t>
      </w:r>
      <w:r>
        <w:rPr>
          <w:rFonts w:hint="default" w:ascii="Times New Roman" w:hAnsi="Times New Roman" w:cs="Times New Roman"/>
          <w:color w:val="auto"/>
        </w:rPr>
        <w:t>沿线居民民众意见调查情况统计表</w:t>
      </w:r>
    </w:p>
    <w:tbl>
      <w:tblPr>
        <w:tblStyle w:val="20"/>
        <w:tblW w:w="4998"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083"/>
        <w:gridCol w:w="1135"/>
        <w:gridCol w:w="992"/>
        <w:gridCol w:w="447"/>
        <w:gridCol w:w="400"/>
        <w:gridCol w:w="1568"/>
        <w:gridCol w:w="1292"/>
        <w:gridCol w:w="1602"/>
      </w:tblGrid>
      <w:tr w14:paraId="13C55FB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636" w:type="pct"/>
            <w:vMerge w:val="restart"/>
            <w:noWrap w:val="0"/>
            <w:vAlign w:val="center"/>
          </w:tcPr>
          <w:p w14:paraId="2360365A">
            <w:pPr>
              <w:pStyle w:val="27"/>
              <w:rPr>
                <w:rFonts w:hint="default" w:ascii="Times New Roman" w:hAnsi="Times New Roman" w:eastAsia="宋体" w:cs="Times New Roman"/>
                <w:color w:val="auto"/>
              </w:rPr>
            </w:pPr>
            <w:bookmarkStart w:id="260" w:name="_Toc3413"/>
            <w:r>
              <w:rPr>
                <w:rFonts w:hint="default" w:ascii="Times New Roman" w:hAnsi="Times New Roman" w:eastAsia="宋体" w:cs="Times New Roman"/>
                <w:color w:val="auto"/>
              </w:rPr>
              <w:t>调查对象基本情况</w:t>
            </w:r>
          </w:p>
        </w:tc>
        <w:tc>
          <w:tcPr>
            <w:tcW w:w="1248" w:type="pct"/>
            <w:gridSpan w:val="2"/>
            <w:noWrap w:val="0"/>
            <w:vAlign w:val="center"/>
          </w:tcPr>
          <w:p w14:paraId="257C383F">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性别比例</w:t>
            </w:r>
            <w:r>
              <w:rPr>
                <w:rFonts w:hint="eastAsia" w:eastAsia="宋体" w:cs="Times New Roman"/>
                <w:color w:val="auto"/>
                <w:lang w:eastAsia="zh-CN"/>
              </w:rPr>
              <w:t>（</w:t>
            </w:r>
            <w:r>
              <w:rPr>
                <w:rFonts w:hint="default" w:ascii="Times New Roman" w:hAnsi="Times New Roman" w:eastAsia="宋体" w:cs="Times New Roman"/>
                <w:color w:val="auto"/>
              </w:rPr>
              <w:t>%</w:t>
            </w:r>
            <w:r>
              <w:rPr>
                <w:rFonts w:hint="eastAsia" w:eastAsia="宋体" w:cs="Times New Roman"/>
                <w:color w:val="auto"/>
                <w:lang w:eastAsia="zh-CN"/>
              </w:rPr>
              <w:t>）</w:t>
            </w:r>
          </w:p>
        </w:tc>
        <w:tc>
          <w:tcPr>
            <w:tcW w:w="1416" w:type="pct"/>
            <w:gridSpan w:val="3"/>
            <w:noWrap w:val="0"/>
            <w:vAlign w:val="center"/>
          </w:tcPr>
          <w:p w14:paraId="20A5EEFE">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年龄比例</w:t>
            </w:r>
            <w:r>
              <w:rPr>
                <w:rFonts w:hint="eastAsia" w:eastAsia="宋体" w:cs="Times New Roman"/>
                <w:color w:val="auto"/>
                <w:lang w:eastAsia="zh-CN"/>
              </w:rPr>
              <w:t>（</w:t>
            </w:r>
            <w:r>
              <w:rPr>
                <w:rFonts w:hint="default" w:ascii="Times New Roman" w:hAnsi="Times New Roman" w:eastAsia="宋体" w:cs="Times New Roman"/>
                <w:color w:val="auto"/>
              </w:rPr>
              <w:t>%</w:t>
            </w:r>
            <w:r>
              <w:rPr>
                <w:rFonts w:hint="eastAsia" w:eastAsia="宋体" w:cs="Times New Roman"/>
                <w:color w:val="auto"/>
                <w:lang w:eastAsia="zh-CN"/>
              </w:rPr>
              <w:t>）</w:t>
            </w:r>
          </w:p>
        </w:tc>
        <w:tc>
          <w:tcPr>
            <w:tcW w:w="1698" w:type="pct"/>
            <w:gridSpan w:val="2"/>
            <w:noWrap w:val="0"/>
            <w:vAlign w:val="center"/>
          </w:tcPr>
          <w:p w14:paraId="185FC5A7">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文化程度比例</w:t>
            </w:r>
            <w:r>
              <w:rPr>
                <w:rFonts w:hint="eastAsia" w:eastAsia="宋体" w:cs="Times New Roman"/>
                <w:color w:val="auto"/>
                <w:lang w:eastAsia="zh-CN"/>
              </w:rPr>
              <w:t>（</w:t>
            </w:r>
            <w:r>
              <w:rPr>
                <w:rFonts w:hint="default" w:ascii="Times New Roman" w:hAnsi="Times New Roman" w:eastAsia="宋体" w:cs="Times New Roman"/>
                <w:color w:val="auto"/>
              </w:rPr>
              <w:t>%</w:t>
            </w:r>
            <w:r>
              <w:rPr>
                <w:rFonts w:hint="eastAsia" w:eastAsia="宋体" w:cs="Times New Roman"/>
                <w:color w:val="auto"/>
                <w:lang w:eastAsia="zh-CN"/>
              </w:rPr>
              <w:t>）</w:t>
            </w:r>
          </w:p>
        </w:tc>
      </w:tr>
      <w:tr w14:paraId="0DB1523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82" w:hRule="atLeast"/>
        </w:trPr>
        <w:tc>
          <w:tcPr>
            <w:tcW w:w="636" w:type="pct"/>
            <w:vMerge w:val="continue"/>
            <w:noWrap w:val="0"/>
            <w:vAlign w:val="center"/>
          </w:tcPr>
          <w:p w14:paraId="18D3ACA9">
            <w:pPr>
              <w:pStyle w:val="27"/>
              <w:rPr>
                <w:rFonts w:hint="default" w:ascii="Times New Roman" w:hAnsi="Times New Roman" w:eastAsia="宋体" w:cs="Times New Roman"/>
                <w:color w:val="auto"/>
              </w:rPr>
            </w:pPr>
          </w:p>
        </w:tc>
        <w:tc>
          <w:tcPr>
            <w:tcW w:w="666" w:type="pct"/>
            <w:noWrap w:val="0"/>
            <w:vAlign w:val="center"/>
          </w:tcPr>
          <w:p w14:paraId="2CC4B5F1">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男</w:t>
            </w:r>
          </w:p>
        </w:tc>
        <w:tc>
          <w:tcPr>
            <w:tcW w:w="582" w:type="pct"/>
            <w:noWrap w:val="0"/>
            <w:vAlign w:val="center"/>
          </w:tcPr>
          <w:p w14:paraId="7AB00AC9">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497" w:type="pct"/>
            <w:gridSpan w:val="2"/>
            <w:noWrap w:val="0"/>
            <w:vAlign w:val="center"/>
          </w:tcPr>
          <w:p w14:paraId="3BC87AAD">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20~50</w:t>
            </w:r>
          </w:p>
        </w:tc>
        <w:tc>
          <w:tcPr>
            <w:tcW w:w="919" w:type="pct"/>
            <w:noWrap w:val="0"/>
            <w:vAlign w:val="center"/>
          </w:tcPr>
          <w:p w14:paraId="5A374D11">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758" w:type="pct"/>
            <w:noWrap w:val="0"/>
            <w:vAlign w:val="center"/>
          </w:tcPr>
          <w:p w14:paraId="6B11A9DE">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高中以下</w:t>
            </w:r>
          </w:p>
        </w:tc>
        <w:tc>
          <w:tcPr>
            <w:tcW w:w="940" w:type="pct"/>
            <w:noWrap w:val="0"/>
            <w:vAlign w:val="center"/>
          </w:tcPr>
          <w:p w14:paraId="69380BFC">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90%</w:t>
            </w:r>
          </w:p>
        </w:tc>
      </w:tr>
      <w:tr w14:paraId="4E7632F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9" w:hRule="atLeast"/>
        </w:trPr>
        <w:tc>
          <w:tcPr>
            <w:tcW w:w="636" w:type="pct"/>
            <w:vMerge w:val="continue"/>
            <w:noWrap w:val="0"/>
            <w:vAlign w:val="center"/>
          </w:tcPr>
          <w:p w14:paraId="6FBE0B8C">
            <w:pPr>
              <w:pStyle w:val="27"/>
              <w:rPr>
                <w:rFonts w:hint="default" w:ascii="Times New Roman" w:hAnsi="Times New Roman" w:eastAsia="宋体" w:cs="Times New Roman"/>
                <w:color w:val="auto"/>
              </w:rPr>
            </w:pPr>
          </w:p>
        </w:tc>
        <w:tc>
          <w:tcPr>
            <w:tcW w:w="666" w:type="pct"/>
            <w:vMerge w:val="restart"/>
            <w:noWrap w:val="0"/>
            <w:vAlign w:val="center"/>
          </w:tcPr>
          <w:p w14:paraId="2028B3C4">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女</w:t>
            </w:r>
          </w:p>
        </w:tc>
        <w:tc>
          <w:tcPr>
            <w:tcW w:w="582" w:type="pct"/>
            <w:vMerge w:val="restart"/>
            <w:noWrap w:val="0"/>
            <w:vAlign w:val="center"/>
          </w:tcPr>
          <w:p w14:paraId="234A3335">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40%</w:t>
            </w:r>
          </w:p>
        </w:tc>
        <w:tc>
          <w:tcPr>
            <w:tcW w:w="497" w:type="pct"/>
            <w:gridSpan w:val="2"/>
            <w:vMerge w:val="restart"/>
            <w:noWrap w:val="0"/>
            <w:vAlign w:val="center"/>
          </w:tcPr>
          <w:p w14:paraId="67626078">
            <w:pPr>
              <w:pStyle w:val="27"/>
              <w:rPr>
                <w:rFonts w:hint="default" w:ascii="Times New Roman" w:hAnsi="Times New Roman" w:eastAsia="宋体" w:cs="Times New Roman"/>
                <w:color w:val="auto"/>
              </w:rPr>
            </w:pPr>
            <w:r>
              <w:rPr>
                <w:rFonts w:hint="default" w:ascii="Times New Roman" w:hAnsi="Times New Roman" w:eastAsia="宋体" w:cs="Times New Roman"/>
                <w:color w:val="auto"/>
              </w:rPr>
              <w:t>50以上</w:t>
            </w:r>
          </w:p>
        </w:tc>
        <w:tc>
          <w:tcPr>
            <w:tcW w:w="919" w:type="pct"/>
            <w:vMerge w:val="restart"/>
            <w:noWrap w:val="0"/>
            <w:vAlign w:val="center"/>
          </w:tcPr>
          <w:p w14:paraId="55EE2E7D">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100%</w:t>
            </w:r>
          </w:p>
        </w:tc>
        <w:tc>
          <w:tcPr>
            <w:tcW w:w="758" w:type="pct"/>
            <w:noWrap w:val="0"/>
            <w:vAlign w:val="center"/>
          </w:tcPr>
          <w:p w14:paraId="5F2FEAF2">
            <w:pPr>
              <w:pStyle w:val="27"/>
              <w:jc w:val="both"/>
              <w:rPr>
                <w:rFonts w:hint="default" w:ascii="Times New Roman" w:hAnsi="Times New Roman" w:eastAsia="宋体" w:cs="Times New Roman"/>
                <w:color w:val="auto"/>
              </w:rPr>
            </w:pPr>
            <w:r>
              <w:rPr>
                <w:rFonts w:hint="default" w:ascii="Times New Roman" w:hAnsi="Times New Roman" w:eastAsia="宋体" w:cs="Times New Roman"/>
                <w:color w:val="auto"/>
              </w:rPr>
              <w:t>高中及以上</w:t>
            </w:r>
          </w:p>
        </w:tc>
        <w:tc>
          <w:tcPr>
            <w:tcW w:w="940" w:type="pct"/>
            <w:noWrap w:val="0"/>
            <w:vAlign w:val="center"/>
          </w:tcPr>
          <w:p w14:paraId="2BE3E67A">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741876B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62" w:hRule="atLeast"/>
        </w:trPr>
        <w:tc>
          <w:tcPr>
            <w:tcW w:w="636" w:type="pct"/>
            <w:vMerge w:val="continue"/>
            <w:noWrap w:val="0"/>
            <w:vAlign w:val="center"/>
          </w:tcPr>
          <w:p w14:paraId="62A45B1B">
            <w:pPr>
              <w:pStyle w:val="27"/>
              <w:rPr>
                <w:color w:val="auto"/>
              </w:rPr>
            </w:pPr>
          </w:p>
        </w:tc>
        <w:tc>
          <w:tcPr>
            <w:tcW w:w="666" w:type="pct"/>
            <w:vMerge w:val="continue"/>
            <w:noWrap w:val="0"/>
            <w:vAlign w:val="center"/>
          </w:tcPr>
          <w:p w14:paraId="59807B07">
            <w:pPr>
              <w:pStyle w:val="27"/>
              <w:rPr>
                <w:color w:val="auto"/>
              </w:rPr>
            </w:pPr>
          </w:p>
        </w:tc>
        <w:tc>
          <w:tcPr>
            <w:tcW w:w="582" w:type="pct"/>
            <w:vMerge w:val="continue"/>
            <w:noWrap w:val="0"/>
            <w:vAlign w:val="center"/>
          </w:tcPr>
          <w:p w14:paraId="7E25D5DA">
            <w:pPr>
              <w:pStyle w:val="27"/>
              <w:rPr>
                <w:color w:val="auto"/>
              </w:rPr>
            </w:pPr>
          </w:p>
        </w:tc>
        <w:tc>
          <w:tcPr>
            <w:tcW w:w="497" w:type="pct"/>
            <w:gridSpan w:val="2"/>
            <w:vMerge w:val="continue"/>
            <w:noWrap w:val="0"/>
            <w:vAlign w:val="center"/>
          </w:tcPr>
          <w:p w14:paraId="5299F843">
            <w:pPr>
              <w:pStyle w:val="27"/>
              <w:rPr>
                <w:color w:val="auto"/>
              </w:rPr>
            </w:pPr>
          </w:p>
        </w:tc>
        <w:tc>
          <w:tcPr>
            <w:tcW w:w="919" w:type="pct"/>
            <w:vMerge w:val="continue"/>
            <w:noWrap w:val="0"/>
            <w:vAlign w:val="center"/>
          </w:tcPr>
          <w:p w14:paraId="7A181233">
            <w:pPr>
              <w:pStyle w:val="27"/>
              <w:rPr>
                <w:color w:val="auto"/>
              </w:rPr>
            </w:pPr>
          </w:p>
        </w:tc>
        <w:tc>
          <w:tcPr>
            <w:tcW w:w="758" w:type="pct"/>
            <w:noWrap w:val="0"/>
            <w:vAlign w:val="center"/>
          </w:tcPr>
          <w:p w14:paraId="073F129C">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未明确</w:t>
            </w:r>
          </w:p>
        </w:tc>
        <w:tc>
          <w:tcPr>
            <w:tcW w:w="940" w:type="pct"/>
            <w:noWrap w:val="0"/>
            <w:vAlign w:val="center"/>
          </w:tcPr>
          <w:p w14:paraId="3B5159D6">
            <w:pPr>
              <w:pStyle w:val="27"/>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w:t>
            </w:r>
          </w:p>
        </w:tc>
      </w:tr>
      <w:tr w14:paraId="4844766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noWrap w:val="0"/>
            <w:vAlign w:val="center"/>
          </w:tcPr>
          <w:p w14:paraId="19033510">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序号</w:t>
            </w:r>
          </w:p>
        </w:tc>
        <w:tc>
          <w:tcPr>
            <w:tcW w:w="2665" w:type="pct"/>
            <w:gridSpan w:val="5"/>
            <w:noWrap w:val="0"/>
            <w:vAlign w:val="center"/>
          </w:tcPr>
          <w:p w14:paraId="5EEF09F2">
            <w:pPr>
              <w:pStyle w:val="27"/>
              <w:rPr>
                <w:rFonts w:hint="default" w:ascii="Times New Roman" w:hAnsi="Times New Roman" w:eastAsia="宋体" w:cs="Times New Roman"/>
                <w:color w:val="auto"/>
              </w:rPr>
            </w:pPr>
            <w:r>
              <w:rPr>
                <w:rFonts w:hint="eastAsia" w:eastAsia="宋体" w:cs="Times New Roman"/>
                <w:color w:val="auto"/>
                <w:lang w:val="en-US" w:eastAsia="zh-CN"/>
              </w:rPr>
              <w:t>问题</w:t>
            </w:r>
          </w:p>
        </w:tc>
        <w:tc>
          <w:tcPr>
            <w:tcW w:w="758" w:type="pct"/>
            <w:noWrap w:val="0"/>
            <w:vAlign w:val="center"/>
          </w:tcPr>
          <w:p w14:paraId="49FCAD2C">
            <w:pPr>
              <w:pStyle w:val="27"/>
              <w:rPr>
                <w:rFonts w:hint="default" w:ascii="Times New Roman" w:hAnsi="Times New Roman" w:eastAsia="宋体" w:cs="Times New Roman"/>
                <w:color w:val="auto"/>
                <w:lang w:val="en-US" w:eastAsia="zh-CN"/>
              </w:rPr>
            </w:pPr>
            <w:r>
              <w:rPr>
                <w:rFonts w:hint="eastAsia" w:eastAsia="宋体" w:cs="Times New Roman"/>
                <w:color w:val="auto"/>
                <w:lang w:val="en-US" w:eastAsia="zh-CN"/>
              </w:rPr>
              <w:t>人数</w:t>
            </w:r>
          </w:p>
        </w:tc>
        <w:tc>
          <w:tcPr>
            <w:tcW w:w="940" w:type="pct"/>
            <w:noWrap w:val="0"/>
            <w:vAlign w:val="center"/>
          </w:tcPr>
          <w:p w14:paraId="7A216352">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比例</w:t>
            </w:r>
          </w:p>
        </w:tc>
      </w:tr>
      <w:tr w14:paraId="1F46E5E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center"/>
          </w:tcPr>
          <w:p w14:paraId="1811D6AD">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1</w:t>
            </w:r>
          </w:p>
        </w:tc>
        <w:tc>
          <w:tcPr>
            <w:tcW w:w="1510" w:type="pct"/>
            <w:gridSpan w:val="3"/>
            <w:vMerge w:val="restart"/>
            <w:noWrap w:val="0"/>
            <w:vAlign w:val="center"/>
          </w:tcPr>
          <w:p w14:paraId="03D49D1E">
            <w:pPr>
              <w:pStyle w:val="27"/>
              <w:rPr>
                <w:rFonts w:hint="default" w:ascii="Times New Roman" w:hAnsi="Times New Roman" w:eastAsia="宋体" w:cs="Times New Roman"/>
                <w:color w:val="auto"/>
              </w:rPr>
            </w:pPr>
            <w:r>
              <w:rPr>
                <w:rFonts w:hint="eastAsia"/>
                <w:color w:val="auto"/>
                <w:szCs w:val="21"/>
              </w:rPr>
              <w:t>您对本项目了解程度？</w:t>
            </w:r>
          </w:p>
        </w:tc>
        <w:tc>
          <w:tcPr>
            <w:tcW w:w="1154" w:type="pct"/>
            <w:gridSpan w:val="2"/>
            <w:noWrap w:val="0"/>
            <w:vAlign w:val="center"/>
          </w:tcPr>
          <w:p w14:paraId="4CE82A0E">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很了解</w:t>
            </w:r>
          </w:p>
        </w:tc>
        <w:tc>
          <w:tcPr>
            <w:tcW w:w="758" w:type="pct"/>
            <w:noWrap w:val="0"/>
            <w:vAlign w:val="center"/>
          </w:tcPr>
          <w:p w14:paraId="6FC67F4D">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940" w:type="pct"/>
            <w:noWrap w:val="0"/>
            <w:vAlign w:val="center"/>
          </w:tcPr>
          <w:p w14:paraId="67DB48F0">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14:paraId="0119101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266C8073">
            <w:pPr>
              <w:pStyle w:val="27"/>
              <w:rPr>
                <w:rFonts w:hint="default" w:ascii="Times New Roman" w:hAnsi="Times New Roman" w:eastAsia="宋体" w:cs="Times New Roman"/>
                <w:color w:val="auto"/>
              </w:rPr>
            </w:pPr>
          </w:p>
        </w:tc>
        <w:tc>
          <w:tcPr>
            <w:tcW w:w="1510" w:type="pct"/>
            <w:gridSpan w:val="3"/>
            <w:vMerge w:val="continue"/>
            <w:noWrap w:val="0"/>
            <w:vAlign w:val="center"/>
          </w:tcPr>
          <w:p w14:paraId="6D8FC1E6">
            <w:pPr>
              <w:pStyle w:val="27"/>
              <w:rPr>
                <w:rFonts w:hint="default" w:ascii="Times New Roman" w:hAnsi="Times New Roman" w:eastAsia="宋体" w:cs="Times New Roman"/>
                <w:color w:val="auto"/>
              </w:rPr>
            </w:pPr>
          </w:p>
        </w:tc>
        <w:tc>
          <w:tcPr>
            <w:tcW w:w="1154" w:type="pct"/>
            <w:gridSpan w:val="2"/>
            <w:noWrap w:val="0"/>
            <w:vAlign w:val="center"/>
          </w:tcPr>
          <w:p w14:paraId="246A4EEC">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听说过</w:t>
            </w:r>
          </w:p>
        </w:tc>
        <w:tc>
          <w:tcPr>
            <w:tcW w:w="758" w:type="pct"/>
            <w:noWrap w:val="0"/>
            <w:vAlign w:val="center"/>
          </w:tcPr>
          <w:p w14:paraId="2A650EFA">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1734712B">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4F23803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1994EB27">
            <w:pPr>
              <w:pStyle w:val="27"/>
              <w:rPr>
                <w:rFonts w:hint="default" w:ascii="Times New Roman" w:hAnsi="Times New Roman" w:eastAsia="宋体" w:cs="Times New Roman"/>
                <w:color w:val="auto"/>
              </w:rPr>
            </w:pPr>
          </w:p>
        </w:tc>
        <w:tc>
          <w:tcPr>
            <w:tcW w:w="1510" w:type="pct"/>
            <w:gridSpan w:val="3"/>
            <w:vMerge w:val="continue"/>
            <w:noWrap w:val="0"/>
            <w:vAlign w:val="center"/>
          </w:tcPr>
          <w:p w14:paraId="70CB463C">
            <w:pPr>
              <w:pStyle w:val="27"/>
              <w:rPr>
                <w:rFonts w:hint="default" w:ascii="Times New Roman" w:hAnsi="Times New Roman" w:eastAsia="宋体" w:cs="Times New Roman"/>
                <w:color w:val="auto"/>
              </w:rPr>
            </w:pPr>
          </w:p>
        </w:tc>
        <w:tc>
          <w:tcPr>
            <w:tcW w:w="1154" w:type="pct"/>
            <w:gridSpan w:val="2"/>
            <w:noWrap w:val="0"/>
            <w:vAlign w:val="center"/>
          </w:tcPr>
          <w:p w14:paraId="1491FF67">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不知道</w:t>
            </w:r>
          </w:p>
        </w:tc>
        <w:tc>
          <w:tcPr>
            <w:tcW w:w="758" w:type="pct"/>
            <w:noWrap w:val="0"/>
            <w:vAlign w:val="center"/>
          </w:tcPr>
          <w:p w14:paraId="683033DD">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51353D78">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704FE92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center"/>
          </w:tcPr>
          <w:p w14:paraId="34C51A8F">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2</w:t>
            </w:r>
          </w:p>
        </w:tc>
        <w:tc>
          <w:tcPr>
            <w:tcW w:w="1510" w:type="pct"/>
            <w:gridSpan w:val="3"/>
            <w:vMerge w:val="restart"/>
            <w:noWrap w:val="0"/>
            <w:vAlign w:val="center"/>
          </w:tcPr>
          <w:p w14:paraId="19DD2846">
            <w:pPr>
              <w:pStyle w:val="27"/>
              <w:rPr>
                <w:rFonts w:hint="eastAsia" w:ascii="Times New Roman" w:hAnsi="Times New Roman" w:eastAsia="宋体" w:cs="Times New Roman"/>
                <w:color w:val="auto"/>
                <w:lang w:eastAsia="zh-CN"/>
              </w:rPr>
            </w:pPr>
            <w:r>
              <w:rPr>
                <w:rFonts w:hint="eastAsia"/>
                <w:color w:val="auto"/>
                <w:szCs w:val="21"/>
              </w:rPr>
              <w:t>您是否支持本项目建设</w:t>
            </w:r>
            <w:r>
              <w:rPr>
                <w:rFonts w:hint="eastAsia" w:eastAsia="宋体"/>
                <w:color w:val="auto"/>
                <w:szCs w:val="21"/>
                <w:lang w:eastAsia="zh-CN"/>
              </w:rPr>
              <w:t>？</w:t>
            </w:r>
          </w:p>
        </w:tc>
        <w:tc>
          <w:tcPr>
            <w:tcW w:w="1154" w:type="pct"/>
            <w:gridSpan w:val="2"/>
            <w:noWrap w:val="0"/>
            <w:vAlign w:val="center"/>
          </w:tcPr>
          <w:p w14:paraId="62EE787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Cs w:val="21"/>
              </w:rPr>
              <w:t>支持</w:t>
            </w:r>
          </w:p>
        </w:tc>
        <w:tc>
          <w:tcPr>
            <w:tcW w:w="758" w:type="pct"/>
            <w:noWrap w:val="0"/>
            <w:vAlign w:val="center"/>
          </w:tcPr>
          <w:p w14:paraId="015521D0">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940" w:type="pct"/>
            <w:noWrap w:val="0"/>
            <w:vAlign w:val="center"/>
          </w:tcPr>
          <w:p w14:paraId="3D65C53D">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14:paraId="7E8ECF0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3FEEA43F">
            <w:pPr>
              <w:pStyle w:val="27"/>
              <w:rPr>
                <w:rFonts w:hint="default" w:ascii="Times New Roman" w:hAnsi="Times New Roman" w:eastAsia="宋体" w:cs="Times New Roman"/>
                <w:color w:val="auto"/>
              </w:rPr>
            </w:pPr>
          </w:p>
        </w:tc>
        <w:tc>
          <w:tcPr>
            <w:tcW w:w="1510" w:type="pct"/>
            <w:gridSpan w:val="3"/>
            <w:vMerge w:val="continue"/>
            <w:noWrap w:val="0"/>
            <w:vAlign w:val="center"/>
          </w:tcPr>
          <w:p w14:paraId="28491815">
            <w:pPr>
              <w:pStyle w:val="27"/>
              <w:rPr>
                <w:rFonts w:hint="default" w:ascii="Times New Roman" w:hAnsi="Times New Roman" w:eastAsia="宋体" w:cs="Times New Roman"/>
                <w:color w:val="auto"/>
              </w:rPr>
            </w:pPr>
          </w:p>
        </w:tc>
        <w:tc>
          <w:tcPr>
            <w:tcW w:w="1154" w:type="pct"/>
            <w:gridSpan w:val="2"/>
            <w:noWrap w:val="0"/>
            <w:vAlign w:val="center"/>
          </w:tcPr>
          <w:p w14:paraId="45A624D3">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Cs w:val="21"/>
              </w:rPr>
              <w:t>反对</w:t>
            </w:r>
          </w:p>
        </w:tc>
        <w:tc>
          <w:tcPr>
            <w:tcW w:w="758" w:type="pct"/>
            <w:noWrap w:val="0"/>
            <w:vAlign w:val="center"/>
          </w:tcPr>
          <w:p w14:paraId="7A247205">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6884AA8E">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4C09385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30D193D0">
            <w:pPr>
              <w:pStyle w:val="27"/>
              <w:rPr>
                <w:rFonts w:hint="default" w:ascii="Times New Roman" w:hAnsi="Times New Roman" w:eastAsia="宋体" w:cs="Times New Roman"/>
                <w:color w:val="auto"/>
              </w:rPr>
            </w:pPr>
          </w:p>
        </w:tc>
        <w:tc>
          <w:tcPr>
            <w:tcW w:w="1510" w:type="pct"/>
            <w:gridSpan w:val="3"/>
            <w:vMerge w:val="continue"/>
            <w:noWrap w:val="0"/>
            <w:vAlign w:val="center"/>
          </w:tcPr>
          <w:p w14:paraId="27688EEA">
            <w:pPr>
              <w:pStyle w:val="27"/>
              <w:rPr>
                <w:rFonts w:hint="default" w:ascii="Times New Roman" w:hAnsi="Times New Roman" w:eastAsia="宋体" w:cs="Times New Roman"/>
                <w:color w:val="auto"/>
              </w:rPr>
            </w:pPr>
          </w:p>
        </w:tc>
        <w:tc>
          <w:tcPr>
            <w:tcW w:w="1154" w:type="pct"/>
            <w:gridSpan w:val="2"/>
            <w:noWrap w:val="0"/>
            <w:vAlign w:val="center"/>
          </w:tcPr>
          <w:p w14:paraId="101A991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无所谓</w:t>
            </w:r>
          </w:p>
        </w:tc>
        <w:tc>
          <w:tcPr>
            <w:tcW w:w="758" w:type="pct"/>
            <w:noWrap w:val="0"/>
            <w:vAlign w:val="center"/>
          </w:tcPr>
          <w:p w14:paraId="6C5C95D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3FF3152E">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3C954AA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center"/>
          </w:tcPr>
          <w:p w14:paraId="6F0BDE1E">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3</w:t>
            </w:r>
          </w:p>
        </w:tc>
        <w:tc>
          <w:tcPr>
            <w:tcW w:w="1510" w:type="pct"/>
            <w:gridSpan w:val="3"/>
            <w:vMerge w:val="restart"/>
            <w:noWrap w:val="0"/>
            <w:vAlign w:val="center"/>
          </w:tcPr>
          <w:p w14:paraId="4453E7E1">
            <w:pPr>
              <w:pStyle w:val="27"/>
              <w:rPr>
                <w:rFonts w:hint="default" w:ascii="Times New Roman" w:hAnsi="Times New Roman" w:eastAsia="宋体" w:cs="Times New Roman"/>
                <w:color w:val="auto"/>
              </w:rPr>
            </w:pPr>
            <w:r>
              <w:rPr>
                <w:rFonts w:hint="eastAsia"/>
                <w:color w:val="auto"/>
                <w:szCs w:val="21"/>
              </w:rPr>
              <w:t>您认为本项目建设对当地医疗发展有何影响？</w:t>
            </w:r>
          </w:p>
        </w:tc>
        <w:tc>
          <w:tcPr>
            <w:tcW w:w="1154" w:type="pct"/>
            <w:gridSpan w:val="2"/>
            <w:noWrap w:val="0"/>
            <w:vAlign w:val="center"/>
          </w:tcPr>
          <w:p w14:paraId="4AA5E186">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有利</w:t>
            </w:r>
          </w:p>
        </w:tc>
        <w:tc>
          <w:tcPr>
            <w:tcW w:w="758" w:type="pct"/>
            <w:noWrap w:val="0"/>
            <w:vAlign w:val="center"/>
          </w:tcPr>
          <w:p w14:paraId="21E2EDA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w:t>
            </w:r>
          </w:p>
        </w:tc>
        <w:tc>
          <w:tcPr>
            <w:tcW w:w="940" w:type="pct"/>
            <w:noWrap w:val="0"/>
            <w:vAlign w:val="center"/>
          </w:tcPr>
          <w:p w14:paraId="103B3C0A">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90%</w:t>
            </w:r>
          </w:p>
        </w:tc>
      </w:tr>
      <w:tr w14:paraId="6D2C63A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6468238A">
            <w:pPr>
              <w:pStyle w:val="27"/>
              <w:rPr>
                <w:rFonts w:hint="default" w:ascii="Times New Roman" w:hAnsi="Times New Roman" w:eastAsia="宋体" w:cs="Times New Roman"/>
                <w:color w:val="auto"/>
              </w:rPr>
            </w:pPr>
          </w:p>
        </w:tc>
        <w:tc>
          <w:tcPr>
            <w:tcW w:w="1510" w:type="pct"/>
            <w:gridSpan w:val="3"/>
            <w:vMerge w:val="continue"/>
            <w:noWrap w:val="0"/>
            <w:vAlign w:val="center"/>
          </w:tcPr>
          <w:p w14:paraId="0C39604A">
            <w:pPr>
              <w:pStyle w:val="27"/>
              <w:rPr>
                <w:rFonts w:hint="default" w:ascii="Times New Roman" w:hAnsi="Times New Roman" w:eastAsia="宋体" w:cs="Times New Roman"/>
                <w:color w:val="auto"/>
              </w:rPr>
            </w:pPr>
          </w:p>
        </w:tc>
        <w:tc>
          <w:tcPr>
            <w:tcW w:w="1154" w:type="pct"/>
            <w:gridSpan w:val="2"/>
            <w:noWrap w:val="0"/>
            <w:vAlign w:val="center"/>
          </w:tcPr>
          <w:p w14:paraId="28BF5E52">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不利</w:t>
            </w:r>
          </w:p>
        </w:tc>
        <w:tc>
          <w:tcPr>
            <w:tcW w:w="758" w:type="pct"/>
            <w:noWrap w:val="0"/>
            <w:vAlign w:val="center"/>
          </w:tcPr>
          <w:p w14:paraId="7D21A10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67605400">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761A8A5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58B15614">
            <w:pPr>
              <w:pStyle w:val="27"/>
              <w:rPr>
                <w:rFonts w:hint="default" w:ascii="Times New Roman" w:hAnsi="Times New Roman" w:eastAsia="宋体" w:cs="Times New Roman"/>
                <w:color w:val="auto"/>
              </w:rPr>
            </w:pPr>
          </w:p>
        </w:tc>
        <w:tc>
          <w:tcPr>
            <w:tcW w:w="1510" w:type="pct"/>
            <w:gridSpan w:val="3"/>
            <w:vMerge w:val="continue"/>
            <w:noWrap w:val="0"/>
            <w:vAlign w:val="center"/>
          </w:tcPr>
          <w:p w14:paraId="75BB5FDC">
            <w:pPr>
              <w:pStyle w:val="27"/>
              <w:rPr>
                <w:rFonts w:hint="default" w:ascii="Times New Roman" w:hAnsi="Times New Roman" w:eastAsia="宋体" w:cs="Times New Roman"/>
                <w:color w:val="auto"/>
              </w:rPr>
            </w:pPr>
          </w:p>
        </w:tc>
        <w:tc>
          <w:tcPr>
            <w:tcW w:w="1154" w:type="pct"/>
            <w:gridSpan w:val="2"/>
            <w:noWrap w:val="0"/>
            <w:vAlign w:val="center"/>
          </w:tcPr>
          <w:p w14:paraId="17794885">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无影响</w:t>
            </w:r>
          </w:p>
        </w:tc>
        <w:tc>
          <w:tcPr>
            <w:tcW w:w="758" w:type="pct"/>
            <w:noWrap w:val="0"/>
            <w:vAlign w:val="center"/>
          </w:tcPr>
          <w:p w14:paraId="75B86FCC">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40" w:type="pct"/>
            <w:noWrap w:val="0"/>
            <w:vAlign w:val="center"/>
          </w:tcPr>
          <w:p w14:paraId="0F69C361">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r>
      <w:tr w14:paraId="37223A1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center"/>
          </w:tcPr>
          <w:p w14:paraId="7A8ED84B">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4</w:t>
            </w:r>
          </w:p>
        </w:tc>
        <w:tc>
          <w:tcPr>
            <w:tcW w:w="1510" w:type="pct"/>
            <w:gridSpan w:val="3"/>
            <w:vMerge w:val="restart"/>
            <w:noWrap w:val="0"/>
            <w:vAlign w:val="center"/>
          </w:tcPr>
          <w:p w14:paraId="2863D1F3">
            <w:pPr>
              <w:pStyle w:val="27"/>
              <w:rPr>
                <w:rFonts w:hint="default" w:ascii="Times New Roman" w:hAnsi="Times New Roman" w:eastAsia="宋体" w:cs="Times New Roman"/>
                <w:color w:val="auto"/>
              </w:rPr>
            </w:pPr>
            <w:r>
              <w:rPr>
                <w:rFonts w:hint="eastAsia"/>
                <w:color w:val="auto"/>
                <w:szCs w:val="21"/>
              </w:rPr>
              <w:t>您认为本地区目前存在的环境问题有？</w:t>
            </w:r>
          </w:p>
        </w:tc>
        <w:tc>
          <w:tcPr>
            <w:tcW w:w="1154" w:type="pct"/>
            <w:gridSpan w:val="2"/>
            <w:noWrap w:val="0"/>
            <w:vAlign w:val="center"/>
          </w:tcPr>
          <w:p w14:paraId="19D6A25D">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废气</w:t>
            </w:r>
          </w:p>
        </w:tc>
        <w:tc>
          <w:tcPr>
            <w:tcW w:w="758" w:type="pct"/>
            <w:noWrap w:val="0"/>
            <w:vAlign w:val="center"/>
          </w:tcPr>
          <w:p w14:paraId="1D720A33">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414630A8">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417A965B">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37E64702">
            <w:pPr>
              <w:pStyle w:val="27"/>
              <w:rPr>
                <w:rFonts w:hint="default" w:ascii="Times New Roman" w:hAnsi="Times New Roman" w:eastAsia="宋体" w:cs="Times New Roman"/>
                <w:color w:val="auto"/>
              </w:rPr>
            </w:pPr>
          </w:p>
        </w:tc>
        <w:tc>
          <w:tcPr>
            <w:tcW w:w="1510" w:type="pct"/>
            <w:gridSpan w:val="3"/>
            <w:vMerge w:val="continue"/>
            <w:noWrap w:val="0"/>
            <w:vAlign w:val="center"/>
          </w:tcPr>
          <w:p w14:paraId="0A5E8211">
            <w:pPr>
              <w:pStyle w:val="27"/>
              <w:rPr>
                <w:rFonts w:hint="default" w:ascii="Times New Roman" w:hAnsi="Times New Roman" w:eastAsia="宋体" w:cs="Times New Roman"/>
                <w:color w:val="auto"/>
              </w:rPr>
            </w:pPr>
          </w:p>
        </w:tc>
        <w:tc>
          <w:tcPr>
            <w:tcW w:w="1154" w:type="pct"/>
            <w:gridSpan w:val="2"/>
            <w:noWrap w:val="0"/>
            <w:vAlign w:val="center"/>
          </w:tcPr>
          <w:p w14:paraId="3F6160A5">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废水</w:t>
            </w:r>
          </w:p>
        </w:tc>
        <w:tc>
          <w:tcPr>
            <w:tcW w:w="758" w:type="pct"/>
            <w:noWrap w:val="0"/>
            <w:vAlign w:val="center"/>
          </w:tcPr>
          <w:p w14:paraId="1F91BCD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0026F761">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2D9BA77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264956A7">
            <w:pPr>
              <w:pStyle w:val="27"/>
              <w:rPr>
                <w:rFonts w:hint="default" w:ascii="Times New Roman" w:hAnsi="Times New Roman" w:eastAsia="宋体" w:cs="Times New Roman"/>
                <w:color w:val="auto"/>
              </w:rPr>
            </w:pPr>
          </w:p>
        </w:tc>
        <w:tc>
          <w:tcPr>
            <w:tcW w:w="1510" w:type="pct"/>
            <w:gridSpan w:val="3"/>
            <w:vMerge w:val="continue"/>
            <w:noWrap w:val="0"/>
            <w:vAlign w:val="center"/>
          </w:tcPr>
          <w:p w14:paraId="4088A536">
            <w:pPr>
              <w:pStyle w:val="27"/>
              <w:rPr>
                <w:rFonts w:hint="default" w:ascii="Times New Roman" w:hAnsi="Times New Roman" w:eastAsia="宋体" w:cs="Times New Roman"/>
                <w:color w:val="auto"/>
              </w:rPr>
            </w:pPr>
          </w:p>
        </w:tc>
        <w:tc>
          <w:tcPr>
            <w:tcW w:w="1154" w:type="pct"/>
            <w:gridSpan w:val="2"/>
            <w:noWrap w:val="0"/>
            <w:vAlign w:val="center"/>
          </w:tcPr>
          <w:p w14:paraId="2B7E823E">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固体废弃物</w:t>
            </w:r>
          </w:p>
        </w:tc>
        <w:tc>
          <w:tcPr>
            <w:tcW w:w="758" w:type="pct"/>
            <w:noWrap w:val="0"/>
            <w:vAlign w:val="center"/>
          </w:tcPr>
          <w:p w14:paraId="2361D134">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75E05633">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5D5051E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78305CD4">
            <w:pPr>
              <w:pStyle w:val="27"/>
              <w:rPr>
                <w:rFonts w:hint="default" w:ascii="Times New Roman" w:hAnsi="Times New Roman" w:eastAsia="宋体" w:cs="Times New Roman"/>
                <w:color w:val="auto"/>
              </w:rPr>
            </w:pPr>
          </w:p>
        </w:tc>
        <w:tc>
          <w:tcPr>
            <w:tcW w:w="1510" w:type="pct"/>
            <w:gridSpan w:val="3"/>
            <w:vMerge w:val="continue"/>
            <w:noWrap w:val="0"/>
            <w:vAlign w:val="center"/>
          </w:tcPr>
          <w:p w14:paraId="538DA98D">
            <w:pPr>
              <w:pStyle w:val="27"/>
              <w:rPr>
                <w:rFonts w:hint="default" w:ascii="Times New Roman" w:hAnsi="Times New Roman" w:eastAsia="宋体" w:cs="Times New Roman"/>
                <w:color w:val="auto"/>
              </w:rPr>
            </w:pPr>
          </w:p>
        </w:tc>
        <w:tc>
          <w:tcPr>
            <w:tcW w:w="1154" w:type="pct"/>
            <w:gridSpan w:val="2"/>
            <w:noWrap w:val="0"/>
            <w:vAlign w:val="center"/>
          </w:tcPr>
          <w:p w14:paraId="77B444A5">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噪声</w:t>
            </w:r>
          </w:p>
        </w:tc>
        <w:tc>
          <w:tcPr>
            <w:tcW w:w="758" w:type="pct"/>
            <w:noWrap w:val="0"/>
            <w:vAlign w:val="center"/>
          </w:tcPr>
          <w:p w14:paraId="2328EE76">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940" w:type="pct"/>
            <w:noWrap w:val="0"/>
            <w:vAlign w:val="center"/>
          </w:tcPr>
          <w:p w14:paraId="18891A9D">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r>
      <w:tr w14:paraId="6BACE16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5E511FAF">
            <w:pPr>
              <w:pStyle w:val="27"/>
              <w:rPr>
                <w:rFonts w:hint="default" w:ascii="Times New Roman" w:hAnsi="Times New Roman" w:eastAsia="宋体" w:cs="Times New Roman"/>
                <w:color w:val="auto"/>
              </w:rPr>
            </w:pPr>
          </w:p>
        </w:tc>
        <w:tc>
          <w:tcPr>
            <w:tcW w:w="1510" w:type="pct"/>
            <w:gridSpan w:val="3"/>
            <w:vMerge w:val="continue"/>
            <w:noWrap w:val="0"/>
            <w:vAlign w:val="center"/>
          </w:tcPr>
          <w:p w14:paraId="4543789C">
            <w:pPr>
              <w:pStyle w:val="27"/>
              <w:rPr>
                <w:rFonts w:hint="default" w:ascii="Times New Roman" w:hAnsi="Times New Roman" w:eastAsia="宋体" w:cs="Times New Roman"/>
                <w:color w:val="auto"/>
              </w:rPr>
            </w:pPr>
          </w:p>
        </w:tc>
        <w:tc>
          <w:tcPr>
            <w:tcW w:w="1154" w:type="pct"/>
            <w:gridSpan w:val="2"/>
            <w:noWrap w:val="0"/>
            <w:vAlign w:val="center"/>
          </w:tcPr>
          <w:p w14:paraId="6A6AB350">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地下水污染</w:t>
            </w:r>
          </w:p>
        </w:tc>
        <w:tc>
          <w:tcPr>
            <w:tcW w:w="758" w:type="pct"/>
            <w:noWrap w:val="0"/>
            <w:vAlign w:val="center"/>
          </w:tcPr>
          <w:p w14:paraId="1373410E">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64496884">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38DB796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0DE177F6">
            <w:pPr>
              <w:pStyle w:val="27"/>
              <w:rPr>
                <w:rFonts w:hint="default" w:ascii="Times New Roman" w:hAnsi="Times New Roman" w:eastAsia="宋体" w:cs="Times New Roman"/>
                <w:color w:val="auto"/>
              </w:rPr>
            </w:pPr>
          </w:p>
        </w:tc>
        <w:tc>
          <w:tcPr>
            <w:tcW w:w="1510" w:type="pct"/>
            <w:gridSpan w:val="3"/>
            <w:vMerge w:val="continue"/>
            <w:noWrap w:val="0"/>
            <w:vAlign w:val="center"/>
          </w:tcPr>
          <w:p w14:paraId="1796E9D4">
            <w:pPr>
              <w:pStyle w:val="27"/>
              <w:rPr>
                <w:rFonts w:hint="default" w:ascii="Times New Roman" w:hAnsi="Times New Roman" w:eastAsia="宋体" w:cs="Times New Roman"/>
                <w:color w:val="auto"/>
              </w:rPr>
            </w:pPr>
          </w:p>
        </w:tc>
        <w:tc>
          <w:tcPr>
            <w:tcW w:w="1154" w:type="pct"/>
            <w:gridSpan w:val="2"/>
            <w:noWrap w:val="0"/>
            <w:vAlign w:val="center"/>
          </w:tcPr>
          <w:p w14:paraId="25E88FF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生态破坏</w:t>
            </w:r>
          </w:p>
        </w:tc>
        <w:tc>
          <w:tcPr>
            <w:tcW w:w="758" w:type="pct"/>
            <w:noWrap w:val="0"/>
            <w:vAlign w:val="center"/>
          </w:tcPr>
          <w:p w14:paraId="67D8118B">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24471FD0">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4977967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436FA9F9">
            <w:pPr>
              <w:pStyle w:val="27"/>
              <w:rPr>
                <w:rFonts w:hint="default" w:ascii="Times New Roman" w:hAnsi="Times New Roman" w:eastAsia="宋体" w:cs="Times New Roman"/>
                <w:color w:val="auto"/>
              </w:rPr>
            </w:pPr>
          </w:p>
        </w:tc>
        <w:tc>
          <w:tcPr>
            <w:tcW w:w="1510" w:type="pct"/>
            <w:gridSpan w:val="3"/>
            <w:vMerge w:val="continue"/>
            <w:noWrap w:val="0"/>
            <w:vAlign w:val="center"/>
          </w:tcPr>
          <w:p w14:paraId="0BD711E6">
            <w:pPr>
              <w:pStyle w:val="27"/>
              <w:rPr>
                <w:rFonts w:hint="default" w:ascii="Times New Roman" w:hAnsi="Times New Roman" w:eastAsia="宋体" w:cs="Times New Roman"/>
                <w:color w:val="auto"/>
              </w:rPr>
            </w:pPr>
          </w:p>
        </w:tc>
        <w:tc>
          <w:tcPr>
            <w:tcW w:w="1154" w:type="pct"/>
            <w:gridSpan w:val="2"/>
            <w:noWrap w:val="0"/>
            <w:vAlign w:val="center"/>
          </w:tcPr>
          <w:p w14:paraId="48C93D1F">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无</w:t>
            </w:r>
          </w:p>
        </w:tc>
        <w:tc>
          <w:tcPr>
            <w:tcW w:w="758" w:type="pct"/>
            <w:noWrap w:val="0"/>
            <w:vAlign w:val="center"/>
          </w:tcPr>
          <w:p w14:paraId="7CF9184E">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w:t>
            </w:r>
          </w:p>
        </w:tc>
        <w:tc>
          <w:tcPr>
            <w:tcW w:w="940" w:type="pct"/>
            <w:noWrap w:val="0"/>
            <w:vAlign w:val="center"/>
          </w:tcPr>
          <w:p w14:paraId="2940F0D5">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r>
      <w:tr w14:paraId="45DD6AA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center"/>
          </w:tcPr>
          <w:p w14:paraId="70D81704">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5</w:t>
            </w:r>
          </w:p>
        </w:tc>
        <w:tc>
          <w:tcPr>
            <w:tcW w:w="1510" w:type="pct"/>
            <w:gridSpan w:val="3"/>
            <w:vMerge w:val="restart"/>
            <w:noWrap w:val="0"/>
            <w:vAlign w:val="center"/>
          </w:tcPr>
          <w:p w14:paraId="71EEB5CF">
            <w:pPr>
              <w:pStyle w:val="27"/>
              <w:rPr>
                <w:rFonts w:hint="default" w:ascii="Times New Roman" w:hAnsi="Times New Roman" w:eastAsia="宋体" w:cs="Times New Roman"/>
                <w:color w:val="auto"/>
              </w:rPr>
            </w:pPr>
            <w:r>
              <w:rPr>
                <w:rFonts w:hint="eastAsia"/>
                <w:color w:val="auto"/>
                <w:szCs w:val="21"/>
              </w:rPr>
              <w:t>您认为本项目对环境的主要影响有？</w:t>
            </w:r>
          </w:p>
        </w:tc>
        <w:tc>
          <w:tcPr>
            <w:tcW w:w="1154" w:type="pct"/>
            <w:gridSpan w:val="2"/>
            <w:noWrap w:val="0"/>
            <w:vAlign w:val="center"/>
          </w:tcPr>
          <w:p w14:paraId="0D73CFD0">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大气环境</w:t>
            </w:r>
          </w:p>
        </w:tc>
        <w:tc>
          <w:tcPr>
            <w:tcW w:w="758" w:type="pct"/>
            <w:noWrap w:val="0"/>
            <w:vAlign w:val="center"/>
          </w:tcPr>
          <w:p w14:paraId="31AF5BA4">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0D0B0547">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4B1DAD6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598C5D0A">
            <w:pPr>
              <w:pStyle w:val="27"/>
              <w:rPr>
                <w:rFonts w:hint="default" w:ascii="Times New Roman" w:hAnsi="Times New Roman" w:eastAsia="宋体" w:cs="Times New Roman"/>
                <w:color w:val="auto"/>
              </w:rPr>
            </w:pPr>
          </w:p>
        </w:tc>
        <w:tc>
          <w:tcPr>
            <w:tcW w:w="1510" w:type="pct"/>
            <w:gridSpan w:val="3"/>
            <w:vMerge w:val="continue"/>
            <w:noWrap w:val="0"/>
            <w:vAlign w:val="center"/>
          </w:tcPr>
          <w:p w14:paraId="52F3E639">
            <w:pPr>
              <w:pStyle w:val="27"/>
              <w:rPr>
                <w:rFonts w:hint="default" w:ascii="Times New Roman" w:hAnsi="Times New Roman" w:eastAsia="宋体" w:cs="Times New Roman"/>
                <w:color w:val="auto"/>
              </w:rPr>
            </w:pPr>
          </w:p>
        </w:tc>
        <w:tc>
          <w:tcPr>
            <w:tcW w:w="1154" w:type="pct"/>
            <w:gridSpan w:val="2"/>
            <w:noWrap w:val="0"/>
            <w:vAlign w:val="center"/>
          </w:tcPr>
          <w:p w14:paraId="49126729">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噪声污染</w:t>
            </w:r>
          </w:p>
        </w:tc>
        <w:tc>
          <w:tcPr>
            <w:tcW w:w="758" w:type="pct"/>
            <w:noWrap w:val="0"/>
            <w:vAlign w:val="center"/>
          </w:tcPr>
          <w:p w14:paraId="0BCB19C4">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940" w:type="pct"/>
            <w:noWrap w:val="0"/>
            <w:vAlign w:val="center"/>
          </w:tcPr>
          <w:p w14:paraId="1EE77C93">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20%</w:t>
            </w:r>
          </w:p>
        </w:tc>
      </w:tr>
      <w:tr w14:paraId="26718EF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018B2197">
            <w:pPr>
              <w:pStyle w:val="27"/>
              <w:rPr>
                <w:rFonts w:hint="default" w:ascii="Times New Roman" w:hAnsi="Times New Roman" w:eastAsia="宋体" w:cs="Times New Roman"/>
                <w:color w:val="auto"/>
              </w:rPr>
            </w:pPr>
          </w:p>
        </w:tc>
        <w:tc>
          <w:tcPr>
            <w:tcW w:w="1510" w:type="pct"/>
            <w:gridSpan w:val="3"/>
            <w:vMerge w:val="continue"/>
            <w:noWrap w:val="0"/>
            <w:vAlign w:val="center"/>
          </w:tcPr>
          <w:p w14:paraId="13846272">
            <w:pPr>
              <w:pStyle w:val="27"/>
              <w:rPr>
                <w:rFonts w:hint="default" w:ascii="Times New Roman" w:hAnsi="Times New Roman" w:eastAsia="宋体" w:cs="Times New Roman"/>
                <w:color w:val="auto"/>
              </w:rPr>
            </w:pPr>
          </w:p>
        </w:tc>
        <w:tc>
          <w:tcPr>
            <w:tcW w:w="1154" w:type="pct"/>
            <w:gridSpan w:val="2"/>
            <w:noWrap w:val="0"/>
            <w:vAlign w:val="center"/>
          </w:tcPr>
          <w:p w14:paraId="4E70F8DE">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固体废弃物</w:t>
            </w:r>
          </w:p>
        </w:tc>
        <w:tc>
          <w:tcPr>
            <w:tcW w:w="758" w:type="pct"/>
            <w:noWrap w:val="0"/>
            <w:vAlign w:val="center"/>
          </w:tcPr>
          <w:p w14:paraId="2AA9097B">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72AD5F5B">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118C76C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0389899E">
            <w:pPr>
              <w:pStyle w:val="27"/>
              <w:rPr>
                <w:rFonts w:hint="default" w:ascii="Times New Roman" w:hAnsi="Times New Roman" w:eastAsia="宋体" w:cs="Times New Roman"/>
                <w:color w:val="auto"/>
              </w:rPr>
            </w:pPr>
          </w:p>
        </w:tc>
        <w:tc>
          <w:tcPr>
            <w:tcW w:w="1510" w:type="pct"/>
            <w:gridSpan w:val="3"/>
            <w:vMerge w:val="continue"/>
            <w:noWrap w:val="0"/>
            <w:vAlign w:val="center"/>
          </w:tcPr>
          <w:p w14:paraId="56FB614A">
            <w:pPr>
              <w:pStyle w:val="27"/>
              <w:rPr>
                <w:rFonts w:hint="default" w:ascii="Times New Roman" w:hAnsi="Times New Roman" w:eastAsia="宋体" w:cs="Times New Roman"/>
                <w:color w:val="auto"/>
              </w:rPr>
            </w:pPr>
          </w:p>
        </w:tc>
        <w:tc>
          <w:tcPr>
            <w:tcW w:w="1154" w:type="pct"/>
            <w:gridSpan w:val="2"/>
            <w:noWrap w:val="0"/>
            <w:vAlign w:val="center"/>
          </w:tcPr>
          <w:p w14:paraId="4977E4D6">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水污染</w:t>
            </w:r>
          </w:p>
        </w:tc>
        <w:tc>
          <w:tcPr>
            <w:tcW w:w="758" w:type="pct"/>
            <w:noWrap w:val="0"/>
            <w:vAlign w:val="center"/>
          </w:tcPr>
          <w:p w14:paraId="61AF22E2">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47C48CC4">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597D061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center"/>
          </w:tcPr>
          <w:p w14:paraId="532F9B2A">
            <w:pPr>
              <w:pStyle w:val="27"/>
              <w:rPr>
                <w:rFonts w:hint="default" w:ascii="Times New Roman" w:hAnsi="Times New Roman" w:eastAsia="宋体" w:cs="Times New Roman"/>
                <w:color w:val="auto"/>
              </w:rPr>
            </w:pPr>
          </w:p>
        </w:tc>
        <w:tc>
          <w:tcPr>
            <w:tcW w:w="1510" w:type="pct"/>
            <w:gridSpan w:val="3"/>
            <w:vMerge w:val="continue"/>
            <w:noWrap w:val="0"/>
            <w:vAlign w:val="center"/>
          </w:tcPr>
          <w:p w14:paraId="6691FA53">
            <w:pPr>
              <w:pStyle w:val="27"/>
              <w:rPr>
                <w:rFonts w:hint="default" w:ascii="Times New Roman" w:hAnsi="Times New Roman" w:eastAsia="宋体" w:cs="Times New Roman"/>
                <w:color w:val="auto"/>
              </w:rPr>
            </w:pPr>
          </w:p>
        </w:tc>
        <w:tc>
          <w:tcPr>
            <w:tcW w:w="1154" w:type="pct"/>
            <w:gridSpan w:val="2"/>
            <w:noWrap w:val="0"/>
            <w:vAlign w:val="center"/>
          </w:tcPr>
          <w:p w14:paraId="7ACB5E64">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无</w:t>
            </w:r>
          </w:p>
        </w:tc>
        <w:tc>
          <w:tcPr>
            <w:tcW w:w="758" w:type="pct"/>
            <w:noWrap w:val="0"/>
            <w:vAlign w:val="center"/>
          </w:tcPr>
          <w:p w14:paraId="64F661AE">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w:t>
            </w:r>
          </w:p>
        </w:tc>
        <w:tc>
          <w:tcPr>
            <w:tcW w:w="940" w:type="pct"/>
            <w:noWrap w:val="0"/>
            <w:vAlign w:val="center"/>
          </w:tcPr>
          <w:p w14:paraId="21CD4099">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r>
      <w:tr w14:paraId="6FB374E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center"/>
          </w:tcPr>
          <w:p w14:paraId="1C3BC86D">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6</w:t>
            </w:r>
          </w:p>
        </w:tc>
        <w:tc>
          <w:tcPr>
            <w:tcW w:w="1510" w:type="pct"/>
            <w:gridSpan w:val="3"/>
            <w:vMerge w:val="restart"/>
            <w:noWrap w:val="0"/>
            <w:vAlign w:val="center"/>
          </w:tcPr>
          <w:p w14:paraId="0BCB0457">
            <w:pPr>
              <w:pStyle w:val="27"/>
              <w:jc w:val="center"/>
              <w:rPr>
                <w:rFonts w:hint="default" w:ascii="Times New Roman" w:hAnsi="Times New Roman" w:eastAsia="宋体" w:cs="Times New Roman"/>
                <w:color w:val="auto"/>
              </w:rPr>
            </w:pPr>
            <w:r>
              <w:rPr>
                <w:rFonts w:hint="eastAsia"/>
                <w:color w:val="auto"/>
                <w:szCs w:val="21"/>
              </w:rPr>
              <w:t>您认为本项目拟采取的治理</w:t>
            </w:r>
            <w:r>
              <w:rPr>
                <w:rFonts w:hint="eastAsia" w:eastAsia="宋体"/>
                <w:color w:val="auto"/>
                <w:szCs w:val="21"/>
                <w:lang w:eastAsia="zh-CN"/>
              </w:rPr>
              <w:t>措施</w:t>
            </w:r>
            <w:r>
              <w:rPr>
                <w:rFonts w:hint="eastAsia"/>
                <w:color w:val="auto"/>
                <w:szCs w:val="21"/>
              </w:rPr>
              <w:t>是否可行？</w:t>
            </w:r>
          </w:p>
        </w:tc>
        <w:tc>
          <w:tcPr>
            <w:tcW w:w="1154" w:type="pct"/>
            <w:gridSpan w:val="2"/>
            <w:noWrap w:val="0"/>
            <w:vAlign w:val="center"/>
          </w:tcPr>
          <w:p w14:paraId="04AAAB47">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Cs w:val="21"/>
              </w:rPr>
              <w:t>治理措施可行</w:t>
            </w:r>
          </w:p>
        </w:tc>
        <w:tc>
          <w:tcPr>
            <w:tcW w:w="758" w:type="pct"/>
            <w:noWrap w:val="0"/>
            <w:vAlign w:val="center"/>
          </w:tcPr>
          <w:p w14:paraId="3DD03410">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w:t>
            </w:r>
          </w:p>
        </w:tc>
        <w:tc>
          <w:tcPr>
            <w:tcW w:w="940" w:type="pct"/>
            <w:noWrap w:val="0"/>
            <w:vAlign w:val="center"/>
          </w:tcPr>
          <w:p w14:paraId="485920E5">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80%</w:t>
            </w:r>
          </w:p>
        </w:tc>
      </w:tr>
      <w:tr w14:paraId="293CB11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top"/>
          </w:tcPr>
          <w:p w14:paraId="52B5C5AF">
            <w:pPr>
              <w:pStyle w:val="27"/>
              <w:rPr>
                <w:rFonts w:hint="default" w:ascii="Times New Roman" w:hAnsi="Times New Roman" w:eastAsia="宋体" w:cs="Times New Roman"/>
                <w:color w:val="auto"/>
              </w:rPr>
            </w:pPr>
          </w:p>
        </w:tc>
        <w:tc>
          <w:tcPr>
            <w:tcW w:w="1510" w:type="pct"/>
            <w:gridSpan w:val="3"/>
            <w:vMerge w:val="continue"/>
            <w:noWrap w:val="0"/>
            <w:vAlign w:val="center"/>
          </w:tcPr>
          <w:p w14:paraId="7FB0C6E9">
            <w:pPr>
              <w:pStyle w:val="27"/>
              <w:jc w:val="center"/>
              <w:rPr>
                <w:rFonts w:hint="default" w:ascii="Times New Roman" w:hAnsi="Times New Roman" w:eastAsia="宋体" w:cs="Times New Roman"/>
                <w:color w:val="auto"/>
              </w:rPr>
            </w:pPr>
          </w:p>
        </w:tc>
        <w:tc>
          <w:tcPr>
            <w:tcW w:w="1154" w:type="pct"/>
            <w:gridSpan w:val="2"/>
            <w:noWrap w:val="0"/>
            <w:vAlign w:val="center"/>
          </w:tcPr>
          <w:p w14:paraId="323ACA9D">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Cs w:val="21"/>
              </w:rPr>
              <w:t>治理</w:t>
            </w:r>
            <w:r>
              <w:rPr>
                <w:rFonts w:hint="eastAsia"/>
                <w:color w:val="auto"/>
                <w:szCs w:val="21"/>
                <w:lang w:eastAsia="zh-CN"/>
              </w:rPr>
              <w:t>措施</w:t>
            </w:r>
            <w:r>
              <w:rPr>
                <w:rFonts w:hint="eastAsia"/>
                <w:color w:val="auto"/>
                <w:szCs w:val="21"/>
              </w:rPr>
              <w:t>不可行</w:t>
            </w:r>
          </w:p>
        </w:tc>
        <w:tc>
          <w:tcPr>
            <w:tcW w:w="758" w:type="pct"/>
            <w:noWrap w:val="0"/>
            <w:vAlign w:val="center"/>
          </w:tcPr>
          <w:p w14:paraId="0B947DB8">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40" w:type="pct"/>
            <w:noWrap w:val="0"/>
            <w:vAlign w:val="center"/>
          </w:tcPr>
          <w:p w14:paraId="284F3D91">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r>
      <w:tr w14:paraId="5504C41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top"/>
          </w:tcPr>
          <w:p w14:paraId="6BC64B64">
            <w:pPr>
              <w:pStyle w:val="27"/>
              <w:rPr>
                <w:rFonts w:hint="default" w:ascii="Times New Roman" w:hAnsi="Times New Roman" w:eastAsia="宋体" w:cs="Times New Roman"/>
                <w:color w:val="auto"/>
              </w:rPr>
            </w:pPr>
          </w:p>
        </w:tc>
        <w:tc>
          <w:tcPr>
            <w:tcW w:w="1510" w:type="pct"/>
            <w:gridSpan w:val="3"/>
            <w:vMerge w:val="continue"/>
            <w:noWrap w:val="0"/>
            <w:vAlign w:val="center"/>
          </w:tcPr>
          <w:p w14:paraId="3D11589C">
            <w:pPr>
              <w:pStyle w:val="27"/>
              <w:jc w:val="center"/>
              <w:rPr>
                <w:rFonts w:hint="default" w:ascii="Times New Roman" w:hAnsi="Times New Roman" w:eastAsia="宋体" w:cs="Times New Roman"/>
                <w:color w:val="auto"/>
              </w:rPr>
            </w:pPr>
          </w:p>
        </w:tc>
        <w:tc>
          <w:tcPr>
            <w:tcW w:w="1154" w:type="pct"/>
            <w:gridSpan w:val="2"/>
            <w:noWrap w:val="0"/>
            <w:vAlign w:val="center"/>
          </w:tcPr>
          <w:p w14:paraId="2C0635B6">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不知道</w:t>
            </w:r>
          </w:p>
        </w:tc>
        <w:tc>
          <w:tcPr>
            <w:tcW w:w="758" w:type="pct"/>
            <w:noWrap w:val="0"/>
            <w:vAlign w:val="center"/>
          </w:tcPr>
          <w:p w14:paraId="541A62FB">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940" w:type="pct"/>
            <w:noWrap w:val="0"/>
            <w:vAlign w:val="center"/>
          </w:tcPr>
          <w:p w14:paraId="4B6039B6">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r>
      <w:tr w14:paraId="4965683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restart"/>
            <w:noWrap w:val="0"/>
            <w:vAlign w:val="top"/>
          </w:tcPr>
          <w:p w14:paraId="75397471">
            <w:pPr>
              <w:pStyle w:val="27"/>
              <w:rPr>
                <w:rFonts w:hint="eastAsia" w:ascii="Times New Roman" w:hAnsi="Times New Roman" w:eastAsia="宋体" w:cs="Times New Roman"/>
                <w:color w:val="auto"/>
                <w:lang w:val="en-US" w:eastAsia="zh-CN"/>
              </w:rPr>
            </w:pPr>
            <w:r>
              <w:rPr>
                <w:rFonts w:hint="eastAsia" w:eastAsia="宋体" w:cs="Times New Roman"/>
                <w:color w:val="auto"/>
                <w:lang w:val="en-US" w:eastAsia="zh-CN"/>
              </w:rPr>
              <w:t>7</w:t>
            </w:r>
          </w:p>
        </w:tc>
        <w:tc>
          <w:tcPr>
            <w:tcW w:w="1510" w:type="pct"/>
            <w:gridSpan w:val="3"/>
            <w:vMerge w:val="restart"/>
            <w:noWrap w:val="0"/>
            <w:vAlign w:val="center"/>
          </w:tcPr>
          <w:p w14:paraId="63B376E3">
            <w:pPr>
              <w:pStyle w:val="27"/>
              <w:jc w:val="center"/>
              <w:rPr>
                <w:rFonts w:hint="default" w:ascii="Times New Roman" w:hAnsi="Times New Roman" w:eastAsia="宋体" w:cs="Times New Roman"/>
                <w:color w:val="auto"/>
              </w:rPr>
            </w:pPr>
            <w:r>
              <w:rPr>
                <w:color w:val="auto"/>
                <w:szCs w:val="21"/>
              </w:rPr>
              <w:t>您认为本项目建成投产后对周边办公和生活环境的影响：</w:t>
            </w:r>
          </w:p>
        </w:tc>
        <w:tc>
          <w:tcPr>
            <w:tcW w:w="1154" w:type="pct"/>
            <w:gridSpan w:val="2"/>
            <w:noWrap w:val="0"/>
            <w:vAlign w:val="center"/>
          </w:tcPr>
          <w:p w14:paraId="110A2640">
            <w:pPr>
              <w:pStyle w:val="29"/>
              <w:ind w:firstLine="0" w:firstLineChars="0"/>
              <w:rPr>
                <w:rFonts w:hint="default" w:ascii="Times New Roman" w:hAnsi="Times New Roman" w:eastAsia="宋体" w:cs="Times New Roman"/>
                <w:color w:val="auto"/>
                <w:kern w:val="2"/>
                <w:sz w:val="21"/>
                <w:szCs w:val="21"/>
                <w:lang w:val="en-US" w:eastAsia="zh-CN" w:bidi="ar-SA"/>
              </w:rPr>
            </w:pPr>
            <w:r>
              <w:rPr>
                <w:color w:val="auto"/>
                <w:szCs w:val="21"/>
              </w:rPr>
              <w:t>有正影响</w:t>
            </w:r>
          </w:p>
        </w:tc>
        <w:tc>
          <w:tcPr>
            <w:tcW w:w="758" w:type="pct"/>
            <w:noWrap w:val="0"/>
            <w:vAlign w:val="center"/>
          </w:tcPr>
          <w:p w14:paraId="021F5F3B">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w:t>
            </w:r>
          </w:p>
        </w:tc>
        <w:tc>
          <w:tcPr>
            <w:tcW w:w="940" w:type="pct"/>
            <w:noWrap w:val="0"/>
            <w:vAlign w:val="center"/>
          </w:tcPr>
          <w:p w14:paraId="3D391827">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60%</w:t>
            </w:r>
          </w:p>
        </w:tc>
      </w:tr>
      <w:tr w14:paraId="2645B5D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top"/>
          </w:tcPr>
          <w:p w14:paraId="5B5505CB">
            <w:pPr>
              <w:pStyle w:val="27"/>
              <w:rPr>
                <w:rFonts w:hint="default" w:ascii="Times New Roman" w:hAnsi="Times New Roman" w:eastAsia="宋体" w:cs="Times New Roman"/>
                <w:color w:val="auto"/>
              </w:rPr>
            </w:pPr>
          </w:p>
        </w:tc>
        <w:tc>
          <w:tcPr>
            <w:tcW w:w="1510" w:type="pct"/>
            <w:gridSpan w:val="3"/>
            <w:vMerge w:val="continue"/>
            <w:noWrap w:val="0"/>
            <w:vAlign w:val="top"/>
          </w:tcPr>
          <w:p w14:paraId="25FF4D4F">
            <w:pPr>
              <w:pStyle w:val="27"/>
              <w:rPr>
                <w:rFonts w:hint="default" w:ascii="Times New Roman" w:hAnsi="Times New Roman" w:eastAsia="宋体" w:cs="Times New Roman"/>
                <w:color w:val="auto"/>
              </w:rPr>
            </w:pPr>
          </w:p>
        </w:tc>
        <w:tc>
          <w:tcPr>
            <w:tcW w:w="1154" w:type="pct"/>
            <w:gridSpan w:val="2"/>
            <w:noWrap w:val="0"/>
            <w:vAlign w:val="center"/>
          </w:tcPr>
          <w:p w14:paraId="4B4E4C3E">
            <w:pPr>
              <w:pStyle w:val="29"/>
              <w:ind w:firstLine="0" w:firstLineChars="0"/>
              <w:rPr>
                <w:rFonts w:hint="default" w:ascii="Times New Roman" w:hAnsi="Times New Roman" w:eastAsia="宋体" w:cs="Times New Roman"/>
                <w:color w:val="auto"/>
                <w:kern w:val="2"/>
                <w:sz w:val="21"/>
                <w:szCs w:val="21"/>
                <w:lang w:val="en-US" w:eastAsia="zh-CN" w:bidi="ar-SA"/>
              </w:rPr>
            </w:pPr>
            <w:r>
              <w:rPr>
                <w:color w:val="auto"/>
                <w:szCs w:val="21"/>
              </w:rPr>
              <w:t>有</w:t>
            </w:r>
            <w:r>
              <w:rPr>
                <w:rFonts w:hint="eastAsia"/>
                <w:color w:val="auto"/>
                <w:szCs w:val="21"/>
                <w:lang w:val="en-US" w:eastAsia="zh-CN"/>
              </w:rPr>
              <w:t>负</w:t>
            </w:r>
            <w:r>
              <w:rPr>
                <w:color w:val="auto"/>
                <w:szCs w:val="21"/>
              </w:rPr>
              <w:t>影响</w:t>
            </w:r>
          </w:p>
        </w:tc>
        <w:tc>
          <w:tcPr>
            <w:tcW w:w="758" w:type="pct"/>
            <w:noWrap w:val="0"/>
            <w:vAlign w:val="center"/>
          </w:tcPr>
          <w:p w14:paraId="3C9095FD">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1D375926">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21F9E0A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top"/>
          </w:tcPr>
          <w:p w14:paraId="394A9737">
            <w:pPr>
              <w:pStyle w:val="27"/>
              <w:rPr>
                <w:rFonts w:hint="default" w:ascii="Times New Roman" w:hAnsi="Times New Roman" w:eastAsia="宋体" w:cs="Times New Roman"/>
                <w:color w:val="auto"/>
              </w:rPr>
            </w:pPr>
          </w:p>
        </w:tc>
        <w:tc>
          <w:tcPr>
            <w:tcW w:w="1510" w:type="pct"/>
            <w:gridSpan w:val="3"/>
            <w:vMerge w:val="continue"/>
            <w:noWrap w:val="0"/>
            <w:vAlign w:val="top"/>
          </w:tcPr>
          <w:p w14:paraId="1C0A7C8F">
            <w:pPr>
              <w:pStyle w:val="27"/>
              <w:rPr>
                <w:rFonts w:hint="default" w:ascii="Times New Roman" w:hAnsi="Times New Roman" w:eastAsia="宋体" w:cs="Times New Roman"/>
                <w:color w:val="auto"/>
              </w:rPr>
            </w:pPr>
          </w:p>
        </w:tc>
        <w:tc>
          <w:tcPr>
            <w:tcW w:w="1154" w:type="pct"/>
            <w:gridSpan w:val="2"/>
            <w:noWrap w:val="0"/>
            <w:vAlign w:val="center"/>
          </w:tcPr>
          <w:p w14:paraId="11FC3BF9">
            <w:pPr>
              <w:pStyle w:val="29"/>
              <w:ind w:firstLine="0" w:firstLineChars="0"/>
              <w:rPr>
                <w:rFonts w:hint="default" w:ascii="Times New Roman" w:hAnsi="Times New Roman" w:eastAsia="宋体" w:cs="Times New Roman"/>
                <w:color w:val="auto"/>
                <w:kern w:val="2"/>
                <w:sz w:val="21"/>
                <w:szCs w:val="21"/>
                <w:lang w:val="en-US" w:eastAsia="zh-CN" w:bidi="ar-SA"/>
              </w:rPr>
            </w:pPr>
            <w:r>
              <w:rPr>
                <w:color w:val="auto"/>
                <w:szCs w:val="21"/>
              </w:rPr>
              <w:t>有负影响但可接受</w:t>
            </w:r>
          </w:p>
        </w:tc>
        <w:tc>
          <w:tcPr>
            <w:tcW w:w="758" w:type="pct"/>
            <w:noWrap w:val="0"/>
            <w:vAlign w:val="center"/>
          </w:tcPr>
          <w:p w14:paraId="43E38B33">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c>
          <w:tcPr>
            <w:tcW w:w="940" w:type="pct"/>
            <w:noWrap w:val="0"/>
            <w:vAlign w:val="center"/>
          </w:tcPr>
          <w:p w14:paraId="2172176D">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p>
        </w:tc>
      </w:tr>
      <w:tr w14:paraId="0946CC9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63" w:hRule="atLeast"/>
        </w:trPr>
        <w:tc>
          <w:tcPr>
            <w:tcW w:w="636" w:type="pct"/>
            <w:vMerge w:val="continue"/>
            <w:noWrap w:val="0"/>
            <w:vAlign w:val="top"/>
          </w:tcPr>
          <w:p w14:paraId="2C3176AE">
            <w:pPr>
              <w:pStyle w:val="27"/>
              <w:rPr>
                <w:rFonts w:hint="default" w:ascii="Times New Roman" w:hAnsi="Times New Roman" w:eastAsia="宋体" w:cs="Times New Roman"/>
                <w:color w:val="auto"/>
              </w:rPr>
            </w:pPr>
          </w:p>
        </w:tc>
        <w:tc>
          <w:tcPr>
            <w:tcW w:w="1510" w:type="pct"/>
            <w:gridSpan w:val="3"/>
            <w:vMerge w:val="continue"/>
            <w:noWrap w:val="0"/>
            <w:vAlign w:val="top"/>
          </w:tcPr>
          <w:p w14:paraId="2BAF2213">
            <w:pPr>
              <w:pStyle w:val="27"/>
              <w:rPr>
                <w:rFonts w:hint="default" w:ascii="Times New Roman" w:hAnsi="Times New Roman" w:eastAsia="宋体" w:cs="Times New Roman"/>
                <w:color w:val="auto"/>
              </w:rPr>
            </w:pPr>
          </w:p>
        </w:tc>
        <w:tc>
          <w:tcPr>
            <w:tcW w:w="1154" w:type="pct"/>
            <w:gridSpan w:val="2"/>
            <w:noWrap w:val="0"/>
            <w:vAlign w:val="center"/>
          </w:tcPr>
          <w:p w14:paraId="4F2942EB">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无影响</w:t>
            </w:r>
          </w:p>
        </w:tc>
        <w:tc>
          <w:tcPr>
            <w:tcW w:w="758" w:type="pct"/>
            <w:noWrap w:val="0"/>
            <w:vAlign w:val="center"/>
          </w:tcPr>
          <w:p w14:paraId="56A991E5">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w:t>
            </w:r>
          </w:p>
        </w:tc>
        <w:tc>
          <w:tcPr>
            <w:tcW w:w="940" w:type="pct"/>
            <w:noWrap w:val="0"/>
            <w:vAlign w:val="center"/>
          </w:tcPr>
          <w:p w14:paraId="39C0DA3A">
            <w:pPr>
              <w:pStyle w:val="2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40%</w:t>
            </w:r>
          </w:p>
        </w:tc>
      </w:tr>
      <w:bookmarkEnd w:id="260"/>
    </w:tbl>
    <w:p w14:paraId="476F0C32">
      <w:pPr>
        <w:pStyle w:val="4"/>
        <w:numPr>
          <w:ilvl w:val="0"/>
          <w:numId w:val="0"/>
        </w:numPr>
        <w:ind w:left="720" w:leftChars="0" w:hanging="720" w:firstLineChars="0"/>
        <w:rPr>
          <w:rFonts w:hint="default" w:ascii="Times New Roman" w:hAnsi="Times New Roman" w:cs="Times New Roman"/>
          <w:color w:val="auto"/>
        </w:rPr>
      </w:pPr>
      <w:bookmarkStart w:id="261" w:name="_Toc24809"/>
      <w:r>
        <w:rPr>
          <w:rFonts w:hint="default" w:ascii="Times New Roman" w:hAnsi="Times New Roman" w:eastAsia="宋体" w:cs="Times New Roman"/>
          <w:b/>
          <w:bCs/>
          <w:color w:val="auto"/>
          <w:kern w:val="2"/>
          <w:sz w:val="30"/>
          <w:szCs w:val="32"/>
          <w:lang w:val="en-US" w:eastAsia="zh-CN" w:bidi="ar-SA"/>
        </w:rPr>
        <w:t>13.4.2</w:t>
      </w:r>
      <w:r>
        <w:rPr>
          <w:rFonts w:hint="default" w:ascii="Times New Roman" w:hAnsi="Times New Roman" w:cs="Times New Roman"/>
          <w:color w:val="auto"/>
        </w:rPr>
        <w:t>团体调查结果分析</w:t>
      </w:r>
    </w:p>
    <w:p w14:paraId="54F58DC6">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rPr>
        <w:t>本次调查共发放团体调查表</w:t>
      </w:r>
      <w:r>
        <w:rPr>
          <w:rFonts w:hint="eastAsia" w:ascii="Times New Roman" w:hAnsi="Times New Roman" w:cs="Times New Roman"/>
          <w:color w:val="auto"/>
          <w:szCs w:val="24"/>
          <w:lang w:val="en-US" w:eastAsia="zh-CN"/>
        </w:rPr>
        <w:t>4</w:t>
      </w:r>
      <w:r>
        <w:rPr>
          <w:rFonts w:hint="default" w:ascii="Times New Roman" w:hAnsi="Times New Roman" w:cs="Times New Roman"/>
          <w:color w:val="auto"/>
          <w:szCs w:val="24"/>
        </w:rPr>
        <w:t>份，</w:t>
      </w:r>
      <w:r>
        <w:rPr>
          <w:rFonts w:hint="default" w:ascii="Times New Roman" w:hAnsi="Times New Roman" w:cs="Times New Roman"/>
          <w:color w:val="auto"/>
          <w:szCs w:val="24"/>
          <w:highlight w:val="none"/>
        </w:rPr>
        <w:t>收回</w:t>
      </w:r>
      <w:r>
        <w:rPr>
          <w:rFonts w:hint="eastAsia" w:cs="Times New Roman"/>
          <w:color w:val="auto"/>
          <w:szCs w:val="24"/>
          <w:highlight w:val="none"/>
          <w:lang w:val="en-US" w:eastAsia="zh-CN"/>
        </w:rPr>
        <w:t>4</w:t>
      </w:r>
      <w:r>
        <w:rPr>
          <w:rFonts w:hint="default" w:ascii="Times New Roman" w:hAnsi="Times New Roman" w:cs="Times New Roman"/>
          <w:color w:val="auto"/>
          <w:szCs w:val="24"/>
          <w:highlight w:val="none"/>
        </w:rPr>
        <w:t>份，</w:t>
      </w:r>
      <w:r>
        <w:rPr>
          <w:rFonts w:hint="default" w:ascii="Times New Roman" w:hAnsi="Times New Roman" w:cs="Times New Roman"/>
          <w:color w:val="auto"/>
          <w:szCs w:val="24"/>
        </w:rPr>
        <w:t>回收率100%。统计结果详见</w:t>
      </w:r>
      <w:r>
        <w:rPr>
          <w:rFonts w:hint="default" w:ascii="Times New Roman" w:hAnsi="Times New Roman" w:cs="Times New Roman"/>
          <w:color w:val="auto"/>
          <w:szCs w:val="24"/>
          <w:lang w:eastAsia="zh-CN"/>
        </w:rPr>
        <w:t>下表</w:t>
      </w:r>
    </w:p>
    <w:p w14:paraId="4D3141E2">
      <w:pPr>
        <w:pStyle w:val="9"/>
        <w:rPr>
          <w:rFonts w:hint="default" w:ascii="Times New Roman" w:hAnsi="Times New Roman" w:cs="Times New Roman"/>
          <w:color w:val="auto"/>
        </w:rPr>
      </w:pPr>
      <w:r>
        <w:rPr>
          <w:rFonts w:hint="default" w:ascii="Times New Roman" w:hAnsi="Times New Roman" w:cs="Times New Roman"/>
          <w:color w:val="auto"/>
        </w:rPr>
        <w:t>表</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STYLEREF 2 \s </w:instrText>
      </w:r>
      <w:r>
        <w:rPr>
          <w:rFonts w:hint="default" w:ascii="Times New Roman" w:hAnsi="Times New Roman" w:cs="Times New Roman"/>
          <w:color w:val="auto"/>
        </w:rPr>
        <w:fldChar w:fldCharType="separate"/>
      </w:r>
      <w:r>
        <w:rPr>
          <w:rFonts w:hint="default" w:ascii="Times New Roman" w:hAnsi="Times New Roman" w:cs="Times New Roman"/>
          <w:color w:val="auto"/>
        </w:rPr>
        <w:t>13.4</w:t>
      </w:r>
      <w:r>
        <w:rPr>
          <w:rFonts w:hint="default" w:ascii="Times New Roman" w:hAnsi="Times New Roman" w:cs="Times New Roman"/>
          <w:color w:val="auto"/>
        </w:rPr>
        <w:fldChar w:fldCharType="end"/>
      </w:r>
      <w:r>
        <w:rPr>
          <w:rFonts w:hint="default" w:ascii="Times New Roman" w:hAnsi="Times New Roman" w:cs="Times New Roman"/>
          <w:color w:val="auto"/>
        </w:rPr>
        <w:noBreakHyphen/>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SEQ 表 \* ARABIC \s 2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rPr>
        <w:fldChar w:fldCharType="end"/>
      </w:r>
      <w:r>
        <w:rPr>
          <w:rFonts w:hint="default" w:ascii="Times New Roman" w:hAnsi="Times New Roman" w:cs="Times New Roman"/>
          <w:color w:val="auto"/>
        </w:rPr>
        <w:t>团体公众意见调查结果表</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0" w:type="dxa"/>
          <w:bottom w:w="0" w:type="dxa"/>
          <w:right w:w="0" w:type="dxa"/>
        </w:tblCellMar>
      </w:tblPr>
      <w:tblGrid>
        <w:gridCol w:w="796"/>
        <w:gridCol w:w="3756"/>
        <w:gridCol w:w="1577"/>
        <w:gridCol w:w="1050"/>
        <w:gridCol w:w="1157"/>
      </w:tblGrid>
      <w:tr w14:paraId="4DA9E4A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noWrap/>
            <w:tcMar>
              <w:top w:w="15" w:type="dxa"/>
              <w:left w:w="15" w:type="dxa"/>
              <w:right w:w="15" w:type="dxa"/>
            </w:tcMar>
            <w:vAlign w:val="center"/>
          </w:tcPr>
          <w:p w14:paraId="3FF40479">
            <w:pPr>
              <w:pStyle w:val="29"/>
              <w:rPr>
                <w:rFonts w:hint="default" w:ascii="Times New Roman" w:hAnsi="Times New Roman" w:cs="Times New Roman"/>
                <w:color w:val="auto"/>
              </w:rPr>
            </w:pPr>
            <w:r>
              <w:rPr>
                <w:rFonts w:hint="default" w:ascii="Times New Roman" w:hAnsi="Times New Roman" w:cs="Times New Roman"/>
                <w:color w:val="auto"/>
                <w:lang w:bidi="ar"/>
              </w:rPr>
              <w:t>序号</w:t>
            </w:r>
          </w:p>
        </w:tc>
        <w:tc>
          <w:tcPr>
            <w:tcW w:w="3198" w:type="pct"/>
            <w:gridSpan w:val="2"/>
            <w:noWrap/>
            <w:tcMar>
              <w:top w:w="15" w:type="dxa"/>
              <w:left w:w="15" w:type="dxa"/>
              <w:right w:w="15" w:type="dxa"/>
            </w:tcMar>
            <w:vAlign w:val="center"/>
          </w:tcPr>
          <w:p w14:paraId="3F24AF19">
            <w:pPr>
              <w:pStyle w:val="29"/>
              <w:rPr>
                <w:rFonts w:hint="default" w:ascii="Times New Roman" w:hAnsi="Times New Roman" w:cs="Times New Roman"/>
                <w:color w:val="auto"/>
              </w:rPr>
            </w:pPr>
            <w:r>
              <w:rPr>
                <w:rFonts w:hint="default" w:ascii="Times New Roman" w:hAnsi="Times New Roman" w:cs="Times New Roman"/>
                <w:color w:val="auto"/>
                <w:lang w:bidi="ar"/>
              </w:rPr>
              <w:t>问题</w:t>
            </w:r>
          </w:p>
        </w:tc>
        <w:tc>
          <w:tcPr>
            <w:tcW w:w="629" w:type="pct"/>
            <w:noWrap/>
            <w:tcMar>
              <w:top w:w="15" w:type="dxa"/>
              <w:left w:w="15" w:type="dxa"/>
              <w:right w:w="15" w:type="dxa"/>
            </w:tcMar>
            <w:vAlign w:val="center"/>
          </w:tcPr>
          <w:p w14:paraId="65A74EBD">
            <w:pPr>
              <w:pStyle w:val="29"/>
              <w:rPr>
                <w:rFonts w:hint="default" w:ascii="Times New Roman" w:hAnsi="Times New Roman" w:cs="Times New Roman"/>
                <w:color w:val="auto"/>
              </w:rPr>
            </w:pPr>
            <w:r>
              <w:rPr>
                <w:rFonts w:hint="default" w:ascii="Times New Roman" w:hAnsi="Times New Roman" w:cs="Times New Roman"/>
                <w:color w:val="auto"/>
                <w:lang w:bidi="ar"/>
              </w:rPr>
              <w:t>人数</w:t>
            </w:r>
          </w:p>
        </w:tc>
        <w:tc>
          <w:tcPr>
            <w:tcW w:w="693" w:type="pct"/>
            <w:noWrap/>
            <w:tcMar>
              <w:top w:w="15" w:type="dxa"/>
              <w:left w:w="15" w:type="dxa"/>
              <w:right w:w="15" w:type="dxa"/>
            </w:tcMar>
            <w:vAlign w:val="center"/>
          </w:tcPr>
          <w:p w14:paraId="0E2CD93D">
            <w:pPr>
              <w:pStyle w:val="29"/>
              <w:rPr>
                <w:rFonts w:hint="default" w:ascii="Times New Roman" w:hAnsi="Times New Roman" w:cs="Times New Roman"/>
                <w:color w:val="auto"/>
              </w:rPr>
            </w:pPr>
            <w:r>
              <w:rPr>
                <w:rFonts w:hint="default" w:ascii="Times New Roman" w:hAnsi="Times New Roman" w:cs="Times New Roman"/>
                <w:color w:val="auto"/>
                <w:lang w:bidi="ar"/>
              </w:rPr>
              <w:t>比例</w:t>
            </w:r>
          </w:p>
        </w:tc>
      </w:tr>
      <w:tr w14:paraId="045D3663">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0CDB3893">
            <w:pPr>
              <w:pStyle w:val="29"/>
              <w:rPr>
                <w:rFonts w:hint="default" w:ascii="Times New Roman" w:hAnsi="Times New Roman" w:cs="Times New Roman"/>
                <w:color w:val="auto"/>
              </w:rPr>
            </w:pPr>
            <w:r>
              <w:rPr>
                <w:rFonts w:hint="default" w:ascii="Times New Roman" w:hAnsi="Times New Roman" w:cs="Times New Roman"/>
                <w:color w:val="auto"/>
                <w:lang w:bidi="ar"/>
              </w:rPr>
              <w:t>1</w:t>
            </w:r>
          </w:p>
        </w:tc>
        <w:tc>
          <w:tcPr>
            <w:tcW w:w="2252" w:type="pct"/>
            <w:vMerge w:val="restart"/>
            <w:noWrap w:val="0"/>
            <w:tcMar>
              <w:top w:w="15" w:type="dxa"/>
              <w:left w:w="15" w:type="dxa"/>
              <w:right w:w="15" w:type="dxa"/>
            </w:tcMar>
            <w:vAlign w:val="center"/>
          </w:tcPr>
          <w:p w14:paraId="7BBACB47">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贵单位对本项目了解程度</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12744B1F">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很了解</w:t>
            </w:r>
          </w:p>
        </w:tc>
        <w:tc>
          <w:tcPr>
            <w:tcW w:w="629" w:type="pct"/>
            <w:noWrap/>
            <w:tcMar>
              <w:top w:w="15" w:type="dxa"/>
              <w:left w:w="15" w:type="dxa"/>
              <w:right w:w="15" w:type="dxa"/>
            </w:tcMar>
            <w:vAlign w:val="center"/>
          </w:tcPr>
          <w:p w14:paraId="35F2AF60">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693" w:type="pct"/>
            <w:noWrap/>
            <w:tcMar>
              <w:top w:w="15" w:type="dxa"/>
              <w:left w:w="15" w:type="dxa"/>
              <w:right w:w="15" w:type="dxa"/>
            </w:tcMar>
            <w:vAlign w:val="center"/>
          </w:tcPr>
          <w:p w14:paraId="5C8E420F">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100%</w:t>
            </w:r>
          </w:p>
        </w:tc>
      </w:tr>
      <w:tr w14:paraId="1930BE2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74D4BF61">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33476C35">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22189CC3">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听说过</w:t>
            </w:r>
          </w:p>
        </w:tc>
        <w:tc>
          <w:tcPr>
            <w:tcW w:w="629" w:type="pct"/>
            <w:noWrap/>
            <w:tcMar>
              <w:top w:w="15" w:type="dxa"/>
              <w:left w:w="15" w:type="dxa"/>
              <w:right w:w="15" w:type="dxa"/>
            </w:tcMar>
            <w:vAlign w:val="center"/>
          </w:tcPr>
          <w:p w14:paraId="0A7C4DEF">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54BE44EC">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64BE042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75B75646">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6F6C08FF">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2A3DE66F">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不知道</w:t>
            </w:r>
          </w:p>
        </w:tc>
        <w:tc>
          <w:tcPr>
            <w:tcW w:w="629" w:type="pct"/>
            <w:noWrap/>
            <w:tcMar>
              <w:top w:w="15" w:type="dxa"/>
              <w:left w:w="15" w:type="dxa"/>
              <w:right w:w="15" w:type="dxa"/>
            </w:tcMar>
            <w:vAlign w:val="center"/>
          </w:tcPr>
          <w:p w14:paraId="71B4B851">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1EA98FC1">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141644D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65A51ABC">
            <w:pPr>
              <w:pStyle w:val="29"/>
              <w:rPr>
                <w:rFonts w:hint="default" w:ascii="Times New Roman" w:hAnsi="Times New Roman" w:cs="Times New Roman"/>
                <w:color w:val="auto"/>
              </w:rPr>
            </w:pPr>
            <w:r>
              <w:rPr>
                <w:rFonts w:hint="default" w:ascii="Times New Roman" w:hAnsi="Times New Roman" w:cs="Times New Roman"/>
                <w:color w:val="auto"/>
                <w:lang w:bidi="ar"/>
              </w:rPr>
              <w:t>2</w:t>
            </w:r>
          </w:p>
        </w:tc>
        <w:tc>
          <w:tcPr>
            <w:tcW w:w="2252" w:type="pct"/>
            <w:vMerge w:val="restart"/>
            <w:noWrap w:val="0"/>
            <w:tcMar>
              <w:top w:w="15" w:type="dxa"/>
              <w:left w:w="15" w:type="dxa"/>
              <w:right w:w="15" w:type="dxa"/>
            </w:tcMar>
            <w:vAlign w:val="center"/>
          </w:tcPr>
          <w:p w14:paraId="2D2DE1C1">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贵单位是否支持本项目建设</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153F494D">
            <w:pPr>
              <w:pStyle w:val="29"/>
              <w:rPr>
                <w:rFonts w:hint="default" w:ascii="Times New Roman" w:hAnsi="Times New Roman" w:cs="Times New Roman"/>
                <w:color w:val="auto"/>
              </w:rPr>
            </w:pPr>
            <w:r>
              <w:rPr>
                <w:rFonts w:hint="eastAsia"/>
                <w:color w:val="auto"/>
                <w:szCs w:val="21"/>
              </w:rPr>
              <w:t>支持</w:t>
            </w:r>
          </w:p>
        </w:tc>
        <w:tc>
          <w:tcPr>
            <w:tcW w:w="629" w:type="pct"/>
            <w:noWrap/>
            <w:tcMar>
              <w:top w:w="15" w:type="dxa"/>
              <w:left w:w="15" w:type="dxa"/>
              <w:right w:w="15" w:type="dxa"/>
            </w:tcMar>
            <w:vAlign w:val="center"/>
          </w:tcPr>
          <w:p w14:paraId="317A6C8B">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693" w:type="pct"/>
            <w:noWrap/>
            <w:tcMar>
              <w:top w:w="15" w:type="dxa"/>
              <w:left w:w="15" w:type="dxa"/>
              <w:right w:w="15" w:type="dxa"/>
            </w:tcMar>
            <w:vAlign w:val="center"/>
          </w:tcPr>
          <w:p w14:paraId="567C3029">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100%</w:t>
            </w:r>
          </w:p>
        </w:tc>
      </w:tr>
      <w:tr w14:paraId="2B6688F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17D7583C">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6E3F7C7E">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4F40D791">
            <w:pPr>
              <w:pStyle w:val="29"/>
              <w:rPr>
                <w:rFonts w:hint="default" w:ascii="Times New Roman" w:hAnsi="Times New Roman" w:cs="Times New Roman"/>
                <w:color w:val="auto"/>
              </w:rPr>
            </w:pPr>
            <w:r>
              <w:rPr>
                <w:rFonts w:hint="eastAsia"/>
                <w:color w:val="auto"/>
                <w:szCs w:val="21"/>
              </w:rPr>
              <w:t>反对</w:t>
            </w:r>
          </w:p>
        </w:tc>
        <w:tc>
          <w:tcPr>
            <w:tcW w:w="629" w:type="pct"/>
            <w:noWrap/>
            <w:tcMar>
              <w:top w:w="15" w:type="dxa"/>
              <w:left w:w="15" w:type="dxa"/>
              <w:right w:w="15" w:type="dxa"/>
            </w:tcMar>
            <w:vAlign w:val="center"/>
          </w:tcPr>
          <w:p w14:paraId="6FE7C151">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4E8F9940">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2903090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414B3FF4">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3D0E5FD0">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7530145D">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无所谓</w:t>
            </w:r>
          </w:p>
        </w:tc>
        <w:tc>
          <w:tcPr>
            <w:tcW w:w="629" w:type="pct"/>
            <w:noWrap/>
            <w:tcMar>
              <w:top w:w="15" w:type="dxa"/>
              <w:left w:w="15" w:type="dxa"/>
              <w:right w:w="15" w:type="dxa"/>
            </w:tcMar>
            <w:vAlign w:val="center"/>
          </w:tcPr>
          <w:p w14:paraId="22540BD7">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7E304B3F">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1E37135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4682A9A7">
            <w:pPr>
              <w:pStyle w:val="29"/>
              <w:rPr>
                <w:rFonts w:hint="default" w:ascii="Times New Roman" w:hAnsi="Times New Roman" w:cs="Times New Roman"/>
                <w:color w:val="auto"/>
              </w:rPr>
            </w:pPr>
            <w:r>
              <w:rPr>
                <w:rFonts w:hint="default" w:ascii="Times New Roman" w:hAnsi="Times New Roman" w:cs="Times New Roman"/>
                <w:color w:val="auto"/>
                <w:lang w:bidi="ar"/>
              </w:rPr>
              <w:t>3</w:t>
            </w:r>
          </w:p>
        </w:tc>
        <w:tc>
          <w:tcPr>
            <w:tcW w:w="2252" w:type="pct"/>
            <w:vMerge w:val="restart"/>
            <w:noWrap w:val="0"/>
            <w:tcMar>
              <w:top w:w="15" w:type="dxa"/>
              <w:left w:w="15" w:type="dxa"/>
              <w:right w:w="15" w:type="dxa"/>
            </w:tcMar>
            <w:vAlign w:val="center"/>
          </w:tcPr>
          <w:p w14:paraId="44097DCF">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贵单位认为本项目建设对当地医疗发展有何影响</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3F73B528">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有利</w:t>
            </w:r>
          </w:p>
        </w:tc>
        <w:tc>
          <w:tcPr>
            <w:tcW w:w="629" w:type="pct"/>
            <w:noWrap/>
            <w:tcMar>
              <w:top w:w="15" w:type="dxa"/>
              <w:left w:w="15" w:type="dxa"/>
              <w:right w:w="15" w:type="dxa"/>
            </w:tcMar>
            <w:vAlign w:val="center"/>
          </w:tcPr>
          <w:p w14:paraId="173C0239">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w:t>
            </w:r>
          </w:p>
        </w:tc>
        <w:tc>
          <w:tcPr>
            <w:tcW w:w="693" w:type="pct"/>
            <w:noWrap/>
            <w:tcMar>
              <w:top w:w="15" w:type="dxa"/>
              <w:left w:w="15" w:type="dxa"/>
              <w:right w:w="15" w:type="dxa"/>
            </w:tcMar>
            <w:vAlign w:val="center"/>
          </w:tcPr>
          <w:p w14:paraId="00AB32B1">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75%</w:t>
            </w:r>
          </w:p>
        </w:tc>
      </w:tr>
      <w:tr w14:paraId="11C6BC67">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37D9E1A2">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346B2495">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587ECEC1">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不利</w:t>
            </w:r>
          </w:p>
        </w:tc>
        <w:tc>
          <w:tcPr>
            <w:tcW w:w="629" w:type="pct"/>
            <w:noWrap/>
            <w:tcMar>
              <w:top w:w="15" w:type="dxa"/>
              <w:left w:w="15" w:type="dxa"/>
              <w:right w:w="15" w:type="dxa"/>
            </w:tcMar>
            <w:vAlign w:val="center"/>
          </w:tcPr>
          <w:p w14:paraId="5425E82E">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52C2ADF0">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7BEF8A8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69273D23">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151BFDE0">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39E60BD0">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无影响</w:t>
            </w:r>
          </w:p>
        </w:tc>
        <w:tc>
          <w:tcPr>
            <w:tcW w:w="629" w:type="pct"/>
            <w:noWrap/>
            <w:tcMar>
              <w:top w:w="15" w:type="dxa"/>
              <w:left w:w="15" w:type="dxa"/>
              <w:right w:w="15" w:type="dxa"/>
            </w:tcMar>
            <w:vAlign w:val="center"/>
          </w:tcPr>
          <w:p w14:paraId="3E87A039">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p>
        </w:tc>
        <w:tc>
          <w:tcPr>
            <w:tcW w:w="693" w:type="pct"/>
            <w:noWrap/>
            <w:tcMar>
              <w:top w:w="15" w:type="dxa"/>
              <w:left w:w="15" w:type="dxa"/>
              <w:right w:w="15" w:type="dxa"/>
            </w:tcMar>
            <w:vAlign w:val="center"/>
          </w:tcPr>
          <w:p w14:paraId="20015C6A">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25%</w:t>
            </w:r>
          </w:p>
        </w:tc>
      </w:tr>
      <w:tr w14:paraId="3435DD9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68F3AEF5">
            <w:pPr>
              <w:pStyle w:val="29"/>
              <w:rPr>
                <w:rFonts w:hint="default" w:ascii="Times New Roman" w:hAnsi="Times New Roman" w:cs="Times New Roman"/>
                <w:color w:val="auto"/>
              </w:rPr>
            </w:pPr>
            <w:r>
              <w:rPr>
                <w:rFonts w:hint="default" w:ascii="Times New Roman" w:hAnsi="Times New Roman" w:cs="Times New Roman"/>
                <w:color w:val="auto"/>
                <w:lang w:bidi="ar"/>
              </w:rPr>
              <w:t>4</w:t>
            </w:r>
          </w:p>
        </w:tc>
        <w:tc>
          <w:tcPr>
            <w:tcW w:w="2252" w:type="pct"/>
            <w:vMerge w:val="restart"/>
            <w:noWrap w:val="0"/>
            <w:tcMar>
              <w:top w:w="15" w:type="dxa"/>
              <w:left w:w="15" w:type="dxa"/>
              <w:right w:w="15" w:type="dxa"/>
            </w:tcMar>
            <w:vAlign w:val="center"/>
          </w:tcPr>
          <w:p w14:paraId="491319B9">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贵单位认为本地区目前存在的环境问题有</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79950E05">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废气</w:t>
            </w:r>
          </w:p>
        </w:tc>
        <w:tc>
          <w:tcPr>
            <w:tcW w:w="629" w:type="pct"/>
            <w:noWrap/>
            <w:tcMar>
              <w:top w:w="15" w:type="dxa"/>
              <w:left w:w="15" w:type="dxa"/>
              <w:right w:w="15" w:type="dxa"/>
            </w:tcMar>
            <w:vAlign w:val="center"/>
          </w:tcPr>
          <w:p w14:paraId="030E665C">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095D88D6">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67BE74E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23F677C1">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634CCFEB">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426F8A6E">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废水</w:t>
            </w:r>
          </w:p>
        </w:tc>
        <w:tc>
          <w:tcPr>
            <w:tcW w:w="629" w:type="pct"/>
            <w:noWrap/>
            <w:tcMar>
              <w:top w:w="15" w:type="dxa"/>
              <w:left w:w="15" w:type="dxa"/>
              <w:right w:w="15" w:type="dxa"/>
            </w:tcMar>
            <w:vAlign w:val="center"/>
          </w:tcPr>
          <w:p w14:paraId="494D6168">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1AE23C05">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6801673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46FAF7D9">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7FAC73E1">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1F367AFC">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固体废弃物</w:t>
            </w:r>
          </w:p>
        </w:tc>
        <w:tc>
          <w:tcPr>
            <w:tcW w:w="629" w:type="pct"/>
            <w:noWrap/>
            <w:tcMar>
              <w:top w:w="15" w:type="dxa"/>
              <w:left w:w="15" w:type="dxa"/>
              <w:right w:w="15" w:type="dxa"/>
            </w:tcMar>
            <w:vAlign w:val="center"/>
          </w:tcPr>
          <w:p w14:paraId="6E64240F">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w:t>
            </w:r>
          </w:p>
        </w:tc>
        <w:tc>
          <w:tcPr>
            <w:tcW w:w="693" w:type="pct"/>
            <w:noWrap/>
            <w:tcMar>
              <w:top w:w="15" w:type="dxa"/>
              <w:left w:w="15" w:type="dxa"/>
              <w:right w:w="15" w:type="dxa"/>
            </w:tcMar>
            <w:vAlign w:val="center"/>
          </w:tcPr>
          <w:p w14:paraId="4A918157">
            <w:pPr>
              <w:pStyle w:val="29"/>
              <w:ind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25%</w:t>
            </w:r>
          </w:p>
        </w:tc>
      </w:tr>
      <w:tr w14:paraId="6C28D42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55252640">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05AD4C6F">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15A90F66">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噪声</w:t>
            </w:r>
          </w:p>
        </w:tc>
        <w:tc>
          <w:tcPr>
            <w:tcW w:w="629" w:type="pct"/>
            <w:noWrap/>
            <w:tcMar>
              <w:top w:w="15" w:type="dxa"/>
              <w:left w:w="15" w:type="dxa"/>
              <w:right w:w="15" w:type="dxa"/>
            </w:tcMar>
            <w:vAlign w:val="center"/>
          </w:tcPr>
          <w:p w14:paraId="6BD71727">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439F2336">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18B9C41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5048A1A1">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581B46C8">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674BB90B">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地下水污染</w:t>
            </w:r>
          </w:p>
        </w:tc>
        <w:tc>
          <w:tcPr>
            <w:tcW w:w="629" w:type="pct"/>
            <w:noWrap/>
            <w:tcMar>
              <w:top w:w="15" w:type="dxa"/>
              <w:left w:w="15" w:type="dxa"/>
              <w:right w:w="15" w:type="dxa"/>
            </w:tcMar>
            <w:vAlign w:val="center"/>
          </w:tcPr>
          <w:p w14:paraId="34C753C3">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6197B649">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3D3A25A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43E9CE1B">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36A373E3">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690941E0">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生态破坏</w:t>
            </w:r>
          </w:p>
        </w:tc>
        <w:tc>
          <w:tcPr>
            <w:tcW w:w="629" w:type="pct"/>
            <w:noWrap/>
            <w:tcMar>
              <w:top w:w="15" w:type="dxa"/>
              <w:left w:w="15" w:type="dxa"/>
              <w:right w:w="15" w:type="dxa"/>
            </w:tcMar>
            <w:vAlign w:val="center"/>
          </w:tcPr>
          <w:p w14:paraId="25D353FF">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20D5CDC5">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2D19C2EF">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5EDE1B82">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37DB8ADB">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1ABA58ED">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无</w:t>
            </w:r>
          </w:p>
        </w:tc>
        <w:tc>
          <w:tcPr>
            <w:tcW w:w="629" w:type="pct"/>
            <w:noWrap/>
            <w:tcMar>
              <w:top w:w="15" w:type="dxa"/>
              <w:left w:w="15" w:type="dxa"/>
              <w:right w:w="15" w:type="dxa"/>
            </w:tcMar>
            <w:vAlign w:val="center"/>
          </w:tcPr>
          <w:p w14:paraId="09E76A2D">
            <w:pPr>
              <w:pStyle w:val="29"/>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w:t>
            </w:r>
          </w:p>
        </w:tc>
        <w:tc>
          <w:tcPr>
            <w:tcW w:w="693" w:type="pct"/>
            <w:noWrap/>
            <w:tcMar>
              <w:top w:w="15" w:type="dxa"/>
              <w:left w:w="15" w:type="dxa"/>
              <w:right w:w="15" w:type="dxa"/>
            </w:tcMar>
            <w:vAlign w:val="center"/>
          </w:tcPr>
          <w:p w14:paraId="24B681D7">
            <w:pPr>
              <w:pStyle w:val="29"/>
              <w:ind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75%</w:t>
            </w:r>
          </w:p>
        </w:tc>
      </w:tr>
      <w:tr w14:paraId="5A8B718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3C00AAEC">
            <w:pPr>
              <w:pStyle w:val="29"/>
              <w:rPr>
                <w:rFonts w:hint="default" w:ascii="Times New Roman" w:hAnsi="Times New Roman" w:cs="Times New Roman"/>
                <w:color w:val="auto"/>
              </w:rPr>
            </w:pPr>
            <w:r>
              <w:rPr>
                <w:rFonts w:hint="default" w:ascii="Times New Roman" w:hAnsi="Times New Roman" w:cs="Times New Roman"/>
                <w:color w:val="auto"/>
                <w:lang w:bidi="ar"/>
              </w:rPr>
              <w:t>5</w:t>
            </w:r>
          </w:p>
        </w:tc>
        <w:tc>
          <w:tcPr>
            <w:tcW w:w="2252" w:type="pct"/>
            <w:vMerge w:val="restart"/>
            <w:noWrap w:val="0"/>
            <w:tcMar>
              <w:top w:w="15" w:type="dxa"/>
              <w:left w:w="15" w:type="dxa"/>
              <w:right w:w="15" w:type="dxa"/>
            </w:tcMar>
            <w:vAlign w:val="center"/>
          </w:tcPr>
          <w:p w14:paraId="3F03EC08">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贵单位认为本项目对环境的主要影响有</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3C5F9B78">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大气环境</w:t>
            </w:r>
          </w:p>
        </w:tc>
        <w:tc>
          <w:tcPr>
            <w:tcW w:w="629" w:type="pct"/>
            <w:noWrap/>
            <w:tcMar>
              <w:top w:w="15" w:type="dxa"/>
              <w:left w:w="15" w:type="dxa"/>
              <w:right w:w="15" w:type="dxa"/>
            </w:tcMar>
            <w:vAlign w:val="center"/>
          </w:tcPr>
          <w:p w14:paraId="02FD02D4">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47599041">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296D2269">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330BC4D3">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29EB0D2A">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18480004">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噪声污染</w:t>
            </w:r>
          </w:p>
        </w:tc>
        <w:tc>
          <w:tcPr>
            <w:tcW w:w="629" w:type="pct"/>
            <w:noWrap/>
            <w:tcMar>
              <w:top w:w="15" w:type="dxa"/>
              <w:left w:w="15" w:type="dxa"/>
              <w:right w:w="15" w:type="dxa"/>
            </w:tcMar>
            <w:vAlign w:val="center"/>
          </w:tcPr>
          <w:p w14:paraId="1387D635">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0403F490">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4AD5C23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37A39CF4">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7ADF64AB">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0C7BEF19">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固体废弃物</w:t>
            </w:r>
          </w:p>
        </w:tc>
        <w:tc>
          <w:tcPr>
            <w:tcW w:w="629" w:type="pct"/>
            <w:noWrap/>
            <w:tcMar>
              <w:top w:w="15" w:type="dxa"/>
              <w:left w:w="15" w:type="dxa"/>
              <w:right w:w="15" w:type="dxa"/>
            </w:tcMar>
            <w:vAlign w:val="center"/>
          </w:tcPr>
          <w:p w14:paraId="294BEABF">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391A9649">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20A866F6">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139607C2">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055AA0A7">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2CB4A147">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水污染</w:t>
            </w:r>
          </w:p>
        </w:tc>
        <w:tc>
          <w:tcPr>
            <w:tcW w:w="629" w:type="pct"/>
            <w:noWrap/>
            <w:tcMar>
              <w:top w:w="15" w:type="dxa"/>
              <w:left w:w="15" w:type="dxa"/>
              <w:right w:w="15" w:type="dxa"/>
            </w:tcMar>
            <w:vAlign w:val="center"/>
          </w:tcPr>
          <w:p w14:paraId="29559855">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300A35D4">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7CF005D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5BC70034">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6EC55C4F">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2213A604">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无</w:t>
            </w:r>
          </w:p>
        </w:tc>
        <w:tc>
          <w:tcPr>
            <w:tcW w:w="629" w:type="pct"/>
            <w:noWrap/>
            <w:tcMar>
              <w:top w:w="15" w:type="dxa"/>
              <w:left w:w="15" w:type="dxa"/>
              <w:right w:w="15" w:type="dxa"/>
            </w:tcMar>
            <w:vAlign w:val="center"/>
          </w:tcPr>
          <w:p w14:paraId="38110F7A">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w:t>
            </w:r>
          </w:p>
        </w:tc>
        <w:tc>
          <w:tcPr>
            <w:tcW w:w="693" w:type="pct"/>
            <w:noWrap/>
            <w:tcMar>
              <w:top w:w="15" w:type="dxa"/>
              <w:left w:w="15" w:type="dxa"/>
              <w:right w:w="15" w:type="dxa"/>
            </w:tcMar>
            <w:vAlign w:val="center"/>
          </w:tcPr>
          <w:p w14:paraId="0AE174E4">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100%</w:t>
            </w:r>
          </w:p>
        </w:tc>
      </w:tr>
      <w:tr w14:paraId="2416BF1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30776912">
            <w:pPr>
              <w:pStyle w:val="29"/>
              <w:rPr>
                <w:rFonts w:hint="default" w:ascii="Times New Roman" w:hAnsi="Times New Roman" w:cs="Times New Roman"/>
                <w:color w:val="auto"/>
              </w:rPr>
            </w:pPr>
            <w:r>
              <w:rPr>
                <w:rFonts w:hint="default" w:ascii="Times New Roman" w:hAnsi="Times New Roman" w:cs="Times New Roman"/>
                <w:color w:val="auto"/>
                <w:lang w:bidi="ar"/>
              </w:rPr>
              <w:t>6</w:t>
            </w:r>
          </w:p>
        </w:tc>
        <w:tc>
          <w:tcPr>
            <w:tcW w:w="2252" w:type="pct"/>
            <w:vMerge w:val="restart"/>
            <w:noWrap w:val="0"/>
            <w:tcMar>
              <w:top w:w="15" w:type="dxa"/>
              <w:left w:w="15" w:type="dxa"/>
              <w:right w:w="15" w:type="dxa"/>
            </w:tcMar>
            <w:vAlign w:val="center"/>
          </w:tcPr>
          <w:p w14:paraId="5A4EB7CA">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贵单位认为本项目拟采取的治理</w:t>
            </w:r>
            <w:r>
              <w:rPr>
                <w:rFonts w:hint="eastAsia" w:cs="Times New Roman"/>
                <w:color w:val="auto"/>
                <w:sz w:val="21"/>
                <w:szCs w:val="21"/>
                <w:lang w:eastAsia="zh-CN"/>
              </w:rPr>
              <w:t>措施</w:t>
            </w:r>
            <w:r>
              <w:rPr>
                <w:rFonts w:hint="default" w:ascii="Times New Roman" w:hAnsi="Times New Roman" w:cs="Times New Roman"/>
                <w:color w:val="auto"/>
                <w:sz w:val="21"/>
                <w:szCs w:val="21"/>
              </w:rPr>
              <w:t>是否可行</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5969A4D4">
            <w:pPr>
              <w:pStyle w:val="29"/>
              <w:rPr>
                <w:rFonts w:hint="default" w:ascii="Times New Roman" w:hAnsi="Times New Roman" w:cs="Times New Roman"/>
                <w:color w:val="auto"/>
              </w:rPr>
            </w:pPr>
            <w:r>
              <w:rPr>
                <w:rFonts w:hint="eastAsia"/>
                <w:color w:val="auto"/>
                <w:szCs w:val="21"/>
              </w:rPr>
              <w:t>治理措施可行</w:t>
            </w:r>
          </w:p>
        </w:tc>
        <w:tc>
          <w:tcPr>
            <w:tcW w:w="629" w:type="pct"/>
            <w:noWrap/>
            <w:tcMar>
              <w:top w:w="15" w:type="dxa"/>
              <w:left w:w="15" w:type="dxa"/>
              <w:right w:w="15" w:type="dxa"/>
            </w:tcMar>
            <w:vAlign w:val="center"/>
          </w:tcPr>
          <w:p w14:paraId="5522B495">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693" w:type="pct"/>
            <w:noWrap/>
            <w:tcMar>
              <w:top w:w="15" w:type="dxa"/>
              <w:left w:w="15" w:type="dxa"/>
              <w:right w:w="15" w:type="dxa"/>
            </w:tcMar>
            <w:vAlign w:val="center"/>
          </w:tcPr>
          <w:p w14:paraId="050AF960">
            <w:pPr>
              <w:pStyle w:val="29"/>
              <w:ind w:firstLine="0" w:firstLineChars="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50%</w:t>
            </w:r>
          </w:p>
        </w:tc>
      </w:tr>
      <w:tr w14:paraId="187124F5">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1DEFD81C">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0650B79A">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59BBBBBF">
            <w:pPr>
              <w:pStyle w:val="29"/>
              <w:rPr>
                <w:rFonts w:hint="default" w:ascii="Times New Roman" w:hAnsi="Times New Roman" w:cs="Times New Roman"/>
                <w:color w:val="auto"/>
              </w:rPr>
            </w:pPr>
            <w:r>
              <w:rPr>
                <w:rFonts w:hint="eastAsia"/>
                <w:color w:val="auto"/>
                <w:szCs w:val="21"/>
              </w:rPr>
              <w:t>治理</w:t>
            </w:r>
            <w:r>
              <w:rPr>
                <w:rFonts w:hint="eastAsia"/>
                <w:color w:val="auto"/>
                <w:szCs w:val="21"/>
                <w:lang w:eastAsia="zh-CN"/>
              </w:rPr>
              <w:t>措施</w:t>
            </w:r>
            <w:r>
              <w:rPr>
                <w:rFonts w:hint="eastAsia"/>
                <w:color w:val="auto"/>
                <w:szCs w:val="21"/>
              </w:rPr>
              <w:t>不可行</w:t>
            </w:r>
          </w:p>
        </w:tc>
        <w:tc>
          <w:tcPr>
            <w:tcW w:w="629" w:type="pct"/>
            <w:noWrap/>
            <w:tcMar>
              <w:top w:w="15" w:type="dxa"/>
              <w:left w:w="15" w:type="dxa"/>
              <w:right w:w="15" w:type="dxa"/>
            </w:tcMar>
            <w:vAlign w:val="center"/>
          </w:tcPr>
          <w:p w14:paraId="5DEADF14">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77BA29A3">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22DE587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403CCD2C">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15AF35BA">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0AA7E101">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不知道</w:t>
            </w:r>
          </w:p>
        </w:tc>
        <w:tc>
          <w:tcPr>
            <w:tcW w:w="629" w:type="pct"/>
            <w:noWrap/>
            <w:tcMar>
              <w:top w:w="15" w:type="dxa"/>
              <w:left w:w="15" w:type="dxa"/>
              <w:right w:w="15" w:type="dxa"/>
            </w:tcMar>
            <w:vAlign w:val="center"/>
          </w:tcPr>
          <w:p w14:paraId="5F7CE155">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w:t>
            </w:r>
          </w:p>
        </w:tc>
        <w:tc>
          <w:tcPr>
            <w:tcW w:w="693" w:type="pct"/>
            <w:noWrap/>
            <w:tcMar>
              <w:top w:w="15" w:type="dxa"/>
              <w:left w:w="15" w:type="dxa"/>
              <w:right w:w="15" w:type="dxa"/>
            </w:tcMar>
            <w:vAlign w:val="center"/>
          </w:tcPr>
          <w:p w14:paraId="0FE84C6F">
            <w:pPr>
              <w:pStyle w:val="29"/>
              <w:ind w:firstLine="0" w:firstLineChars="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50%</w:t>
            </w:r>
          </w:p>
        </w:tc>
      </w:tr>
      <w:tr w14:paraId="1FA6A45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restart"/>
            <w:noWrap/>
            <w:tcMar>
              <w:top w:w="15" w:type="dxa"/>
              <w:left w:w="15" w:type="dxa"/>
              <w:right w:w="15" w:type="dxa"/>
            </w:tcMar>
            <w:vAlign w:val="center"/>
          </w:tcPr>
          <w:p w14:paraId="72B06489">
            <w:pPr>
              <w:pStyle w:val="29"/>
              <w:rPr>
                <w:rFonts w:hint="default" w:ascii="Times New Roman" w:hAnsi="Times New Roman" w:cs="Times New Roman"/>
                <w:color w:val="auto"/>
              </w:rPr>
            </w:pPr>
            <w:r>
              <w:rPr>
                <w:rFonts w:hint="default" w:ascii="Times New Roman" w:hAnsi="Times New Roman" w:cs="Times New Roman"/>
                <w:color w:val="auto"/>
                <w:lang w:bidi="ar"/>
              </w:rPr>
              <w:t>7</w:t>
            </w:r>
          </w:p>
        </w:tc>
        <w:tc>
          <w:tcPr>
            <w:tcW w:w="2252" w:type="pct"/>
            <w:vMerge w:val="restart"/>
            <w:noWrap w:val="0"/>
            <w:tcMar>
              <w:top w:w="15" w:type="dxa"/>
              <w:left w:w="15" w:type="dxa"/>
              <w:right w:w="15" w:type="dxa"/>
            </w:tcMar>
            <w:vAlign w:val="center"/>
          </w:tcPr>
          <w:p w14:paraId="3CFB6672">
            <w:pPr>
              <w:widowControl/>
              <w:adjustRightInd/>
              <w:snapToGrid/>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贵单位认为本项目建成投产后对周边办公和生活环境的影响</w:t>
            </w:r>
            <w:r>
              <w:rPr>
                <w:rFonts w:hint="eastAsia" w:cs="Times New Roman"/>
                <w:color w:val="auto"/>
                <w:sz w:val="21"/>
                <w:szCs w:val="21"/>
                <w:lang w:eastAsia="zh-CN"/>
              </w:rPr>
              <w:t>：</w:t>
            </w:r>
          </w:p>
        </w:tc>
        <w:tc>
          <w:tcPr>
            <w:tcW w:w="945" w:type="pct"/>
            <w:noWrap/>
            <w:tcMar>
              <w:top w:w="15" w:type="dxa"/>
              <w:left w:w="15" w:type="dxa"/>
              <w:right w:w="15" w:type="dxa"/>
            </w:tcMar>
            <w:vAlign w:val="center"/>
          </w:tcPr>
          <w:p w14:paraId="1ACA6495">
            <w:pPr>
              <w:pStyle w:val="29"/>
              <w:rPr>
                <w:rFonts w:hint="default" w:ascii="Times New Roman" w:hAnsi="Times New Roman" w:cs="Times New Roman"/>
                <w:color w:val="auto"/>
              </w:rPr>
            </w:pPr>
            <w:r>
              <w:rPr>
                <w:color w:val="auto"/>
                <w:szCs w:val="21"/>
              </w:rPr>
              <w:t>有正影响</w:t>
            </w:r>
          </w:p>
        </w:tc>
        <w:tc>
          <w:tcPr>
            <w:tcW w:w="629" w:type="pct"/>
            <w:noWrap/>
            <w:tcMar>
              <w:top w:w="15" w:type="dxa"/>
              <w:left w:w="15" w:type="dxa"/>
              <w:right w:w="15" w:type="dxa"/>
            </w:tcMar>
            <w:vAlign w:val="center"/>
          </w:tcPr>
          <w:p w14:paraId="3108F580">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c>
          <w:tcPr>
            <w:tcW w:w="693" w:type="pct"/>
            <w:noWrap/>
            <w:tcMar>
              <w:top w:w="15" w:type="dxa"/>
              <w:left w:w="15" w:type="dxa"/>
              <w:right w:w="15" w:type="dxa"/>
            </w:tcMar>
            <w:vAlign w:val="center"/>
          </w:tcPr>
          <w:p w14:paraId="2653D9DC">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p>
        </w:tc>
      </w:tr>
      <w:tr w14:paraId="65E1890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3E694636">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62191F9A">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5E99930A">
            <w:pPr>
              <w:pStyle w:val="29"/>
              <w:rPr>
                <w:rFonts w:hint="default" w:ascii="Times New Roman" w:hAnsi="Times New Roman" w:cs="Times New Roman"/>
                <w:color w:val="auto"/>
              </w:rPr>
            </w:pPr>
            <w:r>
              <w:rPr>
                <w:color w:val="auto"/>
                <w:szCs w:val="21"/>
              </w:rPr>
              <w:t>有</w:t>
            </w:r>
            <w:r>
              <w:rPr>
                <w:rFonts w:hint="eastAsia"/>
                <w:color w:val="auto"/>
                <w:szCs w:val="21"/>
                <w:lang w:val="en-US" w:eastAsia="zh-CN"/>
              </w:rPr>
              <w:t>负</w:t>
            </w:r>
            <w:r>
              <w:rPr>
                <w:color w:val="auto"/>
                <w:szCs w:val="21"/>
              </w:rPr>
              <w:t>影响</w:t>
            </w:r>
          </w:p>
        </w:tc>
        <w:tc>
          <w:tcPr>
            <w:tcW w:w="629" w:type="pct"/>
            <w:noWrap/>
            <w:tcMar>
              <w:top w:w="15" w:type="dxa"/>
              <w:left w:w="15" w:type="dxa"/>
              <w:right w:w="15" w:type="dxa"/>
            </w:tcMar>
            <w:vAlign w:val="center"/>
          </w:tcPr>
          <w:p w14:paraId="09D55287">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6068D0F6">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2ADF64BD">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78E56CA7">
            <w:pPr>
              <w:pStyle w:val="29"/>
              <w:rPr>
                <w:rFonts w:hint="default" w:ascii="Times New Roman" w:hAnsi="Times New Roman" w:cs="Times New Roman"/>
                <w:color w:val="auto"/>
              </w:rPr>
            </w:pPr>
          </w:p>
        </w:tc>
        <w:tc>
          <w:tcPr>
            <w:tcW w:w="2252" w:type="pct"/>
            <w:vMerge w:val="continue"/>
            <w:noWrap w:val="0"/>
            <w:tcMar>
              <w:top w:w="15" w:type="dxa"/>
              <w:left w:w="15" w:type="dxa"/>
              <w:right w:w="15" w:type="dxa"/>
            </w:tcMar>
            <w:vAlign w:val="center"/>
          </w:tcPr>
          <w:p w14:paraId="5363AB51">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1C4923CC">
            <w:pPr>
              <w:pStyle w:val="29"/>
              <w:rPr>
                <w:rFonts w:hint="default" w:ascii="Times New Roman" w:hAnsi="Times New Roman" w:cs="Times New Roman"/>
                <w:color w:val="auto"/>
              </w:rPr>
            </w:pPr>
            <w:r>
              <w:rPr>
                <w:color w:val="auto"/>
                <w:szCs w:val="21"/>
              </w:rPr>
              <w:t>有负影响但可接受</w:t>
            </w:r>
          </w:p>
        </w:tc>
        <w:tc>
          <w:tcPr>
            <w:tcW w:w="629" w:type="pct"/>
            <w:noWrap/>
            <w:tcMar>
              <w:top w:w="15" w:type="dxa"/>
              <w:left w:w="15" w:type="dxa"/>
              <w:right w:w="15" w:type="dxa"/>
            </w:tcMar>
            <w:vAlign w:val="center"/>
          </w:tcPr>
          <w:p w14:paraId="14EE42DB">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c>
          <w:tcPr>
            <w:tcW w:w="693" w:type="pct"/>
            <w:noWrap/>
            <w:tcMar>
              <w:top w:w="15" w:type="dxa"/>
              <w:left w:w="15" w:type="dxa"/>
              <w:right w:w="15" w:type="dxa"/>
            </w:tcMar>
            <w:vAlign w:val="center"/>
          </w:tcPr>
          <w:p w14:paraId="7C00EAF7">
            <w:pPr>
              <w:pStyle w:val="29"/>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0</w:t>
            </w:r>
          </w:p>
        </w:tc>
      </w:tr>
      <w:tr w14:paraId="2DDDBA44">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270" w:hRule="atLeast"/>
        </w:trPr>
        <w:tc>
          <w:tcPr>
            <w:tcW w:w="477" w:type="pct"/>
            <w:vMerge w:val="continue"/>
            <w:noWrap/>
            <w:tcMar>
              <w:top w:w="15" w:type="dxa"/>
              <w:left w:w="15" w:type="dxa"/>
              <w:right w:w="15" w:type="dxa"/>
            </w:tcMar>
            <w:vAlign w:val="center"/>
          </w:tcPr>
          <w:p w14:paraId="13AD74A9">
            <w:pPr>
              <w:pStyle w:val="29"/>
              <w:rPr>
                <w:rFonts w:hint="default" w:ascii="Times New Roman" w:hAnsi="Times New Roman" w:cs="Times New Roman"/>
                <w:color w:val="auto"/>
              </w:rPr>
            </w:pPr>
          </w:p>
        </w:tc>
        <w:tc>
          <w:tcPr>
            <w:tcW w:w="2252" w:type="pct"/>
            <w:vMerge w:val="continue"/>
            <w:noWrap/>
            <w:tcMar>
              <w:top w:w="15" w:type="dxa"/>
              <w:left w:w="15" w:type="dxa"/>
              <w:right w:w="15" w:type="dxa"/>
            </w:tcMar>
            <w:vAlign w:val="center"/>
          </w:tcPr>
          <w:p w14:paraId="1EA80183">
            <w:pPr>
              <w:pStyle w:val="29"/>
              <w:rPr>
                <w:rFonts w:hint="default" w:ascii="Times New Roman" w:hAnsi="Times New Roman" w:cs="Times New Roman"/>
                <w:color w:val="auto"/>
              </w:rPr>
            </w:pPr>
          </w:p>
        </w:tc>
        <w:tc>
          <w:tcPr>
            <w:tcW w:w="945" w:type="pct"/>
            <w:noWrap/>
            <w:tcMar>
              <w:top w:w="15" w:type="dxa"/>
              <w:left w:w="15" w:type="dxa"/>
              <w:right w:w="15" w:type="dxa"/>
            </w:tcMar>
            <w:vAlign w:val="center"/>
          </w:tcPr>
          <w:p w14:paraId="36DE76A9">
            <w:pPr>
              <w:pStyle w:val="29"/>
              <w:rPr>
                <w:rFonts w:hint="eastAsia" w:ascii="Times New Roman" w:hAnsi="Times New Roman" w:eastAsia="宋体" w:cs="Times New Roman"/>
                <w:color w:val="auto"/>
                <w:lang w:val="en-US" w:eastAsia="zh-CN"/>
              </w:rPr>
            </w:pPr>
            <w:r>
              <w:rPr>
                <w:rFonts w:hint="eastAsia" w:cs="Times New Roman"/>
                <w:color w:val="auto"/>
                <w:lang w:val="en-US" w:eastAsia="zh-CN"/>
              </w:rPr>
              <w:t>无影响</w:t>
            </w:r>
          </w:p>
        </w:tc>
        <w:tc>
          <w:tcPr>
            <w:tcW w:w="629" w:type="pct"/>
            <w:noWrap/>
            <w:tcMar>
              <w:top w:w="15" w:type="dxa"/>
              <w:left w:w="15" w:type="dxa"/>
              <w:right w:w="15" w:type="dxa"/>
            </w:tcMar>
            <w:vAlign w:val="center"/>
          </w:tcPr>
          <w:p w14:paraId="786B31F9">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w:t>
            </w:r>
          </w:p>
        </w:tc>
        <w:tc>
          <w:tcPr>
            <w:tcW w:w="693" w:type="pct"/>
            <w:noWrap/>
            <w:tcMar>
              <w:top w:w="15" w:type="dxa"/>
              <w:left w:w="15" w:type="dxa"/>
              <w:right w:w="15" w:type="dxa"/>
            </w:tcMar>
            <w:vAlign w:val="center"/>
          </w:tcPr>
          <w:p w14:paraId="6DCF86DD">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100%</w:t>
            </w:r>
          </w:p>
        </w:tc>
      </w:tr>
    </w:tbl>
    <w:p w14:paraId="37A5AEA1">
      <w:pPr>
        <w:pStyle w:val="24"/>
        <w:spacing w:before="240"/>
        <w:ind w:firstLine="480"/>
        <w:rPr>
          <w:rFonts w:hint="default" w:ascii="Times New Roman" w:hAnsi="Times New Roman" w:cs="Times New Roman"/>
          <w:color w:val="auto"/>
          <w:szCs w:val="24"/>
        </w:rPr>
      </w:pPr>
      <w:r>
        <w:rPr>
          <w:rFonts w:hint="default" w:ascii="Times New Roman" w:hAnsi="Times New Roman" w:cs="Times New Roman"/>
          <w:color w:val="auto"/>
          <w:szCs w:val="24"/>
        </w:rPr>
        <w:t>从上表可以看出：</w:t>
      </w:r>
    </w:p>
    <w:p w14:paraId="64735111">
      <w:pPr>
        <w:pStyle w:val="24"/>
        <w:ind w:firstLine="480"/>
        <w:rPr>
          <w:rFonts w:hint="default" w:ascii="Times New Roman" w:hAnsi="Times New Roman" w:cs="Times New Roman"/>
          <w:color w:val="auto"/>
          <w:szCs w:val="24"/>
        </w:rPr>
      </w:pPr>
      <w:r>
        <w:rPr>
          <w:rFonts w:hint="default" w:ascii="Times New Roman" w:hAnsi="Times New Roman" w:cs="Times New Roman"/>
          <w:color w:val="auto"/>
          <w:szCs w:val="24"/>
          <w:lang w:eastAsia="zh-CN"/>
        </w:rPr>
        <w:t>（1）</w:t>
      </w:r>
      <w:r>
        <w:rPr>
          <w:rFonts w:hint="eastAsia" w:cs="Times New Roman"/>
          <w:color w:val="auto"/>
          <w:szCs w:val="24"/>
          <w:lang w:val="en-US" w:eastAsia="zh-CN"/>
        </w:rPr>
        <w:t>所有</w:t>
      </w:r>
      <w:r>
        <w:rPr>
          <w:rFonts w:hint="default" w:ascii="Times New Roman" w:hAnsi="Times New Roman" w:cs="Times New Roman"/>
          <w:color w:val="auto"/>
          <w:szCs w:val="24"/>
        </w:rPr>
        <w:t>被团体都</w:t>
      </w:r>
      <w:r>
        <w:rPr>
          <w:rFonts w:hint="eastAsia" w:cs="Times New Roman"/>
          <w:color w:val="auto"/>
          <w:szCs w:val="24"/>
          <w:lang w:val="en-US" w:eastAsia="zh-CN"/>
        </w:rPr>
        <w:t>对本项目很了解</w:t>
      </w:r>
      <w:r>
        <w:rPr>
          <w:rFonts w:hint="default" w:ascii="Times New Roman" w:hAnsi="Times New Roman" w:cs="Times New Roman"/>
          <w:color w:val="auto"/>
          <w:szCs w:val="24"/>
        </w:rPr>
        <w:t>。</w:t>
      </w:r>
    </w:p>
    <w:p w14:paraId="2B748D0B">
      <w:pPr>
        <w:pStyle w:val="24"/>
        <w:ind w:firstLine="480"/>
        <w:rPr>
          <w:rFonts w:hint="eastAsia" w:cs="Times New Roman"/>
          <w:color w:val="auto"/>
          <w:szCs w:val="24"/>
          <w:lang w:val="en-US" w:eastAsia="zh-CN"/>
        </w:rPr>
      </w:pPr>
      <w:r>
        <w:rPr>
          <w:rFonts w:hint="default" w:ascii="Times New Roman" w:hAnsi="Times New Roman" w:cs="Times New Roman"/>
          <w:color w:val="auto"/>
          <w:szCs w:val="24"/>
          <w:lang w:eastAsia="zh-CN"/>
        </w:rPr>
        <w:t>（2）</w:t>
      </w:r>
      <w:r>
        <w:rPr>
          <w:rFonts w:hint="eastAsia" w:cs="Times New Roman"/>
          <w:color w:val="auto"/>
          <w:szCs w:val="24"/>
          <w:lang w:val="en-US" w:eastAsia="zh-CN"/>
        </w:rPr>
        <w:t>所有</w:t>
      </w:r>
      <w:r>
        <w:rPr>
          <w:rFonts w:hint="default" w:ascii="Times New Roman" w:hAnsi="Times New Roman" w:cs="Times New Roman"/>
          <w:color w:val="auto"/>
          <w:szCs w:val="24"/>
        </w:rPr>
        <w:t>被调查</w:t>
      </w:r>
      <w:r>
        <w:rPr>
          <w:rFonts w:hint="eastAsia" w:cs="Times New Roman"/>
          <w:color w:val="auto"/>
          <w:szCs w:val="24"/>
          <w:lang w:val="en-US" w:eastAsia="zh-CN"/>
        </w:rPr>
        <w:t>团体都支持本项目建设。</w:t>
      </w:r>
    </w:p>
    <w:p w14:paraId="7760C472">
      <w:pPr>
        <w:pStyle w:val="24"/>
        <w:ind w:firstLine="480"/>
        <w:rPr>
          <w:rFonts w:hint="eastAsia" w:ascii="Times New Roman" w:hAnsi="Times New Roman" w:eastAsia="宋体" w:cs="Times New Roman"/>
          <w:color w:val="auto"/>
          <w:szCs w:val="24"/>
          <w:lang w:val="en-US" w:eastAsia="zh-CN"/>
        </w:rPr>
      </w:pPr>
      <w:r>
        <w:rPr>
          <w:rFonts w:hint="default" w:ascii="Times New Roman" w:hAnsi="Times New Roman" w:cs="Times New Roman"/>
          <w:color w:val="auto"/>
          <w:szCs w:val="24"/>
          <w:lang w:eastAsia="zh-CN"/>
        </w:rPr>
        <w:t>（3）</w:t>
      </w:r>
      <w:r>
        <w:rPr>
          <w:rFonts w:hint="eastAsia" w:cs="Times New Roman"/>
          <w:color w:val="auto"/>
          <w:szCs w:val="24"/>
          <w:lang w:val="en-US" w:eastAsia="zh-CN"/>
        </w:rPr>
        <w:t>75</w:t>
      </w:r>
      <w:r>
        <w:rPr>
          <w:rFonts w:hint="default" w:ascii="Times New Roman" w:hAnsi="Times New Roman" w:cs="Times New Roman"/>
          <w:color w:val="auto"/>
          <w:szCs w:val="24"/>
          <w:lang w:eastAsia="zh-CN"/>
        </w:rPr>
        <w:t>%</w:t>
      </w:r>
      <w:r>
        <w:rPr>
          <w:rFonts w:hint="default" w:ascii="Times New Roman" w:hAnsi="Times New Roman" w:cs="Times New Roman"/>
          <w:color w:val="auto"/>
          <w:szCs w:val="24"/>
        </w:rPr>
        <w:t>被调查团体表示本项目建设</w:t>
      </w:r>
      <w:r>
        <w:rPr>
          <w:rFonts w:hint="eastAsia" w:cs="Times New Roman"/>
          <w:color w:val="auto"/>
          <w:szCs w:val="24"/>
          <w:lang w:val="en-US" w:eastAsia="zh-CN"/>
        </w:rPr>
        <w:t>有利于</w:t>
      </w:r>
      <w:r>
        <w:rPr>
          <w:rFonts w:hint="default" w:ascii="Times New Roman" w:hAnsi="Times New Roman" w:cs="Times New Roman"/>
          <w:color w:val="auto"/>
          <w:szCs w:val="24"/>
        </w:rPr>
        <w:t>当地医疗发展</w:t>
      </w:r>
      <w:r>
        <w:rPr>
          <w:rFonts w:hint="eastAsia" w:cs="Times New Roman"/>
          <w:color w:val="auto"/>
          <w:szCs w:val="24"/>
          <w:lang w:eastAsia="zh-CN"/>
        </w:rPr>
        <w:t>；</w:t>
      </w:r>
      <w:r>
        <w:rPr>
          <w:rFonts w:hint="eastAsia" w:cs="Times New Roman"/>
          <w:color w:val="auto"/>
          <w:szCs w:val="24"/>
          <w:lang w:val="en-US" w:eastAsia="zh-CN"/>
        </w:rPr>
        <w:t>25%团体认为</w:t>
      </w:r>
      <w:r>
        <w:rPr>
          <w:rFonts w:hint="default" w:ascii="Times New Roman" w:hAnsi="Times New Roman" w:cs="Times New Roman"/>
          <w:color w:val="auto"/>
          <w:szCs w:val="24"/>
        </w:rPr>
        <w:t>本项目建设</w:t>
      </w:r>
      <w:r>
        <w:rPr>
          <w:rFonts w:hint="eastAsia" w:cs="Times New Roman"/>
          <w:color w:val="auto"/>
          <w:szCs w:val="24"/>
          <w:lang w:val="en-US" w:eastAsia="zh-CN"/>
        </w:rPr>
        <w:t>对</w:t>
      </w:r>
      <w:r>
        <w:rPr>
          <w:rFonts w:hint="default" w:ascii="Times New Roman" w:hAnsi="Times New Roman" w:cs="Times New Roman"/>
          <w:color w:val="auto"/>
          <w:szCs w:val="24"/>
        </w:rPr>
        <w:t>当地医疗发展</w:t>
      </w:r>
      <w:r>
        <w:rPr>
          <w:rFonts w:hint="eastAsia" w:cs="Times New Roman"/>
          <w:color w:val="auto"/>
          <w:szCs w:val="24"/>
          <w:lang w:val="en-US" w:eastAsia="zh-CN"/>
        </w:rPr>
        <w:t>无影响。</w:t>
      </w:r>
    </w:p>
    <w:p w14:paraId="3C73FDA8">
      <w:pPr>
        <w:pStyle w:val="24"/>
        <w:ind w:firstLine="48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4</w:t>
      </w: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75%</w:t>
      </w:r>
      <w:r>
        <w:rPr>
          <w:rFonts w:hint="default" w:ascii="Times New Roman" w:hAnsi="Times New Roman" w:eastAsia="宋体" w:cs="Times New Roman"/>
          <w:color w:val="auto"/>
          <w:szCs w:val="24"/>
          <w:lang w:eastAsia="zh-CN"/>
        </w:rPr>
        <w:t>被调查团体均认为本地区目前</w:t>
      </w:r>
      <w:r>
        <w:rPr>
          <w:rFonts w:hint="eastAsia" w:ascii="Times New Roman" w:hAnsi="Times New Roman" w:eastAsia="宋体" w:cs="Times New Roman"/>
          <w:color w:val="auto"/>
          <w:szCs w:val="24"/>
          <w:lang w:val="en-US" w:eastAsia="zh-CN"/>
        </w:rPr>
        <w:t>不</w:t>
      </w:r>
      <w:r>
        <w:rPr>
          <w:rFonts w:hint="default" w:ascii="Times New Roman" w:hAnsi="Times New Roman" w:eastAsia="宋体" w:cs="Times New Roman"/>
          <w:color w:val="auto"/>
          <w:szCs w:val="24"/>
          <w:lang w:eastAsia="zh-CN"/>
        </w:rPr>
        <w:t>存在环境问题</w:t>
      </w:r>
      <w:r>
        <w:rPr>
          <w:rFonts w:hint="eastAsia" w:ascii="Times New Roman" w:hAnsi="Times New Roman" w:eastAsia="宋体" w:cs="Times New Roman"/>
          <w:color w:val="auto"/>
          <w:szCs w:val="24"/>
          <w:lang w:val="en-US" w:eastAsia="zh-CN"/>
        </w:rPr>
        <w:t>，25%</w:t>
      </w:r>
      <w:r>
        <w:rPr>
          <w:rFonts w:hint="default" w:ascii="Times New Roman" w:hAnsi="Times New Roman" w:eastAsia="宋体" w:cs="Times New Roman"/>
          <w:color w:val="auto"/>
          <w:szCs w:val="24"/>
          <w:lang w:eastAsia="zh-CN"/>
        </w:rPr>
        <w:t>被调查团体均认为本地区目前存在</w:t>
      </w:r>
      <w:r>
        <w:rPr>
          <w:rFonts w:hint="eastAsia" w:ascii="Times New Roman" w:hAnsi="Times New Roman" w:eastAsia="宋体" w:cs="Times New Roman"/>
          <w:color w:val="auto"/>
          <w:szCs w:val="24"/>
          <w:lang w:val="en-US" w:eastAsia="zh-CN"/>
        </w:rPr>
        <w:t>固体废物的</w:t>
      </w:r>
      <w:r>
        <w:rPr>
          <w:rFonts w:hint="default" w:ascii="Times New Roman" w:hAnsi="Times New Roman" w:eastAsia="宋体" w:cs="Times New Roman"/>
          <w:color w:val="auto"/>
          <w:szCs w:val="24"/>
          <w:lang w:eastAsia="zh-CN"/>
        </w:rPr>
        <w:t>环境问题</w:t>
      </w:r>
      <w:r>
        <w:rPr>
          <w:rFonts w:hint="eastAsia" w:ascii="Times New Roman" w:hAnsi="Times New Roman" w:eastAsia="宋体" w:cs="Times New Roman"/>
          <w:color w:val="auto"/>
          <w:szCs w:val="24"/>
          <w:lang w:eastAsia="zh-CN"/>
        </w:rPr>
        <w:t>。</w:t>
      </w:r>
    </w:p>
    <w:p w14:paraId="7B6849F6">
      <w:pPr>
        <w:pStyle w:val="24"/>
        <w:ind w:firstLine="480"/>
        <w:rPr>
          <w:rFonts w:hint="default"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5</w:t>
      </w:r>
      <w:r>
        <w:rPr>
          <w:rFonts w:hint="eastAsia" w:ascii="Times New Roman" w:hAnsi="Times New Roman" w:eastAsia="宋体" w:cs="Times New Roman"/>
          <w:color w:val="auto"/>
          <w:szCs w:val="24"/>
          <w:lang w:eastAsia="zh-CN"/>
        </w:rPr>
        <w:t>）</w:t>
      </w:r>
      <w:r>
        <w:rPr>
          <w:rFonts w:hint="default" w:ascii="Times New Roman" w:hAnsi="Times New Roman" w:eastAsia="宋体" w:cs="Times New Roman"/>
          <w:color w:val="auto"/>
          <w:szCs w:val="24"/>
          <w:lang w:eastAsia="zh-CN"/>
        </w:rPr>
        <w:t>所有被调查团体均</w:t>
      </w:r>
      <w:r>
        <w:rPr>
          <w:rFonts w:hint="eastAsia" w:ascii="Times New Roman" w:hAnsi="Times New Roman" w:eastAsia="宋体" w:cs="Times New Roman"/>
          <w:color w:val="auto"/>
          <w:szCs w:val="24"/>
          <w:lang w:val="en-US" w:eastAsia="zh-CN"/>
        </w:rPr>
        <w:t>表示</w:t>
      </w:r>
      <w:r>
        <w:rPr>
          <w:rFonts w:hint="default" w:ascii="Times New Roman" w:hAnsi="Times New Roman" w:eastAsia="宋体" w:cs="Times New Roman"/>
          <w:color w:val="auto"/>
          <w:szCs w:val="24"/>
          <w:lang w:eastAsia="zh-CN"/>
        </w:rPr>
        <w:t>本项目对环境</w:t>
      </w:r>
      <w:r>
        <w:rPr>
          <w:rFonts w:hint="eastAsia" w:ascii="Times New Roman" w:hAnsi="Times New Roman" w:eastAsia="宋体" w:cs="Times New Roman"/>
          <w:color w:val="auto"/>
          <w:szCs w:val="24"/>
          <w:lang w:val="en-US" w:eastAsia="zh-CN"/>
        </w:rPr>
        <w:t>无</w:t>
      </w:r>
      <w:r>
        <w:rPr>
          <w:rFonts w:hint="default" w:ascii="Times New Roman" w:hAnsi="Times New Roman" w:eastAsia="宋体" w:cs="Times New Roman"/>
          <w:color w:val="auto"/>
          <w:szCs w:val="24"/>
          <w:lang w:eastAsia="zh-CN"/>
        </w:rPr>
        <w:t>影响</w:t>
      </w:r>
      <w:r>
        <w:rPr>
          <w:rFonts w:hint="eastAsia" w:ascii="Times New Roman" w:hAnsi="Times New Roman" w:eastAsia="宋体" w:cs="Times New Roman"/>
          <w:color w:val="auto"/>
          <w:szCs w:val="24"/>
          <w:lang w:eastAsia="zh-CN"/>
        </w:rPr>
        <w:t>。</w:t>
      </w:r>
    </w:p>
    <w:p w14:paraId="2AAEAFE5">
      <w:pPr>
        <w:pStyle w:val="24"/>
        <w:ind w:firstLine="480"/>
        <w:rPr>
          <w:rFonts w:hint="default"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6</w:t>
      </w: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50%的</w:t>
      </w:r>
      <w:r>
        <w:rPr>
          <w:rFonts w:hint="default" w:ascii="Times New Roman" w:hAnsi="Times New Roman" w:eastAsia="宋体" w:cs="Times New Roman"/>
          <w:color w:val="auto"/>
          <w:szCs w:val="24"/>
          <w:lang w:eastAsia="zh-CN"/>
        </w:rPr>
        <w:t>被调查团体认为本项目拟采取的治理</w:t>
      </w:r>
      <w:r>
        <w:rPr>
          <w:rFonts w:hint="eastAsia" w:cs="Times New Roman"/>
          <w:color w:val="auto"/>
          <w:szCs w:val="24"/>
          <w:lang w:eastAsia="zh-CN"/>
        </w:rPr>
        <w:t>措施</w:t>
      </w:r>
      <w:r>
        <w:rPr>
          <w:rFonts w:hint="default" w:ascii="Times New Roman" w:hAnsi="Times New Roman" w:eastAsia="宋体" w:cs="Times New Roman"/>
          <w:color w:val="auto"/>
          <w:szCs w:val="24"/>
          <w:lang w:eastAsia="zh-CN"/>
        </w:rPr>
        <w:t>可行</w:t>
      </w:r>
      <w:r>
        <w:rPr>
          <w:rFonts w:hint="eastAsia" w:ascii="Times New Roman" w:hAnsi="Times New Roman" w:eastAsia="宋体" w:cs="Times New Roman"/>
          <w:color w:val="auto"/>
          <w:szCs w:val="24"/>
          <w:lang w:eastAsia="zh-CN"/>
        </w:rPr>
        <w:t>，</w:t>
      </w:r>
      <w:r>
        <w:rPr>
          <w:rFonts w:hint="eastAsia" w:ascii="Times New Roman" w:hAnsi="Times New Roman" w:eastAsia="宋体" w:cs="Times New Roman"/>
          <w:color w:val="auto"/>
          <w:szCs w:val="24"/>
          <w:lang w:val="en-US" w:eastAsia="zh-CN"/>
        </w:rPr>
        <w:t>50%的</w:t>
      </w:r>
      <w:r>
        <w:rPr>
          <w:rFonts w:hint="default" w:ascii="Times New Roman" w:hAnsi="Times New Roman" w:eastAsia="宋体" w:cs="Times New Roman"/>
          <w:color w:val="auto"/>
          <w:szCs w:val="24"/>
          <w:lang w:eastAsia="zh-CN"/>
        </w:rPr>
        <w:t>被调查团体</w:t>
      </w:r>
      <w:r>
        <w:rPr>
          <w:rFonts w:hint="eastAsia" w:ascii="Times New Roman" w:hAnsi="Times New Roman" w:eastAsia="宋体" w:cs="Times New Roman"/>
          <w:color w:val="auto"/>
          <w:szCs w:val="24"/>
          <w:lang w:val="en-US" w:eastAsia="zh-CN"/>
        </w:rPr>
        <w:t>不知道</w:t>
      </w:r>
      <w:r>
        <w:rPr>
          <w:rFonts w:hint="default" w:ascii="Times New Roman" w:hAnsi="Times New Roman" w:eastAsia="宋体" w:cs="Times New Roman"/>
          <w:color w:val="auto"/>
          <w:szCs w:val="24"/>
          <w:lang w:eastAsia="zh-CN"/>
        </w:rPr>
        <w:t>本项目拟采取的治理</w:t>
      </w:r>
      <w:r>
        <w:rPr>
          <w:rFonts w:hint="eastAsia" w:cs="Times New Roman"/>
          <w:color w:val="auto"/>
          <w:szCs w:val="24"/>
          <w:lang w:eastAsia="zh-CN"/>
        </w:rPr>
        <w:t>措施</w:t>
      </w:r>
      <w:r>
        <w:rPr>
          <w:rFonts w:hint="eastAsia" w:ascii="Times New Roman" w:hAnsi="Times New Roman" w:eastAsia="宋体" w:cs="Times New Roman"/>
          <w:color w:val="auto"/>
          <w:szCs w:val="24"/>
          <w:lang w:val="en-US" w:eastAsia="zh-CN"/>
        </w:rPr>
        <w:t>是否</w:t>
      </w:r>
      <w:r>
        <w:rPr>
          <w:rFonts w:hint="default" w:ascii="Times New Roman" w:hAnsi="Times New Roman" w:eastAsia="宋体" w:cs="Times New Roman"/>
          <w:color w:val="auto"/>
          <w:szCs w:val="24"/>
          <w:lang w:eastAsia="zh-CN"/>
        </w:rPr>
        <w:t>可行</w:t>
      </w:r>
      <w:r>
        <w:rPr>
          <w:rFonts w:hint="eastAsia" w:ascii="Times New Roman" w:hAnsi="Times New Roman" w:eastAsia="宋体" w:cs="Times New Roman"/>
          <w:color w:val="auto"/>
          <w:szCs w:val="24"/>
          <w:lang w:eastAsia="zh-CN"/>
        </w:rPr>
        <w:t>。</w:t>
      </w:r>
    </w:p>
    <w:p w14:paraId="3759D56F">
      <w:pPr>
        <w:pStyle w:val="24"/>
        <w:ind w:firstLine="480"/>
        <w:rPr>
          <w:rFonts w:hint="default" w:ascii="Times New Roman" w:hAnsi="Times New Roman" w:cs="Times New Roman"/>
          <w:color w:val="auto"/>
          <w:szCs w:val="24"/>
        </w:rPr>
      </w:pPr>
      <w:r>
        <w:rPr>
          <w:rFonts w:hint="eastAsia" w:ascii="Times New Roman" w:hAnsi="Times New Roman" w:cs="Times New Roman"/>
          <w:color w:val="auto"/>
          <w:szCs w:val="24"/>
          <w:lang w:eastAsia="zh-CN"/>
        </w:rPr>
        <w:t>（</w:t>
      </w:r>
      <w:r>
        <w:rPr>
          <w:rFonts w:hint="eastAsia" w:ascii="Times New Roman" w:hAnsi="Times New Roman" w:cs="Times New Roman"/>
          <w:color w:val="auto"/>
          <w:szCs w:val="24"/>
          <w:lang w:val="en-US" w:eastAsia="zh-CN"/>
        </w:rPr>
        <w:t>7</w:t>
      </w:r>
      <w:r>
        <w:rPr>
          <w:rFonts w:hint="eastAsia" w:ascii="Times New Roman" w:hAnsi="Times New Roman" w:cs="Times New Roman"/>
          <w:color w:val="auto"/>
          <w:szCs w:val="24"/>
          <w:lang w:eastAsia="zh-CN"/>
        </w:rPr>
        <w:t>）</w:t>
      </w:r>
      <w:r>
        <w:rPr>
          <w:rFonts w:hint="default" w:ascii="Times New Roman" w:hAnsi="Times New Roman" w:eastAsia="宋体" w:cs="Times New Roman"/>
          <w:color w:val="auto"/>
          <w:szCs w:val="24"/>
          <w:lang w:eastAsia="zh-CN"/>
        </w:rPr>
        <w:t>所有</w:t>
      </w:r>
      <w:r>
        <w:rPr>
          <w:rFonts w:hint="default" w:ascii="Times New Roman" w:hAnsi="Times New Roman" w:cs="Times New Roman"/>
          <w:color w:val="auto"/>
          <w:szCs w:val="24"/>
        </w:rPr>
        <w:t>被调查的</w:t>
      </w:r>
      <w:r>
        <w:rPr>
          <w:rFonts w:hint="eastAsia" w:cs="Times New Roman"/>
          <w:color w:val="auto"/>
          <w:szCs w:val="24"/>
          <w:lang w:val="en-US" w:eastAsia="zh-CN"/>
        </w:rPr>
        <w:t>团体表示本项目建成投产后对周边办公和生活环境无影响。</w:t>
      </w:r>
    </w:p>
    <w:p w14:paraId="6B764D4D">
      <w:pPr>
        <w:pStyle w:val="3"/>
        <w:numPr>
          <w:ilvl w:val="0"/>
          <w:numId w:val="0"/>
        </w:numPr>
        <w:ind w:left="578" w:leftChars="0" w:hanging="578" w:firstLineChars="0"/>
        <w:rPr>
          <w:rFonts w:hint="default" w:ascii="Times New Roman" w:hAnsi="Times New Roman" w:cs="Times New Roman"/>
          <w:color w:val="auto"/>
        </w:rPr>
      </w:pPr>
      <w:bookmarkStart w:id="262" w:name="_Toc10369"/>
      <w:bookmarkStart w:id="263" w:name="_Toc31619"/>
      <w:r>
        <w:rPr>
          <w:rFonts w:hint="eastAsia" w:ascii="Times New Roman" w:hAnsi="Times New Roman" w:cs="Times New Roman"/>
          <w:b/>
          <w:bCs/>
          <w:color w:val="auto"/>
          <w:kern w:val="2"/>
          <w:sz w:val="32"/>
          <w:szCs w:val="32"/>
          <w:lang w:val="en-US" w:eastAsia="zh-CN" w:bidi="ar-SA"/>
        </w:rPr>
        <w:t>13.5</w:t>
      </w:r>
      <w:r>
        <w:rPr>
          <w:rFonts w:hint="default" w:ascii="Times New Roman" w:hAnsi="Times New Roman" w:cs="Times New Roman"/>
          <w:color w:val="auto"/>
        </w:rPr>
        <w:t>环保投诉情况调查</w:t>
      </w:r>
      <w:bookmarkEnd w:id="261"/>
      <w:bookmarkEnd w:id="262"/>
      <w:bookmarkEnd w:id="263"/>
    </w:p>
    <w:p w14:paraId="29B974A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1、环保投诉</w:t>
      </w:r>
    </w:p>
    <w:p w14:paraId="52A894DE">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经调查，施工期间无经调查核实存在环保问题的正式环保投诉。</w:t>
      </w:r>
    </w:p>
    <w:p w14:paraId="406F38C7">
      <w:pPr>
        <w:keepNext w:val="0"/>
        <w:keepLines w:val="0"/>
        <w:pageBreakBefore w:val="0"/>
        <w:widowControl/>
        <w:kinsoku/>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lang w:val="en-US" w:eastAsia="zh-CN"/>
        </w:rPr>
        <w:t>2、环保监督检查情况</w:t>
      </w:r>
    </w:p>
    <w:p w14:paraId="06A47C9E">
      <w:pPr>
        <w:ind w:firstLine="480"/>
        <w:rPr>
          <w:rFonts w:hint="default" w:ascii="Times New Roman" w:hAnsi="Times New Roman" w:eastAsia="宋体" w:cs="Times New Roman"/>
          <w:color w:val="auto"/>
          <w:szCs w:val="24"/>
          <w:lang w:eastAsia="zh-CN"/>
        </w:rPr>
      </w:pPr>
      <w:r>
        <w:rPr>
          <w:rFonts w:hint="eastAsia" w:ascii="Times New Roman" w:hAnsi="Times New Roman" w:cs="Times New Roman"/>
          <w:color w:val="auto"/>
          <w:szCs w:val="24"/>
          <w:lang w:val="en-US" w:eastAsia="zh-CN"/>
        </w:rPr>
        <w:t>重庆段项目未收到相关环保督察整改要求</w:t>
      </w:r>
      <w:r>
        <w:rPr>
          <w:rFonts w:hint="default" w:ascii="Times New Roman" w:hAnsi="Times New Roman" w:cs="Times New Roman"/>
          <w:color w:val="auto"/>
          <w:szCs w:val="24"/>
        </w:rPr>
        <w:t>。</w:t>
      </w:r>
    </w:p>
    <w:p w14:paraId="09C665BD">
      <w:pPr>
        <w:ind w:firstLine="480"/>
        <w:rPr>
          <w:rFonts w:hint="default" w:ascii="Times New Roman" w:hAnsi="Times New Roman" w:cs="Times New Roman"/>
          <w:color w:val="auto"/>
          <w:szCs w:val="24"/>
        </w:rPr>
      </w:pPr>
      <w:r>
        <w:rPr>
          <w:rFonts w:hint="default" w:ascii="Times New Roman" w:hAnsi="Times New Roman" w:cs="Times New Roman"/>
          <w:color w:val="auto"/>
          <w:szCs w:val="24"/>
        </w:rPr>
        <w:t>综上所述，项目施工期的环保工作总体较好，运营期建设单位及时处理了群众的相关反馈，满足了其合理的环保诉求。</w:t>
      </w:r>
    </w:p>
    <w:p w14:paraId="7FC68BCF">
      <w:pPr>
        <w:rPr>
          <w:rFonts w:hint="default" w:ascii="Times New Roman" w:hAnsi="Times New Roman" w:cs="Times New Roman"/>
          <w:color w:val="auto"/>
          <w:szCs w:val="24"/>
        </w:rPr>
      </w:pPr>
      <w:r>
        <w:rPr>
          <w:rFonts w:hint="default" w:ascii="Times New Roman" w:hAnsi="Times New Roman" w:cs="Times New Roman"/>
          <w:color w:val="auto"/>
          <w:szCs w:val="24"/>
        </w:rPr>
        <w:br w:type="page"/>
      </w:r>
    </w:p>
    <w:p w14:paraId="0E8301D1">
      <w:pPr>
        <w:pStyle w:val="2"/>
        <w:pageBreakBefore w:val="0"/>
        <w:widowControl w:val="0"/>
        <w:numPr>
          <w:ilvl w:val="0"/>
          <w:numId w:val="0"/>
        </w:numPr>
        <w:kinsoku/>
        <w:wordWrap/>
        <w:overflowPunct/>
        <w:topLinePunct w:val="0"/>
        <w:autoSpaceDE/>
        <w:autoSpaceDN/>
        <w:bidi w:val="0"/>
        <w:adjustRightInd w:val="0"/>
        <w:snapToGrid w:val="0"/>
        <w:spacing w:before="0" w:beforeLines="0" w:after="0" w:afterLines="0"/>
        <w:ind w:left="432" w:leftChars="0" w:hanging="432" w:firstLineChars="0"/>
        <w:textAlignment w:val="auto"/>
        <w:rPr>
          <w:rFonts w:hint="default" w:ascii="Times New Roman" w:hAnsi="Times New Roman" w:cs="Times New Roman"/>
          <w:color w:val="auto"/>
        </w:rPr>
      </w:pPr>
      <w:bookmarkStart w:id="264" w:name="_Toc997"/>
      <w:bookmarkStart w:id="265" w:name="_Toc18226"/>
      <w:bookmarkStart w:id="266" w:name="_Toc25843"/>
      <w:bookmarkStart w:id="267" w:name="_Toc27183"/>
      <w:r>
        <w:rPr>
          <w:rFonts w:hint="eastAsia" w:ascii="Times New Roman" w:hAnsi="Times New Roman" w:cs="Times New Roman"/>
          <w:b/>
          <w:color w:val="auto"/>
          <w:kern w:val="2"/>
          <w:sz w:val="36"/>
          <w:lang w:val="en-US" w:eastAsia="zh-CN" w:bidi="ar-SA"/>
        </w:rPr>
        <w:t>14</w:t>
      </w:r>
      <w:r>
        <w:rPr>
          <w:rFonts w:hint="default" w:ascii="Times New Roman" w:hAnsi="Times New Roman" w:cs="Times New Roman"/>
          <w:color w:val="auto"/>
        </w:rPr>
        <w:t>调查结论与建议</w:t>
      </w:r>
      <w:bookmarkEnd w:id="264"/>
      <w:bookmarkEnd w:id="265"/>
      <w:bookmarkEnd w:id="266"/>
      <w:bookmarkEnd w:id="267"/>
    </w:p>
    <w:p w14:paraId="484890AC">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68" w:name="_Toc29116"/>
      <w:bookmarkStart w:id="269" w:name="_Toc21714"/>
      <w:bookmarkStart w:id="270" w:name="_Toc138167587"/>
      <w:r>
        <w:rPr>
          <w:rFonts w:hint="eastAsia" w:ascii="Times New Roman" w:hAnsi="Times New Roman" w:cs="Times New Roman"/>
          <w:b/>
          <w:bCs/>
          <w:color w:val="auto"/>
          <w:kern w:val="2"/>
          <w:sz w:val="32"/>
          <w:szCs w:val="32"/>
          <w:lang w:val="en-US" w:eastAsia="zh-CN" w:bidi="ar-SA"/>
        </w:rPr>
        <w:t>14.1</w:t>
      </w:r>
      <w:r>
        <w:rPr>
          <w:rFonts w:hint="default" w:ascii="Times New Roman" w:hAnsi="Times New Roman" w:cs="Times New Roman"/>
          <w:color w:val="auto"/>
        </w:rPr>
        <w:t>工程概况</w:t>
      </w:r>
      <w:bookmarkEnd w:id="268"/>
      <w:bookmarkEnd w:id="269"/>
      <w:bookmarkEnd w:id="270"/>
    </w:p>
    <w:p w14:paraId="151F645D">
      <w:pPr>
        <w:pStyle w:val="24"/>
        <w:pageBreakBefore w:val="0"/>
        <w:widowControl w:val="0"/>
        <w:kinsoku/>
        <w:wordWrap/>
        <w:overflowPunct/>
        <w:topLinePunct w:val="0"/>
        <w:autoSpaceDE/>
        <w:autoSpaceDN/>
        <w:bidi w:val="0"/>
        <w:adjustRightInd w:val="0"/>
        <w:snapToGrid w:val="0"/>
        <w:ind w:firstLine="480"/>
        <w:textAlignment w:val="auto"/>
        <w:rPr>
          <w:rFonts w:hint="eastAsia" w:ascii="Times New Roman" w:hAnsi="Times New Roman" w:cs="Times New Roman"/>
          <w:color w:val="auto"/>
          <w:spacing w:val="-4"/>
          <w:szCs w:val="24"/>
          <w:lang w:eastAsia="zh-CN"/>
        </w:rPr>
      </w:pPr>
      <w:r>
        <w:rPr>
          <w:rFonts w:hint="default" w:ascii="Times New Roman" w:hAnsi="Times New Roman" w:cs="Times New Roman"/>
          <w:color w:val="auto"/>
          <w:spacing w:val="-4"/>
          <w:szCs w:val="24"/>
        </w:rPr>
        <w:t>广安市过境高速公路东环线及渝广高速支线项目（重庆合川境）位于重庆市合川区境内。路线总体呈南北走向，起于合川区三汇镇斑竹院子（川渝界，接四川境段），经三汇镇桂花村、响水村、大田村及小沔镇竹湾村、石窝村，止于小沔镇东北侧石窝村，设小沔枢纽互通与G85渝广高速相接，并设置小沔收费站连接地方公路</w:t>
      </w:r>
      <w:r>
        <w:rPr>
          <w:rFonts w:hint="eastAsia" w:ascii="Times New Roman" w:hAnsi="Times New Roman" w:cs="Times New Roman"/>
          <w:color w:val="auto"/>
          <w:spacing w:val="-4"/>
          <w:szCs w:val="24"/>
          <w:lang w:eastAsia="zh-CN"/>
        </w:rPr>
        <w:t>。</w:t>
      </w:r>
    </w:p>
    <w:p w14:paraId="3037778A">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71" w:name="_Toc8304"/>
      <w:bookmarkStart w:id="272" w:name="_Toc19883"/>
      <w:bookmarkStart w:id="273" w:name="_Toc138167588"/>
      <w:bookmarkStart w:id="274" w:name="_Toc31789"/>
      <w:bookmarkStart w:id="275" w:name="_Toc29984"/>
      <w:bookmarkStart w:id="276" w:name="_Toc23944"/>
      <w:r>
        <w:rPr>
          <w:rFonts w:hint="eastAsia" w:ascii="Times New Roman" w:hAnsi="Times New Roman" w:cs="Times New Roman"/>
          <w:b/>
          <w:bCs/>
          <w:color w:val="auto"/>
          <w:kern w:val="2"/>
          <w:sz w:val="32"/>
          <w:szCs w:val="32"/>
          <w:lang w:val="en-US" w:eastAsia="zh-CN" w:bidi="ar-SA"/>
        </w:rPr>
        <w:t>14.2</w:t>
      </w:r>
      <w:r>
        <w:rPr>
          <w:rFonts w:hint="default" w:ascii="Times New Roman" w:hAnsi="Times New Roman" w:cs="Times New Roman"/>
          <w:color w:val="auto"/>
        </w:rPr>
        <w:t>环境影响调查</w:t>
      </w:r>
      <w:bookmarkEnd w:id="271"/>
      <w:bookmarkEnd w:id="272"/>
      <w:r>
        <w:rPr>
          <w:rFonts w:hint="default" w:ascii="Times New Roman" w:hAnsi="Times New Roman" w:cs="Times New Roman"/>
          <w:color w:val="auto"/>
        </w:rPr>
        <w:t>结论</w:t>
      </w:r>
      <w:bookmarkEnd w:id="273"/>
      <w:bookmarkEnd w:id="274"/>
      <w:bookmarkEnd w:id="275"/>
      <w:bookmarkEnd w:id="276"/>
    </w:p>
    <w:p w14:paraId="091FCFCE">
      <w:pPr>
        <w:pStyle w:val="4"/>
        <w:pageBreakBefore w:val="0"/>
        <w:widowControl w:val="0"/>
        <w:numPr>
          <w:ilvl w:val="0"/>
          <w:numId w:val="0"/>
        </w:numPr>
        <w:kinsoku/>
        <w:wordWrap/>
        <w:overflowPunct/>
        <w:topLinePunct w:val="0"/>
        <w:autoSpaceDE/>
        <w:autoSpaceDN/>
        <w:bidi w:val="0"/>
        <w:adjustRightInd w:val="0"/>
        <w:snapToGrid w:val="0"/>
        <w:ind w:left="720" w:leftChars="0" w:hanging="720" w:firstLineChars="0"/>
        <w:textAlignment w:val="auto"/>
        <w:rPr>
          <w:rFonts w:hint="default" w:ascii="Times New Roman" w:hAnsi="Times New Roman" w:cs="Times New Roman"/>
          <w:color w:val="auto"/>
        </w:rPr>
      </w:pPr>
      <w:bookmarkStart w:id="277" w:name="_Toc5469"/>
      <w:r>
        <w:rPr>
          <w:rFonts w:hint="default" w:ascii="Times New Roman" w:hAnsi="Times New Roman" w:eastAsia="宋体" w:cs="Times New Roman"/>
          <w:b/>
          <w:bCs/>
          <w:color w:val="auto"/>
          <w:kern w:val="2"/>
          <w:sz w:val="30"/>
          <w:szCs w:val="32"/>
          <w:lang w:val="en-US" w:eastAsia="zh-CN" w:bidi="ar-SA"/>
        </w:rPr>
        <w:t>14.2.1</w:t>
      </w:r>
      <w:r>
        <w:rPr>
          <w:rFonts w:hint="default" w:ascii="Times New Roman" w:hAnsi="Times New Roman" w:cs="Times New Roman"/>
          <w:color w:val="auto"/>
        </w:rPr>
        <w:t>生态环境</w:t>
      </w:r>
      <w:bookmarkEnd w:id="277"/>
    </w:p>
    <w:p w14:paraId="740AAD35">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本公路对沿线生态环境影响仅局限于公路永久占地如路基、服务设施等区域，使土地失去植被生长功能，对周围生态环境造成间接影响，但本公路并没有扩大其影响范围，且充分利用地形特征，提高纵坡比例，减少高路堤路段，减少路基占地。通过公路绿化和工程防护措施降低了工程建设对其生态环境的影响。</w:t>
      </w:r>
    </w:p>
    <w:p w14:paraId="53BE7A5B">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）本公路沿线设置的弃渣场、</w:t>
      </w:r>
      <w:r>
        <w:rPr>
          <w:rFonts w:hint="eastAsia" w:cs="Times New Roman"/>
          <w:color w:val="auto"/>
          <w:szCs w:val="24"/>
          <w:lang w:val="en-US" w:eastAsia="zh-CN"/>
        </w:rPr>
        <w:t>弃土场、拌和站</w:t>
      </w:r>
      <w:r>
        <w:rPr>
          <w:rFonts w:hint="default" w:ascii="Times New Roman" w:hAnsi="Times New Roman" w:cs="Times New Roman"/>
          <w:color w:val="auto"/>
          <w:szCs w:val="24"/>
        </w:rPr>
        <w:t>、施工便道等临时用地基本得到了生态恢复，临时占地的复耕、植被恢复工作与工程建设同期进行。目前临时占地经过土地整治后，已基本恢复为绿地、耕地。</w:t>
      </w:r>
    </w:p>
    <w:p w14:paraId="3A82A2CA">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）公路绿化模式采用乔、灌、草相结合的群落结构，遵循了自然生态植被规律，而且本公路绿化植物物种丰富，公路绿化降低了水土流失及生态环境的影响。没有发生因工程建设引发生物入侵风险事故。</w:t>
      </w:r>
    </w:p>
    <w:p w14:paraId="1DB5D6E4">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）本项目</w:t>
      </w:r>
      <w:r>
        <w:rPr>
          <w:rFonts w:hint="eastAsia" w:ascii="Times New Roman" w:hAnsi="Times New Roman" w:cs="Times New Roman"/>
          <w:color w:val="auto"/>
          <w:spacing w:val="-4"/>
          <w:szCs w:val="24"/>
          <w:lang w:eastAsia="zh-CN"/>
        </w:rPr>
        <w:t>主线长9.668km</w:t>
      </w:r>
      <w:r>
        <w:rPr>
          <w:rFonts w:hint="default" w:ascii="Times New Roman" w:hAnsi="Times New Roman" w:cs="Times New Roman"/>
          <w:color w:val="auto"/>
          <w:lang w:val="en-US" w:eastAsia="zh-CN"/>
        </w:rPr>
        <w:t>（加上小沔枢纽互通式立交全线共计10.979km）</w:t>
      </w:r>
      <w:r>
        <w:rPr>
          <w:rFonts w:hint="eastAsia" w:ascii="Times New Roman" w:hAnsi="Times New Roman" w:cs="Times New Roman"/>
          <w:color w:val="auto"/>
          <w:spacing w:val="-4"/>
          <w:szCs w:val="24"/>
          <w:lang w:eastAsia="zh-CN"/>
        </w:rPr>
        <w:t>，设大中桥3座（总长481m），涵洞及通道</w:t>
      </w:r>
      <w:r>
        <w:rPr>
          <w:rFonts w:hint="eastAsia" w:cs="Times New Roman"/>
          <w:color w:val="auto"/>
          <w:spacing w:val="-4"/>
          <w:szCs w:val="24"/>
          <w:lang w:val="en-US" w:eastAsia="zh-CN"/>
        </w:rPr>
        <w:t>57</w:t>
      </w:r>
      <w:r>
        <w:rPr>
          <w:rFonts w:hint="eastAsia" w:ascii="Times New Roman" w:hAnsi="Times New Roman" w:cs="Times New Roman"/>
          <w:color w:val="auto"/>
          <w:spacing w:val="-4"/>
          <w:szCs w:val="24"/>
          <w:lang w:eastAsia="zh-CN"/>
        </w:rPr>
        <w:t>道，车行天桥4座；设互通式立交1处（小沔枢纽互通），匝道收费站1处（小沔收费站）。实际建设取消了原初步设计批复的省界收费站和服务区。工程无隧道。</w:t>
      </w:r>
      <w:r>
        <w:rPr>
          <w:rFonts w:hint="default" w:ascii="Times New Roman" w:hAnsi="Times New Roman" w:cs="Times New Roman"/>
          <w:color w:val="auto"/>
          <w:szCs w:val="24"/>
        </w:rPr>
        <w:t>公路沿线桥涵的设置降低了公路屏障对野生动物活动的阻隔影响。</w:t>
      </w:r>
    </w:p>
    <w:p w14:paraId="17A5339A">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kern w:val="0"/>
          <w:szCs w:val="24"/>
          <w:lang w:bidi="ar"/>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5</w:t>
      </w:r>
      <w:r>
        <w:rPr>
          <w:rFonts w:hint="default" w:ascii="Times New Roman" w:hAnsi="Times New Roman" w:cs="Times New Roman"/>
          <w:color w:val="auto"/>
          <w:szCs w:val="24"/>
        </w:rPr>
        <w:t>）本工程落实了环评及其批复文件相关生态环保措施，如通过优化弃渣场选址，降低了其对土地资源的影响；公路建设尽量减少占用耕地、林地政策及公路绿化等措施，最大限度地降低了因公路建设对沿线农业生态系统和森林生态系统的影响。</w:t>
      </w:r>
      <w:r>
        <w:rPr>
          <w:rFonts w:hint="default" w:ascii="Times New Roman" w:hAnsi="Times New Roman" w:cs="Times New Roman"/>
          <w:bCs/>
          <w:color w:val="auto"/>
          <w:szCs w:val="24"/>
        </w:rPr>
        <w:t>公路</w:t>
      </w:r>
      <w:r>
        <w:rPr>
          <w:rFonts w:hint="default" w:ascii="Times New Roman" w:hAnsi="Times New Roman" w:cs="Times New Roman"/>
          <w:bCs/>
          <w:color w:val="auto"/>
          <w:szCs w:val="24"/>
          <w:lang w:eastAsia="zh-CN"/>
        </w:rPr>
        <w:t>建设扰动植被为区域常见物种</w:t>
      </w:r>
      <w:r>
        <w:rPr>
          <w:rFonts w:hint="default" w:ascii="Times New Roman" w:hAnsi="Times New Roman" w:cs="Times New Roman"/>
          <w:bCs/>
          <w:color w:val="auto"/>
          <w:szCs w:val="24"/>
        </w:rPr>
        <w:t>，对沿线动植物生物多样性、种群及生态系统未产生明显影响</w:t>
      </w:r>
      <w:r>
        <w:rPr>
          <w:rFonts w:hint="default" w:ascii="Times New Roman" w:hAnsi="Times New Roman" w:cs="Times New Roman"/>
          <w:bCs/>
          <w:color w:val="auto"/>
          <w:szCs w:val="24"/>
          <w:lang w:eastAsia="zh-CN"/>
        </w:rPr>
        <w:t>。</w:t>
      </w:r>
      <w:r>
        <w:rPr>
          <w:rFonts w:hint="default" w:ascii="Times New Roman" w:hAnsi="Times New Roman" w:cs="Times New Roman"/>
          <w:color w:val="auto"/>
          <w:szCs w:val="24"/>
        </w:rPr>
        <w:t>本工程对沿线生态环境的影响是可以接受的。</w:t>
      </w:r>
    </w:p>
    <w:p w14:paraId="4E420629">
      <w:pPr>
        <w:pStyle w:val="4"/>
        <w:pageBreakBefore w:val="0"/>
        <w:widowControl w:val="0"/>
        <w:numPr>
          <w:ilvl w:val="0"/>
          <w:numId w:val="0"/>
        </w:numPr>
        <w:kinsoku/>
        <w:wordWrap/>
        <w:overflowPunct/>
        <w:topLinePunct w:val="0"/>
        <w:autoSpaceDE/>
        <w:autoSpaceDN/>
        <w:bidi w:val="0"/>
        <w:adjustRightInd w:val="0"/>
        <w:snapToGrid w:val="0"/>
        <w:ind w:left="720" w:leftChars="0" w:hanging="720" w:firstLineChars="0"/>
        <w:textAlignment w:val="auto"/>
        <w:rPr>
          <w:rFonts w:hint="default" w:ascii="Times New Roman" w:hAnsi="Times New Roman" w:cs="Times New Roman"/>
          <w:color w:val="auto"/>
        </w:rPr>
      </w:pPr>
      <w:bookmarkStart w:id="278" w:name="_Toc32102"/>
      <w:r>
        <w:rPr>
          <w:rFonts w:hint="default" w:ascii="Times New Roman" w:hAnsi="Times New Roman" w:eastAsia="宋体" w:cs="Times New Roman"/>
          <w:b/>
          <w:bCs/>
          <w:color w:val="auto"/>
          <w:kern w:val="2"/>
          <w:sz w:val="30"/>
          <w:szCs w:val="32"/>
          <w:lang w:val="en-US" w:eastAsia="zh-CN" w:bidi="ar-SA"/>
        </w:rPr>
        <w:t>14.2.2</w:t>
      </w:r>
      <w:r>
        <w:rPr>
          <w:rFonts w:hint="default" w:ascii="Times New Roman" w:hAnsi="Times New Roman" w:cs="Times New Roman"/>
          <w:color w:val="auto"/>
        </w:rPr>
        <w:t>声环境影响调查结果</w:t>
      </w:r>
      <w:bookmarkEnd w:id="278"/>
    </w:p>
    <w:p w14:paraId="4D2F698E">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）本次调查主要针对公路中心两侧200m范围内集中的村庄声环境敏感点。根据现场踏勘，实际建设路线评价范围内共分布有</w:t>
      </w:r>
      <w:r>
        <w:rPr>
          <w:rFonts w:hint="eastAsia" w:cs="Times New Roman"/>
          <w:color w:val="auto"/>
          <w:szCs w:val="24"/>
          <w:lang w:val="en-US" w:eastAsia="zh-CN"/>
        </w:rPr>
        <w:t>27</w:t>
      </w:r>
      <w:r>
        <w:rPr>
          <w:rFonts w:hint="default" w:ascii="Times New Roman" w:hAnsi="Times New Roman" w:cs="Times New Roman"/>
          <w:color w:val="auto"/>
          <w:szCs w:val="24"/>
        </w:rPr>
        <w:t>个保护目标，</w:t>
      </w:r>
      <w:r>
        <w:rPr>
          <w:rFonts w:hint="default" w:ascii="Times New Roman" w:hAnsi="Times New Roman" w:cs="Times New Roman"/>
          <w:color w:val="auto"/>
          <w:szCs w:val="24"/>
          <w:lang w:eastAsia="zh-CN"/>
        </w:rPr>
        <w:t>均为</w:t>
      </w:r>
      <w:r>
        <w:rPr>
          <w:rFonts w:hint="default" w:ascii="Times New Roman" w:hAnsi="Times New Roman" w:cs="Times New Roman"/>
          <w:color w:val="auto"/>
          <w:szCs w:val="24"/>
        </w:rPr>
        <w:t>居民敏感点。</w:t>
      </w:r>
    </w:p>
    <w:p w14:paraId="0984A475">
      <w:pPr>
        <w:pStyle w:val="24"/>
        <w:pageBreakBefore w:val="0"/>
        <w:widowControl w:val="0"/>
        <w:kinsoku/>
        <w:wordWrap/>
        <w:overflowPunct/>
        <w:topLinePunct w:val="0"/>
        <w:autoSpaceDE/>
        <w:autoSpaceDN/>
        <w:bidi w:val="0"/>
        <w:adjustRightInd w:val="0"/>
        <w:snapToGrid w:val="0"/>
        <w:ind w:firstLine="480"/>
        <w:textAlignment w:val="auto"/>
        <w:rPr>
          <w:rFonts w:hint="eastAsia" w:cs="Times New Roman"/>
          <w:color w:val="auto"/>
          <w:szCs w:val="24"/>
          <w:lang w:val="en-US" w:eastAsia="zh-CN"/>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）建设单位</w:t>
      </w:r>
      <w:r>
        <w:rPr>
          <w:rFonts w:hint="eastAsia" w:cs="Times New Roman"/>
          <w:color w:val="auto"/>
          <w:szCs w:val="24"/>
          <w:lang w:val="en-US" w:eastAsia="zh-CN"/>
        </w:rPr>
        <w:t>根据实际情况对声环境措施进行调整和优化，已实施声屏障7处1058m，并采取预留资金和跟踪监测的方式，对因车流量增加而产生的环境影响采取相应措施。</w:t>
      </w:r>
    </w:p>
    <w:p w14:paraId="64F1C467">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eastAsia" w:cs="Times New Roman"/>
          <w:color w:val="auto"/>
          <w:szCs w:val="24"/>
          <w:lang w:val="en-US" w:eastAsia="zh-CN"/>
        </w:rPr>
        <w:t>综上，采取了声屏障、跟踪监测、绿化等处理措施后可满足功能区使用要求。</w:t>
      </w:r>
    </w:p>
    <w:p w14:paraId="317373F8">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（3）在现有车流量条件下，</w:t>
      </w:r>
      <w:r>
        <w:rPr>
          <w:rFonts w:hint="eastAsia" w:ascii="Times New Roman" w:hAnsi="Times New Roman" w:cs="Times New Roman"/>
          <w:color w:val="auto"/>
          <w:szCs w:val="24"/>
          <w:lang w:val="en-US" w:eastAsia="zh-CN"/>
        </w:rPr>
        <w:t>根据验收监测结果，现有降噪措施的情况下，</w:t>
      </w:r>
      <w:r>
        <w:rPr>
          <w:rFonts w:hint="default" w:ascii="Times New Roman" w:hAnsi="Times New Roman" w:cs="Times New Roman"/>
          <w:color w:val="auto"/>
          <w:szCs w:val="24"/>
        </w:rPr>
        <w:t>公路沿线所有声环境敏感点处昼间和夜间均能满足</w:t>
      </w:r>
      <w:r>
        <w:rPr>
          <w:rFonts w:hint="default" w:ascii="Times New Roman" w:hAnsi="Times New Roman" w:cs="Times New Roman"/>
          <w:bCs/>
          <w:color w:val="auto"/>
          <w:szCs w:val="24"/>
        </w:rPr>
        <w:t>《声环境质量标准》</w:t>
      </w:r>
      <w:r>
        <w:rPr>
          <w:rFonts w:hint="eastAsia" w:cs="Times New Roman"/>
          <w:bCs/>
          <w:color w:val="auto"/>
          <w:szCs w:val="24"/>
          <w:lang w:eastAsia="zh-CN"/>
        </w:rPr>
        <w:t>（</w:t>
      </w:r>
      <w:r>
        <w:rPr>
          <w:rFonts w:hint="default" w:ascii="Times New Roman" w:hAnsi="Times New Roman" w:cs="Times New Roman"/>
          <w:bCs/>
          <w:color w:val="auto"/>
          <w:szCs w:val="24"/>
        </w:rPr>
        <w:t>GB3096-2008</w:t>
      </w:r>
      <w:r>
        <w:rPr>
          <w:rFonts w:hint="eastAsia" w:cs="Times New Roman"/>
          <w:bCs/>
          <w:color w:val="auto"/>
          <w:szCs w:val="24"/>
          <w:lang w:eastAsia="zh-CN"/>
        </w:rPr>
        <w:t>）</w:t>
      </w:r>
      <w:r>
        <w:rPr>
          <w:rFonts w:hint="default" w:ascii="Times New Roman" w:hAnsi="Times New Roman" w:cs="Times New Roman"/>
          <w:color w:val="auto"/>
          <w:szCs w:val="24"/>
        </w:rPr>
        <w:t>中相应标准限值。</w:t>
      </w:r>
    </w:p>
    <w:p w14:paraId="51F1C5F9">
      <w:pPr>
        <w:pStyle w:val="4"/>
        <w:pageBreakBefore w:val="0"/>
        <w:widowControl w:val="0"/>
        <w:numPr>
          <w:ilvl w:val="0"/>
          <w:numId w:val="0"/>
        </w:numPr>
        <w:kinsoku/>
        <w:wordWrap/>
        <w:overflowPunct/>
        <w:topLinePunct w:val="0"/>
        <w:autoSpaceDE/>
        <w:autoSpaceDN/>
        <w:bidi w:val="0"/>
        <w:adjustRightInd w:val="0"/>
        <w:snapToGrid w:val="0"/>
        <w:ind w:left="720" w:leftChars="0" w:hanging="720" w:firstLineChars="0"/>
        <w:textAlignment w:val="auto"/>
        <w:rPr>
          <w:rFonts w:hint="default" w:ascii="Times New Roman" w:hAnsi="Times New Roman" w:cs="Times New Roman"/>
          <w:color w:val="auto"/>
        </w:rPr>
      </w:pPr>
      <w:bookmarkStart w:id="279" w:name="_Toc19419"/>
      <w:r>
        <w:rPr>
          <w:rFonts w:hint="default" w:ascii="Times New Roman" w:hAnsi="Times New Roman" w:eastAsia="宋体" w:cs="Times New Roman"/>
          <w:b/>
          <w:bCs/>
          <w:color w:val="auto"/>
          <w:kern w:val="2"/>
          <w:sz w:val="30"/>
          <w:szCs w:val="32"/>
          <w:lang w:val="en-US" w:eastAsia="zh-CN" w:bidi="ar-SA"/>
        </w:rPr>
        <w:t>14.2.3</w:t>
      </w:r>
      <w:r>
        <w:rPr>
          <w:rFonts w:hint="default" w:ascii="Times New Roman" w:hAnsi="Times New Roman" w:cs="Times New Roman"/>
          <w:color w:val="auto"/>
        </w:rPr>
        <w:t>水环境和环境风险调查结果</w:t>
      </w:r>
      <w:bookmarkEnd w:id="279"/>
    </w:p>
    <w:p w14:paraId="398EE4BF">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收费站设置了污水处理装置。</w:t>
      </w:r>
      <w:r>
        <w:rPr>
          <w:rFonts w:hint="default" w:ascii="Times New Roman" w:hAnsi="Times New Roman" w:cs="Times New Roman"/>
          <w:color w:val="auto"/>
          <w:szCs w:val="24"/>
          <w:lang w:eastAsia="zh-CN"/>
        </w:rPr>
        <w:t>根据</w:t>
      </w:r>
      <w:r>
        <w:rPr>
          <w:rFonts w:hint="default" w:ascii="Times New Roman" w:hAnsi="Times New Roman" w:cs="Times New Roman"/>
          <w:color w:val="auto"/>
          <w:szCs w:val="24"/>
        </w:rPr>
        <w:t>监测报告，收费站生活污水</w:t>
      </w:r>
      <w:r>
        <w:rPr>
          <w:rStyle w:val="25"/>
          <w:rFonts w:hint="default" w:ascii="Times New Roman" w:hAnsi="Times New Roman" w:cs="Times New Roman"/>
          <w:color w:val="auto"/>
          <w:szCs w:val="24"/>
        </w:rPr>
        <w:t>经处理后</w:t>
      </w:r>
      <w:r>
        <w:rPr>
          <w:rStyle w:val="25"/>
          <w:rFonts w:hint="default" w:ascii="Times New Roman" w:hAnsi="Times New Roman" w:cs="Times New Roman"/>
          <w:color w:val="auto"/>
          <w:szCs w:val="24"/>
          <w:lang w:eastAsia="zh-CN"/>
        </w:rPr>
        <w:t>满足</w:t>
      </w:r>
      <w:r>
        <w:rPr>
          <w:rStyle w:val="25"/>
          <w:rFonts w:hint="eastAsia" w:cs="Times New Roman"/>
          <w:color w:val="auto"/>
          <w:szCs w:val="24"/>
          <w:lang w:eastAsia="zh-CN"/>
        </w:rPr>
        <w:t>《城市污水再生利用 城市杂用水水质》（GB/T18920-2020）</w:t>
      </w:r>
      <w:r>
        <w:rPr>
          <w:rStyle w:val="25"/>
          <w:rFonts w:hint="default" w:ascii="Times New Roman" w:hAnsi="Times New Roman" w:cs="Times New Roman"/>
          <w:color w:val="auto"/>
          <w:szCs w:val="24"/>
        </w:rPr>
        <w:t>中相应标准，用于绿化，不外排</w:t>
      </w:r>
      <w:r>
        <w:rPr>
          <w:rFonts w:hint="default" w:ascii="Times New Roman" w:hAnsi="Times New Roman" w:cs="Times New Roman"/>
          <w:color w:val="auto"/>
          <w:szCs w:val="24"/>
        </w:rPr>
        <w:t>。</w:t>
      </w:r>
    </w:p>
    <w:p w14:paraId="3CCA2043">
      <w:pPr>
        <w:pStyle w:val="4"/>
        <w:pageBreakBefore w:val="0"/>
        <w:widowControl w:val="0"/>
        <w:numPr>
          <w:ilvl w:val="0"/>
          <w:numId w:val="0"/>
        </w:numPr>
        <w:kinsoku/>
        <w:wordWrap/>
        <w:overflowPunct/>
        <w:topLinePunct w:val="0"/>
        <w:autoSpaceDE/>
        <w:autoSpaceDN/>
        <w:bidi w:val="0"/>
        <w:adjustRightInd w:val="0"/>
        <w:snapToGrid w:val="0"/>
        <w:ind w:left="720" w:leftChars="0" w:hanging="720" w:firstLineChars="0"/>
        <w:textAlignment w:val="auto"/>
        <w:rPr>
          <w:rFonts w:hint="default" w:ascii="Times New Roman" w:hAnsi="Times New Roman" w:cs="Times New Roman"/>
          <w:color w:val="auto"/>
        </w:rPr>
      </w:pPr>
      <w:bookmarkStart w:id="280" w:name="_Toc16639"/>
      <w:r>
        <w:rPr>
          <w:rFonts w:hint="default" w:ascii="Times New Roman" w:hAnsi="Times New Roman" w:eastAsia="宋体" w:cs="Times New Roman"/>
          <w:b/>
          <w:bCs/>
          <w:color w:val="auto"/>
          <w:kern w:val="2"/>
          <w:sz w:val="30"/>
          <w:szCs w:val="32"/>
          <w:lang w:val="en-US" w:eastAsia="zh-CN" w:bidi="ar-SA"/>
        </w:rPr>
        <w:t>14.2.4</w:t>
      </w:r>
      <w:r>
        <w:rPr>
          <w:rFonts w:hint="default" w:ascii="Times New Roman" w:hAnsi="Times New Roman" w:cs="Times New Roman"/>
          <w:color w:val="auto"/>
        </w:rPr>
        <w:t>大气、固废环境影响调查结果</w:t>
      </w:r>
      <w:bookmarkEnd w:id="280"/>
    </w:p>
    <w:p w14:paraId="6DC8E29C">
      <w:pPr>
        <w:pageBreakBefore w:val="0"/>
        <w:widowControl w:val="0"/>
        <w:kinsoku/>
        <w:wordWrap/>
        <w:overflowPunct/>
        <w:topLinePunct w:val="0"/>
        <w:autoSpaceDE/>
        <w:autoSpaceDN/>
        <w:bidi w:val="0"/>
        <w:adjustRightInd w:val="0"/>
        <w:snapToGrid w:val="0"/>
        <w:ind w:left="480" w:firstLine="0" w:firstLineChars="0"/>
        <w:textAlignment w:val="auto"/>
        <w:rPr>
          <w:rFonts w:hint="default" w:ascii="Times New Roman" w:hAnsi="Times New Roman" w:cs="Times New Roman"/>
          <w:bCs/>
          <w:color w:val="auto"/>
          <w:szCs w:val="24"/>
        </w:rPr>
      </w:pPr>
      <w:r>
        <w:rPr>
          <w:rFonts w:hint="default" w:ascii="Times New Roman" w:hAnsi="Times New Roman" w:cs="Times New Roman"/>
          <w:bCs/>
          <w:color w:val="auto"/>
          <w:szCs w:val="24"/>
        </w:rPr>
        <w:t>（1）环境空气</w:t>
      </w:r>
    </w:p>
    <w:p w14:paraId="05764A01">
      <w:pPr>
        <w:pStyle w:val="24"/>
        <w:pageBreakBefore w:val="0"/>
        <w:widowControl w:val="0"/>
        <w:kinsoku/>
        <w:wordWrap/>
        <w:overflowPunct/>
        <w:topLinePunct w:val="0"/>
        <w:autoSpaceDE/>
        <w:autoSpaceDN/>
        <w:bidi w:val="0"/>
        <w:adjustRightInd w:val="0"/>
        <w:snapToGrid w:val="0"/>
        <w:ind w:firstLine="480"/>
        <w:textAlignment w:val="auto"/>
        <w:rPr>
          <w:rFonts w:hint="eastAsia" w:ascii="Times New Roman" w:hAnsi="Times New Roman" w:eastAsia="宋体" w:cs="Times New Roman"/>
          <w:color w:val="auto"/>
          <w:szCs w:val="24"/>
          <w:lang w:eastAsia="zh-CN"/>
        </w:rPr>
      </w:pPr>
      <w:r>
        <w:rPr>
          <w:rFonts w:hint="default" w:ascii="Times New Roman" w:hAnsi="Times New Roman" w:cs="Times New Roman"/>
          <w:color w:val="auto"/>
          <w:szCs w:val="24"/>
        </w:rPr>
        <w:t>根据本次竣工验收现场踏勘及公众参与调查结果，项目施工期落实了环评提出的相关环保措施，有效控制和防治了工程建设对沿线环境空气的影响；营运期中汽车尾气排放对周边环境空气影响较小；收费站利用清洁能源，对周边环境空气影响较小。施工期和营运期均未收到环保投诉，对环境空气质量影响不大</w:t>
      </w:r>
      <w:r>
        <w:rPr>
          <w:rFonts w:hint="eastAsia" w:ascii="Times New Roman" w:hAnsi="Times New Roman" w:cs="Times New Roman"/>
          <w:color w:val="auto"/>
          <w:szCs w:val="24"/>
          <w:lang w:eastAsia="zh-CN"/>
        </w:rPr>
        <w:t>。</w:t>
      </w:r>
    </w:p>
    <w:p w14:paraId="6A9E323B">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固体废物</w:t>
      </w:r>
    </w:p>
    <w:p w14:paraId="7AB4CCA8">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运营期，收费站设置了垃圾桶、垃圾房，并安排保洁人员负责清扫，定期由专业垃圾清运公司负责运送至垃圾处理场集中处理。</w:t>
      </w:r>
    </w:p>
    <w:p w14:paraId="05C78EBF">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经采取以上措施后，本工程运营期固体废物对周围环境基本无影响。</w:t>
      </w:r>
    </w:p>
    <w:p w14:paraId="175DA065">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81" w:name="_Toc19324"/>
      <w:bookmarkStart w:id="282" w:name="_Toc31451"/>
      <w:bookmarkStart w:id="283" w:name="_Toc138167589"/>
      <w:bookmarkStart w:id="284" w:name="_Toc19448"/>
      <w:bookmarkStart w:id="285" w:name="_Toc23383"/>
      <w:bookmarkStart w:id="286" w:name="_Toc11623"/>
      <w:r>
        <w:rPr>
          <w:rFonts w:hint="eastAsia" w:ascii="Times New Roman" w:hAnsi="Times New Roman" w:cs="Times New Roman"/>
          <w:b/>
          <w:bCs/>
          <w:color w:val="auto"/>
          <w:kern w:val="2"/>
          <w:sz w:val="32"/>
          <w:szCs w:val="32"/>
          <w:lang w:val="en-US" w:eastAsia="zh-CN" w:bidi="ar-SA"/>
        </w:rPr>
        <w:t>14.3</w:t>
      </w:r>
      <w:r>
        <w:rPr>
          <w:rFonts w:hint="default" w:ascii="Times New Roman" w:hAnsi="Times New Roman" w:cs="Times New Roman"/>
          <w:color w:val="auto"/>
        </w:rPr>
        <w:t>环境管理及监测计划调查结果</w:t>
      </w:r>
      <w:bookmarkEnd w:id="281"/>
      <w:bookmarkEnd w:id="282"/>
      <w:bookmarkEnd w:id="283"/>
      <w:bookmarkEnd w:id="284"/>
      <w:bookmarkEnd w:id="285"/>
      <w:bookmarkEnd w:id="286"/>
    </w:p>
    <w:p w14:paraId="724F5033">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建设单位在公路建设过程和营运期重视环境保护工作，环境管理机构健全。建设单位在施工期建立了较完全的环境管理体系，将环境监理工作纳入了工程监理中，在各施工单位密切配合下，及时处理了施工过程中发现的违反文明施工与环境保护要求的行为，有针对性</w:t>
      </w:r>
      <w:r>
        <w:rPr>
          <w:rFonts w:hint="eastAsia" w:cs="Times New Roman"/>
          <w:color w:val="auto"/>
          <w:szCs w:val="24"/>
          <w:lang w:eastAsia="zh-CN"/>
        </w:rPr>
        <w:t>地</w:t>
      </w:r>
      <w:r>
        <w:rPr>
          <w:rFonts w:hint="default" w:ascii="Times New Roman" w:hAnsi="Times New Roman" w:cs="Times New Roman"/>
          <w:color w:val="auto"/>
          <w:szCs w:val="24"/>
        </w:rPr>
        <w:t>解决了施工中反映出的环境问题。</w:t>
      </w:r>
      <w:r>
        <w:rPr>
          <w:rFonts w:hint="eastAsia" w:cs="Times New Roman"/>
          <w:color w:val="auto"/>
          <w:szCs w:val="24"/>
          <w:lang w:eastAsia="zh-CN"/>
        </w:rPr>
        <w:t>广安市过境高速公路东环线及渝广高速支线项目（重庆合川境）</w:t>
      </w:r>
      <w:r>
        <w:rPr>
          <w:rFonts w:hint="default" w:ascii="Times New Roman" w:hAnsi="Times New Roman" w:cs="Times New Roman"/>
          <w:color w:val="auto"/>
          <w:szCs w:val="24"/>
          <w:lang w:eastAsia="zh-CN"/>
        </w:rPr>
        <w:t>施工期</w:t>
      </w:r>
      <w:r>
        <w:rPr>
          <w:rFonts w:hint="default" w:ascii="Times New Roman" w:hAnsi="Times New Roman" w:cs="Times New Roman"/>
          <w:color w:val="auto"/>
          <w:szCs w:val="24"/>
        </w:rPr>
        <w:t>执行了建设项目环境影响评价制度、环境保护“三同时”制度</w:t>
      </w:r>
    </w:p>
    <w:p w14:paraId="63B6BBC8">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运营期环境管理工作由建设单位设管理处统一协调管理，公司设专人负责环境管理工作，</w:t>
      </w:r>
      <w:r>
        <w:rPr>
          <w:rFonts w:hint="eastAsia" w:cs="Times New Roman"/>
          <w:color w:val="auto"/>
          <w:szCs w:val="24"/>
          <w:lang w:eastAsia="zh-CN"/>
        </w:rPr>
        <w:t>制定了</w:t>
      </w:r>
      <w:r>
        <w:rPr>
          <w:rFonts w:hint="default" w:ascii="Times New Roman" w:hAnsi="Times New Roman" w:cs="Times New Roman"/>
          <w:color w:val="auto"/>
          <w:szCs w:val="24"/>
        </w:rPr>
        <w:t>环水保管理相关规章制度等，层层落实责任制，各项环保相关制度得到有效执行，与工程有关的环境保护及生态保护资料、档案均由公司档案室统一收存、管理。</w:t>
      </w:r>
    </w:p>
    <w:p w14:paraId="02782735">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87" w:name="_Toc621"/>
      <w:bookmarkStart w:id="288" w:name="_Toc712"/>
      <w:bookmarkStart w:id="289" w:name="_Toc24987"/>
      <w:bookmarkStart w:id="290" w:name="_Toc138167590"/>
      <w:bookmarkStart w:id="291" w:name="_Toc21508"/>
      <w:bookmarkStart w:id="292" w:name="_Toc19855"/>
      <w:r>
        <w:rPr>
          <w:rFonts w:hint="eastAsia" w:ascii="Times New Roman" w:hAnsi="Times New Roman" w:cs="Times New Roman"/>
          <w:b/>
          <w:bCs/>
          <w:color w:val="auto"/>
          <w:kern w:val="2"/>
          <w:sz w:val="32"/>
          <w:szCs w:val="32"/>
          <w:lang w:val="en-US" w:eastAsia="zh-CN" w:bidi="ar-SA"/>
        </w:rPr>
        <w:t>14.4</w:t>
      </w:r>
      <w:r>
        <w:rPr>
          <w:rFonts w:hint="default" w:ascii="Times New Roman" w:hAnsi="Times New Roman" w:cs="Times New Roman"/>
          <w:color w:val="auto"/>
        </w:rPr>
        <w:t>公众意见调查结果</w:t>
      </w:r>
      <w:bookmarkEnd w:id="287"/>
      <w:bookmarkEnd w:id="288"/>
      <w:bookmarkEnd w:id="289"/>
      <w:bookmarkEnd w:id="290"/>
      <w:bookmarkEnd w:id="291"/>
      <w:bookmarkEnd w:id="292"/>
    </w:p>
    <w:p w14:paraId="1F4DBA9C">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eastAsia" w:cs="Times New Roman"/>
          <w:color w:val="auto"/>
          <w:szCs w:val="24"/>
          <w:lang w:eastAsia="zh-CN"/>
        </w:rPr>
        <w:t>广安市过境高速公路东环线及渝广高速支线项目（重庆合川境）</w:t>
      </w:r>
      <w:r>
        <w:rPr>
          <w:rFonts w:hint="default" w:ascii="Times New Roman" w:hAnsi="Times New Roman" w:cs="Times New Roman"/>
          <w:color w:val="auto"/>
          <w:szCs w:val="24"/>
        </w:rPr>
        <w:t>建设得到了当地公众的支持，认为本公路建设改善了当地的交通条件，有利于当地的经济和社会发展，100%的被调查者对本工程的环境保护工作感到满意或基本满意。</w:t>
      </w:r>
    </w:p>
    <w:p w14:paraId="5E1B7AEE">
      <w:pPr>
        <w:pStyle w:val="3"/>
        <w:pageBreakBefore w:val="0"/>
        <w:widowControl w:val="0"/>
        <w:numPr>
          <w:ilvl w:val="0"/>
          <w:numId w:val="0"/>
        </w:numPr>
        <w:kinsoku/>
        <w:wordWrap/>
        <w:overflowPunct/>
        <w:topLinePunct w:val="0"/>
        <w:autoSpaceDE/>
        <w:autoSpaceDN/>
        <w:bidi w:val="0"/>
        <w:adjustRightInd w:val="0"/>
        <w:snapToGrid w:val="0"/>
        <w:ind w:left="578" w:leftChars="0" w:hanging="578" w:firstLineChars="0"/>
        <w:textAlignment w:val="auto"/>
        <w:rPr>
          <w:rFonts w:hint="default" w:ascii="Times New Roman" w:hAnsi="Times New Roman" w:cs="Times New Roman"/>
          <w:color w:val="auto"/>
        </w:rPr>
      </w:pPr>
      <w:bookmarkStart w:id="293" w:name="_Toc29961"/>
      <w:bookmarkStart w:id="294" w:name="_Toc13980"/>
      <w:bookmarkStart w:id="295" w:name="_Toc12957"/>
      <w:bookmarkStart w:id="296" w:name="_Toc27304"/>
      <w:bookmarkStart w:id="297" w:name="_Toc138167591"/>
      <w:bookmarkStart w:id="298" w:name="_Toc7117"/>
      <w:r>
        <w:rPr>
          <w:rFonts w:hint="eastAsia" w:ascii="Times New Roman" w:hAnsi="Times New Roman" w:cs="Times New Roman"/>
          <w:b/>
          <w:bCs/>
          <w:color w:val="auto"/>
          <w:kern w:val="2"/>
          <w:sz w:val="32"/>
          <w:szCs w:val="32"/>
          <w:lang w:val="en-US" w:eastAsia="zh-CN" w:bidi="ar-SA"/>
        </w:rPr>
        <w:t>14.5</w:t>
      </w:r>
      <w:r>
        <w:rPr>
          <w:rFonts w:hint="default" w:ascii="Times New Roman" w:hAnsi="Times New Roman" w:cs="Times New Roman"/>
          <w:color w:val="auto"/>
        </w:rPr>
        <w:t>结论</w:t>
      </w:r>
      <w:bookmarkEnd w:id="293"/>
      <w:bookmarkEnd w:id="294"/>
      <w:r>
        <w:rPr>
          <w:rFonts w:hint="default" w:ascii="Times New Roman" w:hAnsi="Times New Roman" w:cs="Times New Roman"/>
          <w:color w:val="auto"/>
        </w:rPr>
        <w:t>与要求</w:t>
      </w:r>
      <w:bookmarkEnd w:id="295"/>
      <w:bookmarkEnd w:id="296"/>
      <w:bookmarkEnd w:id="297"/>
      <w:bookmarkEnd w:id="298"/>
    </w:p>
    <w:p w14:paraId="1725417A">
      <w:pPr>
        <w:pStyle w:val="4"/>
        <w:pageBreakBefore w:val="0"/>
        <w:widowControl w:val="0"/>
        <w:numPr>
          <w:ilvl w:val="0"/>
          <w:numId w:val="0"/>
        </w:numPr>
        <w:kinsoku/>
        <w:wordWrap/>
        <w:overflowPunct/>
        <w:topLinePunct w:val="0"/>
        <w:autoSpaceDE/>
        <w:autoSpaceDN/>
        <w:bidi w:val="0"/>
        <w:adjustRightInd w:val="0"/>
        <w:snapToGrid w:val="0"/>
        <w:ind w:left="720" w:leftChars="0" w:hanging="720" w:firstLineChars="0"/>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14.5.1</w:t>
      </w:r>
      <w:r>
        <w:rPr>
          <w:rFonts w:hint="default" w:ascii="Times New Roman" w:hAnsi="Times New Roman" w:cs="Times New Roman"/>
          <w:color w:val="auto"/>
        </w:rPr>
        <w:t>结论</w:t>
      </w:r>
    </w:p>
    <w:p w14:paraId="41E0FE55">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根据本项目竣工环境保护验收调查结果，</w:t>
      </w:r>
      <w:r>
        <w:rPr>
          <w:rFonts w:hint="eastAsia" w:cs="Times New Roman"/>
          <w:color w:val="auto"/>
          <w:szCs w:val="24"/>
          <w:lang w:eastAsia="zh-CN"/>
        </w:rPr>
        <w:t>广安市过境高速公路东环线及渝广高速支线项目（重庆合川境）</w:t>
      </w:r>
      <w:r>
        <w:rPr>
          <w:rFonts w:hint="default" w:ascii="Times New Roman" w:hAnsi="Times New Roman" w:cs="Times New Roman"/>
          <w:color w:val="auto"/>
          <w:szCs w:val="24"/>
        </w:rPr>
        <w:t>执行了建设项目环境影响评价制度、环境保护“三同时”制度、相关环境保护手续完备。工程在建设和投入运行以来，建设单位和施工单位具有较强的环保意识和责任感</w:t>
      </w:r>
      <w:r>
        <w:rPr>
          <w:rFonts w:hint="eastAsia" w:cs="Times New Roman"/>
          <w:color w:val="auto"/>
          <w:szCs w:val="24"/>
          <w:lang w:eastAsia="zh-CN"/>
        </w:rPr>
        <w:t>，在</w:t>
      </w:r>
      <w:r>
        <w:rPr>
          <w:rFonts w:hint="default" w:ascii="Times New Roman" w:hAnsi="Times New Roman" w:cs="Times New Roman"/>
          <w:color w:val="auto"/>
          <w:szCs w:val="24"/>
        </w:rPr>
        <w:t>建设过程中主动通过优化设计方案，以减缓工程建设对环境的影响，工程环保投资落实到位，主要环保措施已按环评要求落实且措施总体有效，各项环境质量指标满足相关标准，达到了环评报告及其批复文件提出的要求，环境保护设施验收合格。</w:t>
      </w:r>
      <w:r>
        <w:rPr>
          <w:rFonts w:hint="default" w:ascii="Times New Roman" w:hAnsi="Times New Roman" w:cs="Times New Roman"/>
          <w:bCs/>
          <w:color w:val="auto"/>
          <w:szCs w:val="24"/>
          <w:lang w:eastAsia="zh-CN"/>
        </w:rPr>
        <w:t>广安市过境高速公路东环线及渝广高速支线项目（重庆合川境）</w:t>
      </w:r>
      <w:r>
        <w:rPr>
          <w:rFonts w:hint="default" w:ascii="Times New Roman" w:hAnsi="Times New Roman" w:cs="Times New Roman"/>
          <w:bCs/>
          <w:color w:val="auto"/>
          <w:szCs w:val="24"/>
        </w:rPr>
        <w:t>无《建设项目竣工环境保护验收暂行办法》中规定不予通过环保验收的九种情形，项目满足验收条件，建议通过竣工环境保护验收。</w:t>
      </w:r>
    </w:p>
    <w:p w14:paraId="757B3786">
      <w:pPr>
        <w:pStyle w:val="4"/>
        <w:pageBreakBefore w:val="0"/>
        <w:widowControl w:val="0"/>
        <w:numPr>
          <w:ilvl w:val="0"/>
          <w:numId w:val="0"/>
        </w:numPr>
        <w:kinsoku/>
        <w:wordWrap/>
        <w:overflowPunct/>
        <w:topLinePunct w:val="0"/>
        <w:autoSpaceDE/>
        <w:autoSpaceDN/>
        <w:bidi w:val="0"/>
        <w:adjustRightInd w:val="0"/>
        <w:snapToGrid w:val="0"/>
        <w:ind w:left="720" w:leftChars="0" w:hanging="720" w:firstLineChars="0"/>
        <w:textAlignment w:val="auto"/>
        <w:rPr>
          <w:rFonts w:hint="default" w:ascii="Times New Roman" w:hAnsi="Times New Roman" w:cs="Times New Roman"/>
          <w:color w:val="auto"/>
        </w:rPr>
      </w:pPr>
      <w:r>
        <w:rPr>
          <w:rFonts w:hint="default" w:ascii="Times New Roman" w:hAnsi="Times New Roman" w:eastAsia="宋体" w:cs="Times New Roman"/>
          <w:b/>
          <w:bCs/>
          <w:color w:val="auto"/>
          <w:kern w:val="2"/>
          <w:sz w:val="30"/>
          <w:szCs w:val="32"/>
          <w:lang w:val="en-US" w:eastAsia="zh-CN" w:bidi="ar-SA"/>
        </w:rPr>
        <w:t>14.5.2</w:t>
      </w:r>
      <w:r>
        <w:rPr>
          <w:rFonts w:hint="default" w:ascii="Times New Roman" w:hAnsi="Times New Roman" w:cs="Times New Roman"/>
          <w:color w:val="auto"/>
        </w:rPr>
        <w:t>后续要求</w:t>
      </w:r>
      <w:r>
        <w:rPr>
          <w:rFonts w:hint="default" w:ascii="Times New Roman" w:hAnsi="Times New Roman" w:cs="Times New Roman"/>
          <w:color w:val="auto"/>
        </w:rPr>
        <w:tab/>
      </w:r>
    </w:p>
    <w:p w14:paraId="1A7953AC">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rPr>
        <w:t>）不断完善突发环境事件应急预案，储备足量风险应急物资，定期开展应急预案演练。</w:t>
      </w:r>
    </w:p>
    <w:p w14:paraId="12BC6914">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2</w:t>
      </w:r>
      <w:r>
        <w:rPr>
          <w:rFonts w:hint="default" w:ascii="Times New Roman" w:hAnsi="Times New Roman" w:cs="Times New Roman"/>
          <w:color w:val="auto"/>
          <w:szCs w:val="24"/>
        </w:rPr>
        <w:t>）进一步加强污水处理设施的管理，在收费站指定专人对污水处理设备进行定期</w:t>
      </w:r>
      <w:r>
        <w:rPr>
          <w:rFonts w:hint="default" w:ascii="Times New Roman" w:hAnsi="Times New Roman" w:cs="Times New Roman"/>
          <w:color w:val="auto"/>
          <w:szCs w:val="24"/>
          <w:lang w:eastAsia="zh-CN"/>
        </w:rPr>
        <w:t>维护</w:t>
      </w:r>
      <w:r>
        <w:rPr>
          <w:rFonts w:hint="default" w:ascii="Times New Roman" w:hAnsi="Times New Roman" w:cs="Times New Roman"/>
          <w:color w:val="auto"/>
          <w:szCs w:val="24"/>
        </w:rPr>
        <w:t>，并完善污泥清运台账。</w:t>
      </w:r>
    </w:p>
    <w:p w14:paraId="5EFC42FB">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3</w:t>
      </w:r>
      <w:r>
        <w:rPr>
          <w:rFonts w:hint="default" w:ascii="Times New Roman" w:hAnsi="Times New Roman" w:cs="Times New Roman"/>
          <w:color w:val="auto"/>
          <w:szCs w:val="24"/>
        </w:rPr>
        <w:t>）做好与承包单位的沟通工作，使其加强对生活垃圾存放点的管理工作。</w:t>
      </w:r>
    </w:p>
    <w:p w14:paraId="7171E406">
      <w:pPr>
        <w:pStyle w:val="24"/>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szCs w:val="24"/>
        </w:rPr>
        <w:t>（</w:t>
      </w:r>
      <w:r>
        <w:rPr>
          <w:rFonts w:hint="default" w:ascii="Times New Roman" w:hAnsi="Times New Roman" w:cs="Times New Roman"/>
          <w:color w:val="auto"/>
          <w:szCs w:val="24"/>
          <w:lang w:eastAsia="zh-CN"/>
        </w:rPr>
        <w:t>4</w:t>
      </w:r>
      <w:r>
        <w:rPr>
          <w:rFonts w:hint="default" w:ascii="Times New Roman" w:hAnsi="Times New Roman" w:cs="Times New Roman"/>
          <w:color w:val="auto"/>
          <w:szCs w:val="24"/>
        </w:rPr>
        <w:t>）进一步加强</w:t>
      </w:r>
      <w:r>
        <w:rPr>
          <w:rFonts w:hint="default" w:ascii="Times New Roman" w:hAnsi="Times New Roman" w:cs="Times New Roman"/>
          <w:color w:val="auto"/>
          <w:szCs w:val="24"/>
          <w:lang w:eastAsia="zh-CN"/>
        </w:rPr>
        <w:t>公路</w:t>
      </w:r>
      <w:r>
        <w:rPr>
          <w:rFonts w:hint="default" w:ascii="Times New Roman" w:hAnsi="Times New Roman" w:cs="Times New Roman"/>
          <w:color w:val="auto"/>
          <w:szCs w:val="24"/>
        </w:rPr>
        <w:t>沿线敏感目标噪声跟踪监测，根据实际情况采取降噪措施，确保交通噪声不扰民。</w:t>
      </w:r>
    </w:p>
    <w:p w14:paraId="500CD9C6">
      <w:pPr>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szCs w:val="24"/>
        </w:rPr>
      </w:pPr>
    </w:p>
    <w:p w14:paraId="5B58AABF">
      <w:pPr>
        <w:pStyle w:val="24"/>
        <w:ind w:firstLine="480"/>
        <w:rPr>
          <w:rFonts w:hint="default" w:ascii="Times New Roman" w:hAnsi="Times New Roman" w:cs="Times New Roman"/>
          <w:color w:val="auto"/>
          <w:kern w:val="0"/>
          <w:szCs w:val="24"/>
          <w:lang w:val="en-US" w:eastAsia="zh-CN"/>
        </w:rPr>
      </w:pP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F78C19">
    <w:pPr>
      <w:pStyle w:val="14"/>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BE8F3F">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55DA4">
    <w:pPr>
      <w:pStyle w:val="14"/>
      <w:ind w:firstLine="0" w:firstLineChars="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9AF093">
    <w:pPr>
      <w:pStyle w:val="14"/>
      <w:ind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AFB4E7">
    <w:pPr>
      <w:pStyle w:val="14"/>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48CEF">
    <w:pPr>
      <w:pStyle w:val="14"/>
      <w:ind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62F56">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14:paraId="03862F56">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44B957">
    <w:pPr>
      <w:pStyle w:val="14"/>
      <w:ind w:firstLine="0" w:firstLineChars="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1E5980">
                          <w:pPr>
                            <w:pStyle w:val="14"/>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651E5980">
                    <w:pPr>
                      <w:pStyle w:val="14"/>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E30B09">
    <w:pPr>
      <w:pStyle w:val="14"/>
      <w:ind w:firstLine="0" w:firstLineChars="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1B48F0">
                          <w:pPr>
                            <w:pStyle w:val="14"/>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p w14:paraId="191B48F0">
                    <w:pPr>
                      <w:pStyle w:val="14"/>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29671">
    <w:pPr>
      <w:pStyle w:val="14"/>
      <w:ind w:firstLine="0" w:firstLineChars="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1BD4A9">
                          <w:pPr>
                            <w:pStyle w:val="14"/>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1C1BD4A9">
                    <w:pPr>
                      <w:pStyle w:val="14"/>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1E495">
    <w:pPr>
      <w:pBdr>
        <w:bottom w:val="single" w:color="auto" w:sz="2" w:space="1"/>
      </w:pBdr>
      <w:spacing w:before="120" w:beforeLines="50" w:after="120" w:afterLines="50" w:line="240" w:lineRule="auto"/>
      <w:ind w:firstLine="0" w:firstLineChars="0"/>
      <w:jc w:val="center"/>
      <w:rPr>
        <w:rFonts w:ascii="Calibri" w:hAnsi="Calibri"/>
        <w:kern w:val="0"/>
        <w:sz w:val="18"/>
        <w:szCs w:val="18"/>
      </w:rPr>
    </w:pPr>
    <w:r>
      <w:rPr>
        <w:rFonts w:hint="eastAsia" w:ascii="Calibri" w:hAnsi="Calibri"/>
        <w:kern w:val="0"/>
        <w:sz w:val="18"/>
        <w:szCs w:val="18"/>
        <w:lang w:eastAsia="zh-CN"/>
      </w:rPr>
      <w:t>广安市过境高速公路东环线及渝广高速支线项目（重庆合川境）（重新报批）</w:t>
    </w:r>
    <w:r>
      <w:rPr>
        <w:rFonts w:ascii="Calibri" w:hAnsi="Calibri"/>
        <w:kern w:val="0"/>
        <w:sz w:val="18"/>
        <w:szCs w:val="18"/>
      </w:rPr>
      <w:t>竣工环境保护验收调查报告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9AAD7E">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883429">
    <w:pPr>
      <w:pStyle w:val="15"/>
      <w:pBdr>
        <w:bottom w:val="none" w:color="auto" w:sz="0" w:space="0"/>
      </w:pBdr>
      <w:spacing w:line="240" w:lineRule="auto"/>
      <w:ind w:firstLine="0" w:firstLineChars="0"/>
      <w:rPr>
        <w:rFonts w:hint="eastAsia"/>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60E9B">
    <w:pPr>
      <w:pBdr>
        <w:bottom w:val="single" w:color="auto" w:sz="2" w:space="1"/>
      </w:pBdr>
      <w:spacing w:before="120" w:beforeLines="50" w:after="120" w:afterLines="50" w:line="240" w:lineRule="auto"/>
      <w:ind w:firstLine="0" w:firstLineChars="0"/>
      <w:jc w:val="center"/>
      <w:rPr>
        <w:rFonts w:ascii="Calibri" w:hAnsi="Calibri"/>
        <w:kern w:val="0"/>
        <w:sz w:val="18"/>
        <w:szCs w:val="18"/>
      </w:rPr>
    </w:pPr>
    <w:r>
      <w:rPr>
        <w:rFonts w:hint="eastAsia" w:ascii="Calibri" w:hAnsi="Calibri"/>
        <w:kern w:val="0"/>
        <w:sz w:val="18"/>
        <w:szCs w:val="18"/>
        <w:lang w:eastAsia="zh-CN"/>
      </w:rPr>
      <w:t>广安市过境高速公路东环线及渝广高速支线项目（重庆合川境）（重新报批）</w:t>
    </w:r>
    <w:r>
      <w:rPr>
        <w:rFonts w:ascii="Calibri" w:hAnsi="Calibri"/>
        <w:kern w:val="0"/>
        <w:sz w:val="18"/>
        <w:szCs w:val="18"/>
      </w:rPr>
      <w:t>竣工环境保护验收调查报告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6CC8C3">
    <w:pPr>
      <w:pBdr>
        <w:bottom w:val="single" w:color="auto" w:sz="2" w:space="1"/>
      </w:pBdr>
      <w:spacing w:before="120" w:beforeLines="50" w:after="120" w:afterLines="50" w:line="240" w:lineRule="auto"/>
      <w:ind w:firstLine="0" w:firstLineChars="0"/>
      <w:jc w:val="center"/>
      <w:rPr>
        <w:rFonts w:ascii="Calibri" w:hAnsi="Calibri"/>
        <w:kern w:val="0"/>
        <w:sz w:val="18"/>
        <w:szCs w:val="18"/>
      </w:rPr>
    </w:pPr>
    <w:r>
      <w:rPr>
        <w:rFonts w:hint="eastAsia" w:ascii="Calibri" w:hAnsi="Calibri"/>
        <w:kern w:val="0"/>
        <w:sz w:val="18"/>
        <w:szCs w:val="18"/>
        <w:lang w:eastAsia="zh-CN"/>
      </w:rPr>
      <w:t>广安市过境高速公路东环线及渝广高速支线（四川境）</w:t>
    </w:r>
    <w:r>
      <w:rPr>
        <w:rFonts w:ascii="Calibri" w:hAnsi="Calibri"/>
        <w:kern w:val="0"/>
        <w:sz w:val="18"/>
        <w:szCs w:val="18"/>
      </w:rPr>
      <w:t>竣工环境保护验收调查报告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90BAAAC"/>
    <w:multiLevelType w:val="multilevel"/>
    <w:tmpl w:val="E90BAAAC"/>
    <w:lvl w:ilvl="0" w:tentative="0">
      <w:start w:val="1"/>
      <w:numFmt w:val="decimal"/>
      <w:suff w:val="nothing"/>
      <w:lvlText w:val="%1"/>
      <w:lvlJc w:val="center"/>
      <w:pPr>
        <w:tabs>
          <w:tab w:val="left" w:pos="0"/>
        </w:tabs>
        <w:ind w:left="0" w:firstLine="0"/>
      </w:pPr>
      <w:rPr>
        <w:rFonts w:hint="default"/>
      </w:rPr>
    </w:lvl>
    <w:lvl w:ilvl="1" w:tentative="0">
      <w:start w:val="1"/>
      <w:numFmt w:val="decimal"/>
      <w:suff w:val="nothing"/>
      <w:lvlText w:val="%1.%2"/>
      <w:lvlJc w:val="left"/>
      <w:pPr>
        <w:tabs>
          <w:tab w:val="left" w:pos="0"/>
        </w:tabs>
        <w:ind w:left="0" w:firstLine="0"/>
      </w:pPr>
      <w:rPr>
        <w:rFonts w:hint="default"/>
      </w:rPr>
    </w:lvl>
    <w:lvl w:ilvl="2" w:tentative="0">
      <w:start w:val="1"/>
      <w:numFmt w:val="decimal"/>
      <w:suff w:val="nothing"/>
      <w:lvlText w:val="%1.%2.%3"/>
      <w:lvlJc w:val="left"/>
      <w:pPr>
        <w:tabs>
          <w:tab w:val="left" w:pos="0"/>
        </w:tabs>
        <w:ind w:left="0" w:firstLine="0"/>
      </w:pPr>
      <w:rPr>
        <w:rFonts w:hint="default"/>
      </w:rPr>
    </w:lvl>
    <w:lvl w:ilvl="3" w:tentative="0">
      <w:start w:val="1"/>
      <w:numFmt w:val="decimal"/>
      <w:suff w:val="nothing"/>
      <w:lvlText w:val="%1.%2.%3.%4"/>
      <w:lvlJc w:val="left"/>
      <w:pPr>
        <w:tabs>
          <w:tab w:val="left" w:pos="0"/>
        </w:tabs>
        <w:ind w:left="0" w:firstLine="0"/>
      </w:pPr>
      <w:rPr>
        <w:rFonts w:hint="default" w:ascii="Times New Roman" w:hAnsi="Times New Roman" w:eastAsia="宋体" w:cs="Times New Roman"/>
      </w:rPr>
    </w:lvl>
    <w:lvl w:ilvl="4" w:tentative="0">
      <w:start w:val="1"/>
      <w:numFmt w:val="decimal"/>
      <w:lvlRestart w:val="2"/>
      <w:suff w:val="nothing"/>
      <w:lvlText w:val="表%1.%2-%5  "/>
      <w:lvlJc w:val="center"/>
      <w:pPr>
        <w:tabs>
          <w:tab w:val="left" w:pos="0"/>
        </w:tabs>
        <w:ind w:left="0" w:firstLine="0"/>
      </w:pPr>
      <w:rPr>
        <w:rFonts w:hint="default"/>
      </w:rPr>
    </w:lvl>
    <w:lvl w:ilvl="5" w:tentative="0">
      <w:start w:val="1"/>
      <w:numFmt w:val="decimal"/>
      <w:lvlRestart w:val="2"/>
      <w:pStyle w:val="7"/>
      <w:suff w:val="nothing"/>
      <w:lvlText w:val="图%1.%2-%6  "/>
      <w:lvlJc w:val="center"/>
      <w:pPr>
        <w:tabs>
          <w:tab w:val="left" w:pos="0"/>
        </w:tabs>
        <w:ind w:left="0" w:firstLine="0"/>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
    <w:nsid w:val="71C43596"/>
    <w:multiLevelType w:val="multilevel"/>
    <w:tmpl w:val="71C43596"/>
    <w:lvl w:ilvl="0" w:tentative="0">
      <w:start w:val="1"/>
      <w:numFmt w:val="decimal"/>
      <w:lvlText w:val="%1"/>
      <w:lvlJc w:val="left"/>
      <w:pPr>
        <w:ind w:left="432" w:hanging="432"/>
      </w:pPr>
      <w:rPr>
        <w:rFonts w:hint="eastAsia"/>
        <w:b/>
      </w:rPr>
    </w:lvl>
    <w:lvl w:ilvl="1" w:tentative="0">
      <w:start w:val="1"/>
      <w:numFmt w:val="decimal"/>
      <w:pStyle w:val="3"/>
      <w:lvlText w:val="%1.%2"/>
      <w:lvlJc w:val="left"/>
      <w:pPr>
        <w:ind w:left="576" w:hanging="576"/>
      </w:pPr>
      <w:rPr>
        <w:rFonts w:hint="eastAsia"/>
        <w:b/>
      </w:rPr>
    </w:lvl>
    <w:lvl w:ilvl="2" w:tentative="0">
      <w:start w:val="1"/>
      <w:numFmt w:val="decimal"/>
      <w:pStyle w:val="4"/>
      <w:lvlText w:val="%1.%2.%3"/>
      <w:lvlJc w:val="left"/>
      <w:pPr>
        <w:ind w:left="720" w:hanging="720"/>
      </w:pPr>
      <w:rPr>
        <w:rFonts w:hint="default" w:ascii="Times New Roman" w:hAnsi="Times New Roman" w:eastAsia="宋体" w:cs="Times New Roman"/>
        <w:b/>
      </w:rPr>
    </w:lvl>
    <w:lvl w:ilvl="3" w:tentative="0">
      <w:start w:val="1"/>
      <w:numFmt w:val="decimal"/>
      <w:pStyle w:val="5"/>
      <w:lvlText w:val="%1.%2.%3.%4"/>
      <w:lvlJc w:val="left"/>
      <w:pPr>
        <w:ind w:left="1148"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123D43"/>
    <w:rsid w:val="00201518"/>
    <w:rsid w:val="00B348AF"/>
    <w:rsid w:val="00DC5E6F"/>
    <w:rsid w:val="00F705B3"/>
    <w:rsid w:val="00FC572B"/>
    <w:rsid w:val="01270860"/>
    <w:rsid w:val="01830099"/>
    <w:rsid w:val="02070CCA"/>
    <w:rsid w:val="0285230E"/>
    <w:rsid w:val="02897931"/>
    <w:rsid w:val="02BF77F6"/>
    <w:rsid w:val="0306272D"/>
    <w:rsid w:val="03125B78"/>
    <w:rsid w:val="03572A89"/>
    <w:rsid w:val="03BC548E"/>
    <w:rsid w:val="047D2C92"/>
    <w:rsid w:val="04854128"/>
    <w:rsid w:val="04F840FD"/>
    <w:rsid w:val="05635592"/>
    <w:rsid w:val="05EF2F96"/>
    <w:rsid w:val="06222669"/>
    <w:rsid w:val="064016C0"/>
    <w:rsid w:val="06430CCF"/>
    <w:rsid w:val="069C40D7"/>
    <w:rsid w:val="06D50ECD"/>
    <w:rsid w:val="06FC3C22"/>
    <w:rsid w:val="070954E4"/>
    <w:rsid w:val="07266C48"/>
    <w:rsid w:val="07491710"/>
    <w:rsid w:val="07A50D69"/>
    <w:rsid w:val="08394D9B"/>
    <w:rsid w:val="08430582"/>
    <w:rsid w:val="086A1FB2"/>
    <w:rsid w:val="0870581B"/>
    <w:rsid w:val="0894165F"/>
    <w:rsid w:val="08A16107"/>
    <w:rsid w:val="08BD33F4"/>
    <w:rsid w:val="093D027B"/>
    <w:rsid w:val="09604CCC"/>
    <w:rsid w:val="09E244F6"/>
    <w:rsid w:val="0A481E7F"/>
    <w:rsid w:val="0A652442"/>
    <w:rsid w:val="0B0F437F"/>
    <w:rsid w:val="0B5E1F3F"/>
    <w:rsid w:val="0BB05F2E"/>
    <w:rsid w:val="0BC45693"/>
    <w:rsid w:val="0C800F2D"/>
    <w:rsid w:val="0C865CAD"/>
    <w:rsid w:val="0D584ACF"/>
    <w:rsid w:val="0DB77A48"/>
    <w:rsid w:val="0DD04666"/>
    <w:rsid w:val="0E07732B"/>
    <w:rsid w:val="0E1A2561"/>
    <w:rsid w:val="0E787B2B"/>
    <w:rsid w:val="0EA72A82"/>
    <w:rsid w:val="0ECA566D"/>
    <w:rsid w:val="0ECF2B6F"/>
    <w:rsid w:val="0FAC2EB1"/>
    <w:rsid w:val="1077526D"/>
    <w:rsid w:val="10CC55B8"/>
    <w:rsid w:val="10F42D61"/>
    <w:rsid w:val="112631E6"/>
    <w:rsid w:val="114C494B"/>
    <w:rsid w:val="119111B9"/>
    <w:rsid w:val="12887C05"/>
    <w:rsid w:val="12B90FF9"/>
    <w:rsid w:val="12C80001"/>
    <w:rsid w:val="12CF75E2"/>
    <w:rsid w:val="12D270D2"/>
    <w:rsid w:val="1319085D"/>
    <w:rsid w:val="131E40C5"/>
    <w:rsid w:val="131F5627"/>
    <w:rsid w:val="13EE3A9D"/>
    <w:rsid w:val="14125AB5"/>
    <w:rsid w:val="144731A8"/>
    <w:rsid w:val="146E5017"/>
    <w:rsid w:val="148278C7"/>
    <w:rsid w:val="14BB2EC0"/>
    <w:rsid w:val="151242F3"/>
    <w:rsid w:val="155D0768"/>
    <w:rsid w:val="156A1844"/>
    <w:rsid w:val="158226E9"/>
    <w:rsid w:val="15A15D31"/>
    <w:rsid w:val="15AF54A9"/>
    <w:rsid w:val="15AF5550"/>
    <w:rsid w:val="15E95BB3"/>
    <w:rsid w:val="16516824"/>
    <w:rsid w:val="16CC7018"/>
    <w:rsid w:val="180933E1"/>
    <w:rsid w:val="18354F62"/>
    <w:rsid w:val="18722EE9"/>
    <w:rsid w:val="188F1A4B"/>
    <w:rsid w:val="189D786A"/>
    <w:rsid w:val="18DB235E"/>
    <w:rsid w:val="18FF1F3A"/>
    <w:rsid w:val="19270E9F"/>
    <w:rsid w:val="192B3DED"/>
    <w:rsid w:val="195A6844"/>
    <w:rsid w:val="19810F0A"/>
    <w:rsid w:val="19BB5E78"/>
    <w:rsid w:val="1A23160D"/>
    <w:rsid w:val="1A4E0D98"/>
    <w:rsid w:val="1A765A93"/>
    <w:rsid w:val="1A861E2C"/>
    <w:rsid w:val="1AAA7F6C"/>
    <w:rsid w:val="1ACA659B"/>
    <w:rsid w:val="1B1F09DB"/>
    <w:rsid w:val="1B495A57"/>
    <w:rsid w:val="1B707488"/>
    <w:rsid w:val="1B8D003A"/>
    <w:rsid w:val="1B920893"/>
    <w:rsid w:val="1BA23AE5"/>
    <w:rsid w:val="1BDC68CC"/>
    <w:rsid w:val="1BE7296E"/>
    <w:rsid w:val="1C165E56"/>
    <w:rsid w:val="1CF3013A"/>
    <w:rsid w:val="1CF53AEB"/>
    <w:rsid w:val="1D532A47"/>
    <w:rsid w:val="1D8E3BF5"/>
    <w:rsid w:val="1DA862F8"/>
    <w:rsid w:val="1DB256B1"/>
    <w:rsid w:val="1DDD2B47"/>
    <w:rsid w:val="1E3D5D47"/>
    <w:rsid w:val="1E996432"/>
    <w:rsid w:val="1F152820"/>
    <w:rsid w:val="1F2B4461"/>
    <w:rsid w:val="1F5D69E3"/>
    <w:rsid w:val="1F803EEA"/>
    <w:rsid w:val="1FA64846"/>
    <w:rsid w:val="208E488C"/>
    <w:rsid w:val="212B00D9"/>
    <w:rsid w:val="21BA76AF"/>
    <w:rsid w:val="21CE380D"/>
    <w:rsid w:val="21E12E8E"/>
    <w:rsid w:val="22A5735C"/>
    <w:rsid w:val="22A94FEB"/>
    <w:rsid w:val="22BE6D2B"/>
    <w:rsid w:val="22EF5136"/>
    <w:rsid w:val="23012161"/>
    <w:rsid w:val="23052BAC"/>
    <w:rsid w:val="23104742"/>
    <w:rsid w:val="23470B98"/>
    <w:rsid w:val="23B44C50"/>
    <w:rsid w:val="23EA25D3"/>
    <w:rsid w:val="2452597D"/>
    <w:rsid w:val="24B92849"/>
    <w:rsid w:val="24C1427D"/>
    <w:rsid w:val="24D57369"/>
    <w:rsid w:val="24ED13A7"/>
    <w:rsid w:val="25327207"/>
    <w:rsid w:val="25DD571A"/>
    <w:rsid w:val="25EF3DCB"/>
    <w:rsid w:val="26024DD2"/>
    <w:rsid w:val="26D33207"/>
    <w:rsid w:val="27115DAD"/>
    <w:rsid w:val="2789399C"/>
    <w:rsid w:val="27903CF9"/>
    <w:rsid w:val="27CE3EC7"/>
    <w:rsid w:val="27D75B9B"/>
    <w:rsid w:val="28844573"/>
    <w:rsid w:val="28B67E92"/>
    <w:rsid w:val="28E44026"/>
    <w:rsid w:val="28ED2118"/>
    <w:rsid w:val="29A83176"/>
    <w:rsid w:val="29EA6420"/>
    <w:rsid w:val="2A554419"/>
    <w:rsid w:val="2AE13EFE"/>
    <w:rsid w:val="2B193CEA"/>
    <w:rsid w:val="2B842AF5"/>
    <w:rsid w:val="2BE94E19"/>
    <w:rsid w:val="2BF81500"/>
    <w:rsid w:val="2BFF63EA"/>
    <w:rsid w:val="2C4D184B"/>
    <w:rsid w:val="2D407B1A"/>
    <w:rsid w:val="2D777B5B"/>
    <w:rsid w:val="2DB42C49"/>
    <w:rsid w:val="2E3D5B09"/>
    <w:rsid w:val="2E4D6D55"/>
    <w:rsid w:val="2E6F2F9F"/>
    <w:rsid w:val="2F0A036D"/>
    <w:rsid w:val="2F713AA3"/>
    <w:rsid w:val="2F7B3BF2"/>
    <w:rsid w:val="30405223"/>
    <w:rsid w:val="309E7CC1"/>
    <w:rsid w:val="30AE6631"/>
    <w:rsid w:val="30D23A2D"/>
    <w:rsid w:val="30F424A1"/>
    <w:rsid w:val="31052FA1"/>
    <w:rsid w:val="31274EDA"/>
    <w:rsid w:val="315F6EEF"/>
    <w:rsid w:val="31D26081"/>
    <w:rsid w:val="31E247E4"/>
    <w:rsid w:val="31EF77BD"/>
    <w:rsid w:val="321B6AA1"/>
    <w:rsid w:val="3220530C"/>
    <w:rsid w:val="329878D3"/>
    <w:rsid w:val="329A50BF"/>
    <w:rsid w:val="32EC4290"/>
    <w:rsid w:val="32F90396"/>
    <w:rsid w:val="33596D28"/>
    <w:rsid w:val="33605D91"/>
    <w:rsid w:val="338C4253"/>
    <w:rsid w:val="3391030A"/>
    <w:rsid w:val="33A03224"/>
    <w:rsid w:val="33A238CF"/>
    <w:rsid w:val="33C5616B"/>
    <w:rsid w:val="33E84D30"/>
    <w:rsid w:val="33EF542C"/>
    <w:rsid w:val="34314FF4"/>
    <w:rsid w:val="34383DD1"/>
    <w:rsid w:val="344D4116"/>
    <w:rsid w:val="3482361C"/>
    <w:rsid w:val="348B555F"/>
    <w:rsid w:val="349D0E96"/>
    <w:rsid w:val="34A25033"/>
    <w:rsid w:val="34B63B69"/>
    <w:rsid w:val="34C658C8"/>
    <w:rsid w:val="34CA0D23"/>
    <w:rsid w:val="34F714D6"/>
    <w:rsid w:val="34FD2C90"/>
    <w:rsid w:val="35470E02"/>
    <w:rsid w:val="358E6A31"/>
    <w:rsid w:val="35AC64A1"/>
    <w:rsid w:val="36435E6F"/>
    <w:rsid w:val="36475BB9"/>
    <w:rsid w:val="366E25F0"/>
    <w:rsid w:val="367662E2"/>
    <w:rsid w:val="3681331C"/>
    <w:rsid w:val="369754C7"/>
    <w:rsid w:val="36C7044C"/>
    <w:rsid w:val="36D4720F"/>
    <w:rsid w:val="370C65DF"/>
    <w:rsid w:val="377E29CE"/>
    <w:rsid w:val="382F0057"/>
    <w:rsid w:val="38513BFB"/>
    <w:rsid w:val="38657F1D"/>
    <w:rsid w:val="38734C00"/>
    <w:rsid w:val="3885411B"/>
    <w:rsid w:val="38CF19E7"/>
    <w:rsid w:val="39205782"/>
    <w:rsid w:val="39335925"/>
    <w:rsid w:val="394C636C"/>
    <w:rsid w:val="39657AA9"/>
    <w:rsid w:val="39691347"/>
    <w:rsid w:val="39971CFC"/>
    <w:rsid w:val="39BC0814"/>
    <w:rsid w:val="39EC3D26"/>
    <w:rsid w:val="39FE4185"/>
    <w:rsid w:val="3A5A5133"/>
    <w:rsid w:val="3B413FC4"/>
    <w:rsid w:val="3B860468"/>
    <w:rsid w:val="3B8A320B"/>
    <w:rsid w:val="3BDC004C"/>
    <w:rsid w:val="3C2A77E9"/>
    <w:rsid w:val="3C5966E7"/>
    <w:rsid w:val="3CAA3284"/>
    <w:rsid w:val="3CEA1374"/>
    <w:rsid w:val="3CFF4915"/>
    <w:rsid w:val="3D851C38"/>
    <w:rsid w:val="3D875A0E"/>
    <w:rsid w:val="3D9D634F"/>
    <w:rsid w:val="3DA504EA"/>
    <w:rsid w:val="3DE511B8"/>
    <w:rsid w:val="3DF8713D"/>
    <w:rsid w:val="3E3E27E0"/>
    <w:rsid w:val="3E5D0406"/>
    <w:rsid w:val="3E70646C"/>
    <w:rsid w:val="3F0E4291"/>
    <w:rsid w:val="3F6E3CB2"/>
    <w:rsid w:val="3F8D4331"/>
    <w:rsid w:val="40603B42"/>
    <w:rsid w:val="4099578D"/>
    <w:rsid w:val="40B52DED"/>
    <w:rsid w:val="41326E0A"/>
    <w:rsid w:val="414F2C34"/>
    <w:rsid w:val="41686388"/>
    <w:rsid w:val="41870F04"/>
    <w:rsid w:val="42224789"/>
    <w:rsid w:val="42A67168"/>
    <w:rsid w:val="42AE426E"/>
    <w:rsid w:val="42E47799"/>
    <w:rsid w:val="42E52531"/>
    <w:rsid w:val="43335020"/>
    <w:rsid w:val="439416B6"/>
    <w:rsid w:val="43A62258"/>
    <w:rsid w:val="43AC4C52"/>
    <w:rsid w:val="440D7F56"/>
    <w:rsid w:val="440F1267"/>
    <w:rsid w:val="44185E43"/>
    <w:rsid w:val="442944F4"/>
    <w:rsid w:val="442A3851"/>
    <w:rsid w:val="444D0896"/>
    <w:rsid w:val="4470457B"/>
    <w:rsid w:val="449F13F5"/>
    <w:rsid w:val="44A818BD"/>
    <w:rsid w:val="44CB735A"/>
    <w:rsid w:val="44FD158A"/>
    <w:rsid w:val="450A0E14"/>
    <w:rsid w:val="45392515"/>
    <w:rsid w:val="4543393B"/>
    <w:rsid w:val="45763769"/>
    <w:rsid w:val="45B24076"/>
    <w:rsid w:val="46707AE7"/>
    <w:rsid w:val="46B9149C"/>
    <w:rsid w:val="46FF504A"/>
    <w:rsid w:val="47291CC6"/>
    <w:rsid w:val="475847AE"/>
    <w:rsid w:val="477B4DB0"/>
    <w:rsid w:val="47B1127D"/>
    <w:rsid w:val="47E50732"/>
    <w:rsid w:val="48033AA3"/>
    <w:rsid w:val="482E2300"/>
    <w:rsid w:val="487E46E3"/>
    <w:rsid w:val="49290AF3"/>
    <w:rsid w:val="49357497"/>
    <w:rsid w:val="493D00FA"/>
    <w:rsid w:val="496831D9"/>
    <w:rsid w:val="496F38D9"/>
    <w:rsid w:val="498D2E30"/>
    <w:rsid w:val="4998010E"/>
    <w:rsid w:val="49A50272"/>
    <w:rsid w:val="49C401FF"/>
    <w:rsid w:val="49DB5C65"/>
    <w:rsid w:val="49EC3FFA"/>
    <w:rsid w:val="4A392DEA"/>
    <w:rsid w:val="4AEA13C2"/>
    <w:rsid w:val="4AF26E3A"/>
    <w:rsid w:val="4BA91A77"/>
    <w:rsid w:val="4BF50741"/>
    <w:rsid w:val="4C3457E4"/>
    <w:rsid w:val="4C4D61C7"/>
    <w:rsid w:val="4C6F2CC0"/>
    <w:rsid w:val="4C714C8A"/>
    <w:rsid w:val="4C8512A3"/>
    <w:rsid w:val="4CC8571B"/>
    <w:rsid w:val="4CD07C03"/>
    <w:rsid w:val="4D3F4746"/>
    <w:rsid w:val="4D573E80"/>
    <w:rsid w:val="4D63489A"/>
    <w:rsid w:val="4D8315BE"/>
    <w:rsid w:val="4D8B1D7C"/>
    <w:rsid w:val="4DDF7ADF"/>
    <w:rsid w:val="4E047D31"/>
    <w:rsid w:val="4E151645"/>
    <w:rsid w:val="4E194269"/>
    <w:rsid w:val="4E710F72"/>
    <w:rsid w:val="4EBD5F65"/>
    <w:rsid w:val="4F381A8F"/>
    <w:rsid w:val="4F817C52"/>
    <w:rsid w:val="4FB57E74"/>
    <w:rsid w:val="4FD249E8"/>
    <w:rsid w:val="4FF35972"/>
    <w:rsid w:val="50086A8D"/>
    <w:rsid w:val="5032028D"/>
    <w:rsid w:val="506D5769"/>
    <w:rsid w:val="50F8793D"/>
    <w:rsid w:val="50FA4316"/>
    <w:rsid w:val="511E3B90"/>
    <w:rsid w:val="51601F68"/>
    <w:rsid w:val="516A1CA8"/>
    <w:rsid w:val="51791EEB"/>
    <w:rsid w:val="519C33DF"/>
    <w:rsid w:val="51A74CAA"/>
    <w:rsid w:val="51A76A58"/>
    <w:rsid w:val="521A6BBB"/>
    <w:rsid w:val="52B40CAE"/>
    <w:rsid w:val="52EA13DE"/>
    <w:rsid w:val="52EE5ECD"/>
    <w:rsid w:val="533F4446"/>
    <w:rsid w:val="534A7FE3"/>
    <w:rsid w:val="539914A5"/>
    <w:rsid w:val="53BC2CAC"/>
    <w:rsid w:val="53CA7E60"/>
    <w:rsid w:val="53FB24A6"/>
    <w:rsid w:val="546C2C8D"/>
    <w:rsid w:val="54EA4E2E"/>
    <w:rsid w:val="552F5254"/>
    <w:rsid w:val="5560764A"/>
    <w:rsid w:val="5563713A"/>
    <w:rsid w:val="5594156B"/>
    <w:rsid w:val="55AC1CAA"/>
    <w:rsid w:val="55E32217"/>
    <w:rsid w:val="564F54C8"/>
    <w:rsid w:val="56883F42"/>
    <w:rsid w:val="56AA0CBE"/>
    <w:rsid w:val="56AE2780"/>
    <w:rsid w:val="56B22E44"/>
    <w:rsid w:val="56B7773E"/>
    <w:rsid w:val="56C7797B"/>
    <w:rsid w:val="574216FD"/>
    <w:rsid w:val="57792C45"/>
    <w:rsid w:val="57805D82"/>
    <w:rsid w:val="57984065"/>
    <w:rsid w:val="57E97DCB"/>
    <w:rsid w:val="585D2E9A"/>
    <w:rsid w:val="58ED38EB"/>
    <w:rsid w:val="58F9403E"/>
    <w:rsid w:val="58FC1D80"/>
    <w:rsid w:val="59142EC7"/>
    <w:rsid w:val="59154BEF"/>
    <w:rsid w:val="59213594"/>
    <w:rsid w:val="598D3355"/>
    <w:rsid w:val="59D57AB1"/>
    <w:rsid w:val="59DD395F"/>
    <w:rsid w:val="5A144EA7"/>
    <w:rsid w:val="5A274CE7"/>
    <w:rsid w:val="5A40288B"/>
    <w:rsid w:val="5A656C27"/>
    <w:rsid w:val="5AAC147F"/>
    <w:rsid w:val="5AEB1432"/>
    <w:rsid w:val="5B2D6220"/>
    <w:rsid w:val="5BB56F08"/>
    <w:rsid w:val="5BC333A9"/>
    <w:rsid w:val="5BE030F7"/>
    <w:rsid w:val="5BFD3468"/>
    <w:rsid w:val="5C235A01"/>
    <w:rsid w:val="5C4D1C28"/>
    <w:rsid w:val="5C6E4F39"/>
    <w:rsid w:val="5C936557"/>
    <w:rsid w:val="5CB32755"/>
    <w:rsid w:val="5D7E0072"/>
    <w:rsid w:val="5E19016A"/>
    <w:rsid w:val="5E622685"/>
    <w:rsid w:val="5E93283E"/>
    <w:rsid w:val="5EA22A81"/>
    <w:rsid w:val="5ED24410"/>
    <w:rsid w:val="603062A5"/>
    <w:rsid w:val="60737A8A"/>
    <w:rsid w:val="60766AF1"/>
    <w:rsid w:val="607C7302"/>
    <w:rsid w:val="60F56E51"/>
    <w:rsid w:val="61007E77"/>
    <w:rsid w:val="613F71A6"/>
    <w:rsid w:val="61DB4C28"/>
    <w:rsid w:val="62297B44"/>
    <w:rsid w:val="62A32F4D"/>
    <w:rsid w:val="62AF39BF"/>
    <w:rsid w:val="62B114E5"/>
    <w:rsid w:val="62C95953"/>
    <w:rsid w:val="62EB1FB1"/>
    <w:rsid w:val="635F53E5"/>
    <w:rsid w:val="63676048"/>
    <w:rsid w:val="63773FEC"/>
    <w:rsid w:val="63BA1546"/>
    <w:rsid w:val="642A34F3"/>
    <w:rsid w:val="645F317D"/>
    <w:rsid w:val="647267C2"/>
    <w:rsid w:val="649E1424"/>
    <w:rsid w:val="64CB1263"/>
    <w:rsid w:val="650A5F27"/>
    <w:rsid w:val="6518584B"/>
    <w:rsid w:val="654F6AA6"/>
    <w:rsid w:val="655D7702"/>
    <w:rsid w:val="65BE0C4A"/>
    <w:rsid w:val="660C57F8"/>
    <w:rsid w:val="663E5786"/>
    <w:rsid w:val="666B22F3"/>
    <w:rsid w:val="667733BA"/>
    <w:rsid w:val="66BB2234"/>
    <w:rsid w:val="66C12C2A"/>
    <w:rsid w:val="66C95E6B"/>
    <w:rsid w:val="66F347C2"/>
    <w:rsid w:val="673C6922"/>
    <w:rsid w:val="67650AF0"/>
    <w:rsid w:val="67B6759E"/>
    <w:rsid w:val="67BD092C"/>
    <w:rsid w:val="685E1597"/>
    <w:rsid w:val="68FA1C73"/>
    <w:rsid w:val="69112CDD"/>
    <w:rsid w:val="697678E2"/>
    <w:rsid w:val="69855479"/>
    <w:rsid w:val="69F84990"/>
    <w:rsid w:val="6A0E1913"/>
    <w:rsid w:val="6AA83F04"/>
    <w:rsid w:val="6ABA600F"/>
    <w:rsid w:val="6AF66009"/>
    <w:rsid w:val="6B2807B2"/>
    <w:rsid w:val="6B2F7D93"/>
    <w:rsid w:val="6BD21626"/>
    <w:rsid w:val="6BDF3567"/>
    <w:rsid w:val="6C043372"/>
    <w:rsid w:val="6C515CDA"/>
    <w:rsid w:val="6C537AB0"/>
    <w:rsid w:val="6C6D0FB3"/>
    <w:rsid w:val="6CA9548B"/>
    <w:rsid w:val="6CB30550"/>
    <w:rsid w:val="6CB36917"/>
    <w:rsid w:val="6CCC7B10"/>
    <w:rsid w:val="6D222C7E"/>
    <w:rsid w:val="6D7257D6"/>
    <w:rsid w:val="6DB6497D"/>
    <w:rsid w:val="6DF36E56"/>
    <w:rsid w:val="6DFB5D0A"/>
    <w:rsid w:val="6E645588"/>
    <w:rsid w:val="6E6F44FF"/>
    <w:rsid w:val="6EA2725E"/>
    <w:rsid w:val="6ED133A5"/>
    <w:rsid w:val="6EF2535F"/>
    <w:rsid w:val="6F176B74"/>
    <w:rsid w:val="6FA32AFD"/>
    <w:rsid w:val="6FAB0966"/>
    <w:rsid w:val="6FC41A45"/>
    <w:rsid w:val="6FC62348"/>
    <w:rsid w:val="70307C25"/>
    <w:rsid w:val="706367FF"/>
    <w:rsid w:val="70EB3319"/>
    <w:rsid w:val="71121CE9"/>
    <w:rsid w:val="711E1FB0"/>
    <w:rsid w:val="71C71909"/>
    <w:rsid w:val="71C903A7"/>
    <w:rsid w:val="71EB40F6"/>
    <w:rsid w:val="71F92EA9"/>
    <w:rsid w:val="725D3CD0"/>
    <w:rsid w:val="7260580F"/>
    <w:rsid w:val="72CD6775"/>
    <w:rsid w:val="72DC25AE"/>
    <w:rsid w:val="72FB2A9D"/>
    <w:rsid w:val="73223D39"/>
    <w:rsid w:val="73412411"/>
    <w:rsid w:val="73B07597"/>
    <w:rsid w:val="745B2EA4"/>
    <w:rsid w:val="749848BB"/>
    <w:rsid w:val="75114065"/>
    <w:rsid w:val="757C0D42"/>
    <w:rsid w:val="7595113B"/>
    <w:rsid w:val="75F25C45"/>
    <w:rsid w:val="765608C9"/>
    <w:rsid w:val="76A0759A"/>
    <w:rsid w:val="76B13D52"/>
    <w:rsid w:val="76D87530"/>
    <w:rsid w:val="76EB1067"/>
    <w:rsid w:val="77176BA7"/>
    <w:rsid w:val="779E0C90"/>
    <w:rsid w:val="77DF669D"/>
    <w:rsid w:val="77FB6B04"/>
    <w:rsid w:val="783A7C57"/>
    <w:rsid w:val="78A1455F"/>
    <w:rsid w:val="78A376CA"/>
    <w:rsid w:val="79086242"/>
    <w:rsid w:val="79144124"/>
    <w:rsid w:val="79206F6D"/>
    <w:rsid w:val="79356B77"/>
    <w:rsid w:val="7976107F"/>
    <w:rsid w:val="799C0C83"/>
    <w:rsid w:val="79A3068C"/>
    <w:rsid w:val="79CF368F"/>
    <w:rsid w:val="7A1A3B88"/>
    <w:rsid w:val="7B696F09"/>
    <w:rsid w:val="7B803CF3"/>
    <w:rsid w:val="7B9003DA"/>
    <w:rsid w:val="7BBE23B4"/>
    <w:rsid w:val="7BF73FB5"/>
    <w:rsid w:val="7C0C6C04"/>
    <w:rsid w:val="7C302AE4"/>
    <w:rsid w:val="7C804CED"/>
    <w:rsid w:val="7CA167A4"/>
    <w:rsid w:val="7CAD4FBB"/>
    <w:rsid w:val="7CBA47D1"/>
    <w:rsid w:val="7D5B0573"/>
    <w:rsid w:val="7DE87BD3"/>
    <w:rsid w:val="7DF369FE"/>
    <w:rsid w:val="7E192908"/>
    <w:rsid w:val="7E503E50"/>
    <w:rsid w:val="7E551467"/>
    <w:rsid w:val="7E8A55B4"/>
    <w:rsid w:val="7EE60311"/>
    <w:rsid w:val="7EFC18E2"/>
    <w:rsid w:val="7F1C3D32"/>
    <w:rsid w:val="7F4E338A"/>
    <w:rsid w:val="7F6953DF"/>
    <w:rsid w:val="7F6F6558"/>
    <w:rsid w:val="7F7818B1"/>
    <w:rsid w:val="7F8311DA"/>
    <w:rsid w:val="7FA62637"/>
    <w:rsid w:val="7FEA60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360" w:lineRule="auto"/>
      <w:ind w:firstLine="0" w:firstLineChars="0"/>
      <w:outlineLvl w:val="0"/>
    </w:pPr>
    <w:rPr>
      <w:b/>
      <w:kern w:val="44"/>
      <w:sz w:val="28"/>
    </w:rPr>
  </w:style>
  <w:style w:type="paragraph" w:styleId="3">
    <w:name w:val="heading 2"/>
    <w:basedOn w:val="1"/>
    <w:next w:val="1"/>
    <w:qFormat/>
    <w:uiPriority w:val="0"/>
    <w:pPr>
      <w:keepNext/>
      <w:keepLines/>
      <w:numPr>
        <w:ilvl w:val="1"/>
        <w:numId w:val="1"/>
      </w:numPr>
      <w:ind w:left="578" w:hanging="578" w:firstLineChars="0"/>
      <w:outlineLvl w:val="1"/>
    </w:pPr>
    <w:rPr>
      <w:b/>
      <w:bCs/>
      <w:sz w:val="32"/>
      <w:szCs w:val="32"/>
    </w:rPr>
  </w:style>
  <w:style w:type="paragraph" w:styleId="4">
    <w:name w:val="heading 3"/>
    <w:basedOn w:val="1"/>
    <w:next w:val="1"/>
    <w:qFormat/>
    <w:uiPriority w:val="0"/>
    <w:pPr>
      <w:keepNext/>
      <w:keepLines/>
      <w:numPr>
        <w:ilvl w:val="2"/>
        <w:numId w:val="1"/>
      </w:numPr>
      <w:ind w:firstLineChars="0"/>
      <w:outlineLvl w:val="2"/>
    </w:pPr>
    <w:rPr>
      <w:b/>
      <w:bCs/>
      <w:sz w:val="30"/>
      <w:szCs w:val="32"/>
    </w:rPr>
  </w:style>
  <w:style w:type="paragraph" w:styleId="5">
    <w:name w:val="heading 4"/>
    <w:basedOn w:val="1"/>
    <w:next w:val="1"/>
    <w:qFormat/>
    <w:uiPriority w:val="0"/>
    <w:pPr>
      <w:keepNext/>
      <w:keepLines/>
      <w:numPr>
        <w:ilvl w:val="3"/>
        <w:numId w:val="1"/>
      </w:numPr>
      <w:spacing w:before="280" w:after="290" w:line="376" w:lineRule="atLeast"/>
      <w:ind w:firstLineChars="0"/>
      <w:textAlignment w:val="baseline"/>
      <w:outlineLvl w:val="3"/>
    </w:pPr>
    <w:rPr>
      <w:rFonts w:ascii="Arial" w:hAnsi="Arial" w:eastAsia="黑体"/>
      <w:snapToGrid w:val="0"/>
      <w:spacing w:val="-20"/>
      <w:kern w:val="0"/>
      <w:sz w:val="28"/>
    </w:rPr>
  </w:style>
  <w:style w:type="paragraph" w:styleId="6">
    <w:name w:val="heading 5"/>
    <w:basedOn w:val="1"/>
    <w:next w:val="1"/>
    <w:qFormat/>
    <w:uiPriority w:val="0"/>
    <w:pPr>
      <w:keepNext/>
      <w:tabs>
        <w:tab w:val="left" w:pos="0"/>
      </w:tabs>
      <w:spacing w:line="240" w:lineRule="auto"/>
      <w:ind w:firstLine="0" w:firstLineChars="0"/>
      <w:jc w:val="center"/>
      <w:outlineLvl w:val="4"/>
    </w:pPr>
    <w:rPr>
      <w:rFonts w:ascii="Times New Roman" w:hAnsi="Times New Roman" w:cs="Times New Roman"/>
      <w:b/>
      <w:bCs/>
      <w:szCs w:val="18"/>
      <w:lang w:eastAsia="zh-CN"/>
    </w:rPr>
  </w:style>
  <w:style w:type="paragraph" w:styleId="7">
    <w:name w:val="heading 6"/>
    <w:basedOn w:val="1"/>
    <w:next w:val="1"/>
    <w:unhideWhenUsed/>
    <w:qFormat/>
    <w:uiPriority w:val="0"/>
    <w:pPr>
      <w:keepNext w:val="0"/>
      <w:keepLines w:val="0"/>
      <w:numPr>
        <w:ilvl w:val="5"/>
        <w:numId w:val="2"/>
      </w:numPr>
      <w:spacing w:beforeLines="0" w:beforeAutospacing="0" w:afterLines="0" w:afterAutospacing="0" w:line="240" w:lineRule="auto"/>
      <w:ind w:left="0" w:firstLine="0" w:firstLineChars="0"/>
      <w:jc w:val="center"/>
      <w:outlineLvl w:val="5"/>
    </w:pPr>
    <w:rPr>
      <w:rFonts w:eastAsia="黑体"/>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8">
    <w:name w:val="Normal Indent"/>
    <w:basedOn w:val="1"/>
    <w:qFormat/>
    <w:uiPriority w:val="0"/>
    <w:pPr>
      <w:spacing w:beforeLines="0" w:afterLines="0" w:line="360" w:lineRule="auto"/>
      <w:ind w:firstLine="1446" w:firstLineChars="200"/>
      <w:jc w:val="left"/>
    </w:pPr>
    <w:rPr>
      <w:rFonts w:ascii="Calibri" w:hAnsi="Calibri" w:eastAsia="宋体" w:cs="Calibri"/>
      <w:sz w:val="24"/>
      <w:szCs w:val="28"/>
    </w:rPr>
  </w:style>
  <w:style w:type="paragraph" w:styleId="9">
    <w:name w:val="caption"/>
    <w:basedOn w:val="1"/>
    <w:next w:val="1"/>
    <w:link w:val="26"/>
    <w:qFormat/>
    <w:uiPriority w:val="0"/>
    <w:pPr>
      <w:ind w:firstLine="0" w:firstLineChars="0"/>
      <w:jc w:val="center"/>
    </w:pPr>
    <w:rPr>
      <w:b/>
      <w:sz w:val="21"/>
    </w:rPr>
  </w:style>
  <w:style w:type="paragraph" w:styleId="10">
    <w:name w:val="annotation text"/>
    <w:basedOn w:val="1"/>
    <w:qFormat/>
    <w:uiPriority w:val="0"/>
    <w:pPr>
      <w:jc w:val="left"/>
    </w:pPr>
  </w:style>
  <w:style w:type="paragraph" w:styleId="11">
    <w:name w:val="Body Text"/>
    <w:basedOn w:val="1"/>
    <w:qFormat/>
    <w:uiPriority w:val="0"/>
    <w:rPr>
      <w:rFonts w:ascii="Arial" w:hAnsi="Arial" w:eastAsia="Arial" w:cs="Arial"/>
      <w:sz w:val="21"/>
      <w:szCs w:val="21"/>
      <w:lang w:val="en-US" w:eastAsia="en-US" w:bidi="ar-SA"/>
    </w:rPr>
  </w:style>
  <w:style w:type="paragraph" w:styleId="12">
    <w:name w:val="Body Text Indent"/>
    <w:basedOn w:val="1"/>
    <w:qFormat/>
    <w:uiPriority w:val="0"/>
    <w:pPr>
      <w:spacing w:after="120" w:afterLines="0" w:afterAutospacing="0"/>
      <w:ind w:left="420" w:leftChars="200"/>
    </w:pPr>
  </w:style>
  <w:style w:type="paragraph" w:styleId="13">
    <w:name w:val="Plain Text"/>
    <w:basedOn w:val="1"/>
    <w:next w:val="1"/>
    <w:qFormat/>
    <w:uiPriority w:val="0"/>
    <w:pPr>
      <w:spacing w:line="240" w:lineRule="auto"/>
      <w:ind w:firstLine="0" w:firstLineChars="0"/>
      <w:jc w:val="center"/>
    </w:pPr>
    <w:rPr>
      <w:sz w:val="21"/>
      <w:szCs w:val="22"/>
    </w:rPr>
  </w:style>
  <w:style w:type="paragraph" w:styleId="14">
    <w:name w:val="footer"/>
    <w:basedOn w:val="1"/>
    <w:qFormat/>
    <w:uiPriority w:val="99"/>
    <w:pPr>
      <w:tabs>
        <w:tab w:val="center" w:pos="4153"/>
        <w:tab w:val="right" w:pos="8306"/>
      </w:tabs>
    </w:pPr>
    <w:rPr>
      <w:kern w:val="0"/>
      <w:sz w:val="18"/>
      <w:szCs w:val="18"/>
    </w:rPr>
  </w:style>
  <w:style w:type="paragraph" w:styleId="15">
    <w:name w:val="header"/>
    <w:basedOn w:val="1"/>
    <w:qFormat/>
    <w:uiPriority w:val="99"/>
    <w:pPr>
      <w:pBdr>
        <w:bottom w:val="single" w:color="auto" w:sz="6" w:space="1"/>
      </w:pBdr>
      <w:tabs>
        <w:tab w:val="center" w:pos="4153"/>
        <w:tab w:val="right" w:pos="8306"/>
      </w:tabs>
      <w:jc w:val="center"/>
    </w:pPr>
    <w:rPr>
      <w:rFonts w:ascii="Calibri" w:hAnsi="Calibri"/>
      <w:kern w:val="0"/>
      <w:sz w:val="18"/>
      <w:szCs w:val="18"/>
    </w:rPr>
  </w:style>
  <w:style w:type="paragraph" w:styleId="16">
    <w:name w:val="toc 1"/>
    <w:basedOn w:val="1"/>
    <w:next w:val="1"/>
    <w:qFormat/>
    <w:uiPriority w:val="0"/>
  </w:style>
  <w:style w:type="paragraph" w:styleId="17">
    <w:name w:val="List"/>
    <w:basedOn w:val="1"/>
    <w:qFormat/>
    <w:uiPriority w:val="0"/>
    <w:pPr>
      <w:ind w:left="200" w:hanging="200" w:hangingChars="200"/>
    </w:pPr>
  </w:style>
  <w:style w:type="paragraph" w:styleId="18">
    <w:name w:val="toc 2"/>
    <w:basedOn w:val="1"/>
    <w:next w:val="1"/>
    <w:qFormat/>
    <w:uiPriority w:val="0"/>
    <w:pPr>
      <w:ind w:left="420" w:leftChars="200"/>
    </w:pPr>
  </w:style>
  <w:style w:type="paragraph" w:styleId="19">
    <w:name w:val="Normal (Web)"/>
    <w:basedOn w:val="1"/>
    <w:qFormat/>
    <w:uiPriority w:val="0"/>
    <w:pPr>
      <w:spacing w:before="0" w:beforeAutospacing="1" w:after="0" w:afterAutospacing="1"/>
      <w:ind w:left="0" w:right="0"/>
      <w:jc w:val="left"/>
    </w:pPr>
    <w:rPr>
      <w:kern w:val="0"/>
      <w:sz w:val="24"/>
      <w:lang w:val="en-US" w:eastAsia="zh-CN" w:bidi="ar"/>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paragraph" w:customStyle="1" w:styleId="24">
    <w:name w:val="【正文】"/>
    <w:basedOn w:val="1"/>
    <w:link w:val="25"/>
    <w:qFormat/>
    <w:uiPriority w:val="0"/>
  </w:style>
  <w:style w:type="character" w:customStyle="1" w:styleId="25">
    <w:name w:val="【正文】 Char"/>
    <w:link w:val="24"/>
    <w:qFormat/>
    <w:uiPriority w:val="0"/>
  </w:style>
  <w:style w:type="character" w:customStyle="1" w:styleId="26">
    <w:name w:val="题注 Char"/>
    <w:link w:val="9"/>
    <w:qFormat/>
    <w:uiPriority w:val="0"/>
    <w:rPr>
      <w:b/>
      <w:sz w:val="21"/>
    </w:rPr>
  </w:style>
  <w:style w:type="paragraph" w:customStyle="1" w:styleId="27">
    <w:name w:val="表格文字zh"/>
    <w:basedOn w:val="13"/>
    <w:qFormat/>
    <w:uiPriority w:val="0"/>
    <w:rPr>
      <w:rFonts w:eastAsia="Times New Roman"/>
      <w:color w:val="000000"/>
      <w:szCs w:val="21"/>
    </w:rPr>
  </w:style>
  <w:style w:type="paragraph" w:customStyle="1" w:styleId="28">
    <w:name w:val="标题4-123"/>
    <w:basedOn w:val="5"/>
    <w:qFormat/>
    <w:uiPriority w:val="99"/>
    <w:pPr>
      <w:spacing w:before="0" w:after="0" w:line="360" w:lineRule="auto"/>
      <w:ind w:left="0" w:firstLine="0"/>
    </w:pPr>
    <w:rPr>
      <w:rFonts w:ascii="Times New Roman" w:hAnsi="Times New Roman" w:eastAsia="宋体"/>
      <w:b/>
      <w:spacing w:val="0"/>
      <w:szCs w:val="28"/>
    </w:rPr>
  </w:style>
  <w:style w:type="paragraph" w:customStyle="1" w:styleId="29">
    <w:name w:val="表格zh"/>
    <w:basedOn w:val="1"/>
    <w:qFormat/>
    <w:uiPriority w:val="0"/>
    <w:pPr>
      <w:spacing w:line="240" w:lineRule="auto"/>
      <w:ind w:firstLine="0" w:firstLineChars="0"/>
      <w:jc w:val="center"/>
    </w:pPr>
    <w:rPr>
      <w:sz w:val="21"/>
      <w:szCs w:val="21"/>
    </w:rPr>
  </w:style>
  <w:style w:type="paragraph" w:customStyle="1" w:styleId="30">
    <w:name w:val="Table Paragraph"/>
    <w:basedOn w:val="1"/>
    <w:qFormat/>
    <w:uiPriority w:val="1"/>
    <w:pPr>
      <w:spacing w:line="240" w:lineRule="auto"/>
      <w:ind w:firstLine="0" w:firstLineChars="0"/>
      <w:jc w:val="center"/>
    </w:pPr>
    <w:rPr>
      <w:rFonts w:eastAsia="Times New Roman" w:cs="黑体"/>
      <w:kern w:val="0"/>
      <w:sz w:val="21"/>
      <w:szCs w:val="22"/>
      <w:lang w:eastAsia="en-US"/>
    </w:rPr>
  </w:style>
  <w:style w:type="paragraph" w:customStyle="1" w:styleId="31">
    <w:name w:val="样式6"/>
    <w:basedOn w:val="1"/>
    <w:qFormat/>
    <w:uiPriority w:val="0"/>
    <w:pPr>
      <w:ind w:firstLine="480"/>
    </w:pPr>
    <w:rPr>
      <w:kern w:val="0"/>
      <w:szCs w:val="28"/>
    </w:rPr>
  </w:style>
  <w:style w:type="paragraph" w:customStyle="1" w:styleId="32">
    <w:name w:val="！表格"/>
    <w:basedOn w:val="1"/>
    <w:next w:val="1"/>
    <w:qFormat/>
    <w:uiPriority w:val="0"/>
    <w:pPr>
      <w:widowControl/>
      <w:spacing w:before="0" w:beforeLines="0" w:after="0" w:afterLines="0" w:line="180" w:lineRule="atLeast"/>
      <w:jc w:val="center"/>
      <w:textAlignment w:val="baseline"/>
    </w:pPr>
    <w:rPr>
      <w:rFonts w:ascii="宋体" w:hAnsi="宋体"/>
      <w:color w:val="000000"/>
      <w:kern w:val="0"/>
      <w:sz w:val="21"/>
      <w:szCs w:val="21"/>
      <w:u w:val="none" w:color="000000"/>
    </w:rPr>
  </w:style>
  <w:style w:type="paragraph" w:customStyle="1" w:styleId="33">
    <w:name w:val="表名"/>
    <w:basedOn w:val="1"/>
    <w:qFormat/>
    <w:uiPriority w:val="0"/>
    <w:pPr>
      <w:spacing w:before="0" w:beforeLines="0" w:after="0" w:afterLines="0" w:line="460" w:lineRule="exact"/>
      <w:jc w:val="center"/>
      <w:outlineLvl w:val="4"/>
    </w:pPr>
    <w:rPr>
      <w:rFonts w:ascii="黑体" w:eastAsia="黑体"/>
      <w:sz w:val="21"/>
      <w:szCs w:val="20"/>
    </w:rPr>
  </w:style>
  <w:style w:type="paragraph" w:customStyle="1" w:styleId="34">
    <w:name w:val="表格标题"/>
    <w:basedOn w:val="1"/>
    <w:qFormat/>
    <w:uiPriority w:val="0"/>
    <w:pPr>
      <w:ind w:firstLine="0" w:firstLineChars="0"/>
      <w:jc w:val="center"/>
    </w:pPr>
    <w:rPr>
      <w:rFonts w:eastAsia="黑体"/>
      <w:szCs w:val="21"/>
    </w:rPr>
  </w:style>
  <w:style w:type="paragraph" w:customStyle="1" w:styleId="35">
    <w:name w:val="表格内容"/>
    <w:basedOn w:val="1"/>
    <w:qFormat/>
    <w:uiPriority w:val="0"/>
    <w:pPr>
      <w:widowControl/>
      <w:adjustRightInd w:val="0"/>
      <w:snapToGrid w:val="0"/>
      <w:spacing w:line="280" w:lineRule="exact"/>
      <w:ind w:left="-31" w:leftChars="-15" w:right="-31" w:rightChars="-15"/>
      <w:jc w:val="center"/>
    </w:pPr>
    <w:rPr>
      <w:rFonts w:hint="eastAsia" w:ascii="宋体" w:hAnsi="宋体" w:eastAsia="宋体"/>
      <w:color w:val="000000"/>
      <w:kern w:val="0"/>
      <w:sz w:val="22"/>
      <w:szCs w:val="18"/>
    </w:rPr>
  </w:style>
  <w:style w:type="table" w:customStyle="1" w:styleId="36">
    <w:name w:val="Table Normal"/>
    <w:basedOn w:val="20"/>
    <w:unhideWhenUsed/>
    <w:qFormat/>
    <w:uiPriority w:val="0"/>
    <w:tblPr>
      <w:tblCellMar>
        <w:top w:w="0" w:type="dxa"/>
        <w:left w:w="0" w:type="dxa"/>
        <w:bottom w:w="0" w:type="dxa"/>
        <w:right w:w="0" w:type="dxa"/>
      </w:tblCellMar>
    </w:tblPr>
  </w:style>
  <w:style w:type="paragraph" w:customStyle="1" w:styleId="37">
    <w:name w:val="表内字"/>
    <w:basedOn w:val="17"/>
    <w:qFormat/>
    <w:uiPriority w:val="0"/>
    <w:pPr>
      <w:widowControl w:val="0"/>
      <w:autoSpaceDE w:val="0"/>
      <w:autoSpaceDN w:val="0"/>
      <w:adjustRightInd w:val="0"/>
      <w:snapToGrid w:val="0"/>
      <w:spacing w:line="240" w:lineRule="auto"/>
      <w:ind w:left="0" w:firstLine="0" w:firstLineChars="0"/>
      <w:jc w:val="center"/>
    </w:pPr>
    <w:rPr>
      <w:rFonts w:ascii="Times New Roman" w:hAnsi="Times New Roman" w:cs="Times New Roman"/>
      <w:sz w:val="21"/>
    </w:rPr>
  </w:style>
  <w:style w:type="paragraph" w:customStyle="1" w:styleId="38">
    <w:name w:val="表格文字-r"/>
    <w:basedOn w:val="1"/>
    <w:next w:val="1"/>
    <w:qFormat/>
    <w:uiPriority w:val="0"/>
    <w:pPr>
      <w:keepNext/>
      <w:keepLines/>
      <w:overflowPunct w:val="0"/>
      <w:spacing w:line="240" w:lineRule="auto"/>
      <w:ind w:firstLine="0" w:firstLineChars="0"/>
      <w:jc w:val="center"/>
      <w:outlineLvl w:val="2"/>
    </w:pPr>
    <w:rPr>
      <w:sz w:val="21"/>
    </w:rPr>
  </w:style>
  <w:style w:type="paragraph" w:customStyle="1" w:styleId="39">
    <w:name w:val="bw1"/>
    <w:qFormat/>
    <w:uiPriority w:val="0"/>
    <w:pPr>
      <w:widowControl w:val="0"/>
      <w:adjustRightInd w:val="0"/>
      <w:snapToGrid w:val="0"/>
      <w:spacing w:line="240" w:lineRule="atLeast"/>
      <w:ind w:left="6" w:right="6"/>
      <w:jc w:val="center"/>
    </w:pPr>
    <w:rPr>
      <w:rFonts w:ascii="Arial Narrow" w:hAnsi="Arial Narrow" w:eastAsia="楷体_GB2312" w:cs="Times New Roman"/>
      <w:color w:val="000000"/>
      <w:spacing w:val="-2"/>
      <w:w w:val="90"/>
      <w:kern w:val="2"/>
      <w:sz w:val="20"/>
      <w:szCs w:val="18"/>
      <w:lang w:val="en-US" w:eastAsia="zh-CN" w:bidi="ar-SA"/>
    </w:rPr>
  </w:style>
  <w:style w:type="paragraph" w:customStyle="1" w:styleId="40">
    <w:name w:val="Table Text"/>
    <w:basedOn w:val="1"/>
    <w:semiHidden/>
    <w:qFormat/>
    <w:uiPriority w:val="0"/>
    <w:rPr>
      <w:rFonts w:ascii="宋体" w:hAnsi="宋体" w:eastAsia="宋体" w:cs="宋体"/>
      <w:sz w:val="18"/>
      <w:szCs w:val="18"/>
      <w:lang w:val="en-US" w:eastAsia="en-US" w:bidi="ar-SA"/>
    </w:rPr>
  </w:style>
  <w:style w:type="paragraph" w:customStyle="1" w:styleId="41">
    <w:name w:val="文本"/>
    <w:basedOn w:val="1"/>
    <w:next w:val="8"/>
    <w:qFormat/>
    <w:uiPriority w:val="99"/>
    <w:pPr>
      <w:ind w:firstLine="480"/>
    </w:pPr>
    <w:rPr>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2" Type="http://schemas.openxmlformats.org/officeDocument/2006/relationships/fontTable" Target="fontTable.xml"/><Relationship Id="rId71" Type="http://schemas.openxmlformats.org/officeDocument/2006/relationships/customXml" Target="../customXml/item2.xml"/><Relationship Id="rId70" Type="http://schemas.openxmlformats.org/officeDocument/2006/relationships/numbering" Target="numbering.xml"/><Relationship Id="rId7" Type="http://schemas.openxmlformats.org/officeDocument/2006/relationships/header" Target="header3.xml"/><Relationship Id="rId69" Type="http://schemas.openxmlformats.org/officeDocument/2006/relationships/customXml" Target="../customXml/item1.xml"/><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emf"/><Relationship Id="rId65" Type="http://schemas.openxmlformats.org/officeDocument/2006/relationships/oleObject" Target="embeddings/oleObject1.bin"/><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header" Target="header2.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jpe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endnotes" Target="endnotes.xml"/><Relationship Id="rId39" Type="http://schemas.openxmlformats.org/officeDocument/2006/relationships/image" Target="media/image20.jpe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jpeg"/><Relationship Id="rId33" Type="http://schemas.openxmlformats.org/officeDocument/2006/relationships/image" Target="media/image14.pn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jpeg"/><Relationship Id="rId27" Type="http://schemas.openxmlformats.org/officeDocument/2006/relationships/image" Target="media/image8.jpe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header" Target="header5.xml"/><Relationship Id="rId17" Type="http://schemas.openxmlformats.org/officeDocument/2006/relationships/header" Target="header4.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74e41188-d329-4566-bcf2-bf9032620b58</errorID>
      <errorWord>(合)</errorWord>
      <group>L1_AI</group>
      <groupName>深度校对</groupName>
      <ability>L2_AI_Punc</ability>
      <abilityName>标点纠错</abilityName>
      <candidateList>
        <item>（合）</item>
      </candidateList>
      <explain/>
      <paraID> 3911217</paraID>
      <start>51</start>
      <end>57</end>
      <status>modified</status>
      <modifiedWord>（合）</modifiedWord>
      <trackRevisions>true</trackRevisions>
    </reviewItem>
    <reviewItem>
      <errorID>9f98e1f9-5bc1-43f5-bfc6-2346d967324e</errorID>
      <errorWord>)</errorWord>
      <group>L1_Punc</group>
      <groupName>标点问题</groupName>
      <ability>L2_Punc_CN</ability>
      <abilityName/>
      <candidateList/>
      <explain>同一形式括号套用。</explain>
      <paraID> 3911217</paraID>
      <start>56</start>
      <end>57</end>
      <status>ignored</status>
      <modifiedWord/>
      <trackRevisions>false</trackRevisions>
    </reviewItem>
    <reviewItem>
      <errorID>0a28c022-96e1-41ed-817e-4690162c56a1</errorID>
      <errorWord>开工建设</errorWord>
      <group>L1_AI</group>
      <groupName>深度校对</groupName>
      <ability>L2_AI_Grammar</ability>
      <abilityName>语法纠错</abilityName>
      <candidateList>
        <item>开工</item>
      </candidateList>
      <explain/>
      <paraID>5F527F5D</paraID>
      <start>14</start>
      <end>18</end>
      <status>ignored</status>
      <modifiedWord/>
      <trackRevisions>false</trackRevisions>
    </reviewItem>
    <reviewItem>
      <errorID>620a2f48-3b01-40cd-b7b7-054cad7edf90</errorID>
      <errorWord>村官</errorWord>
      <group>L1_Political</group>
      <groupName>政治性问题</groupName>
      <ability>L2_Unpolitical</ability>
      <abilityName>政治敏感错误</abilityName>
      <candidateList>
        <item>“村官”</item>
      </candidateList>
      <explain/>
      <paraID>6A936C44</paraID>
      <start>5</start>
      <end>7</end>
      <status>ignored</status>
      <modifiedWord/>
      <trackRevisions>false</trackRevisions>
    </reviewItem>
    <reviewItem>
      <errorID>68c29f84-2c85-4622-a951-fcdce412a43e</errorID>
      <errorWord>村长</errorWord>
      <group>L1_Political</group>
      <groupName>政治性问题</groupName>
      <ability>L2_Unpolitical</ability>
      <abilityName>政治敏感错误</abilityName>
      <candidateList>
        <item>村主任</item>
      </candidateList>
      <explain/>
      <paraID>65DCFD7E</paraID>
      <start>7</start>
      <end>9</end>
      <status>ignored</status>
      <modifiedWord/>
      <trackRevisions>false</trackRevisions>
    </reviewItem>
    <reviewItem>
      <errorID>e2771bbb-8c37-4c06-957f-08af9f4a1b82</errorID>
      <errorWord>村长</errorWord>
      <group>L1_Political</group>
      <groupName>政治性问题</groupName>
      <ability>L2_Unpolitical</ability>
      <abilityName>政治敏感错误</abilityName>
      <candidateList>
        <item>村主任</item>
      </candidateList>
      <explain/>
      <paraID>1906B1C4</paraID>
      <start>7</start>
      <end>9</end>
      <status>ignored</status>
      <modifiedWord/>
      <trackRevisions>false</trackRevisions>
    </reviewItem>
    <reviewItem>
      <errorID>6066dfb1-5b7d-4ef4-9c8e-25cee5713319</errorID>
      <errorWord>(</errorWord>
      <group>L1_Punc</group>
      <groupName>标点问题</groupName>
      <ability>L2_Punc_CN</ability>
      <abilityName/>
      <candidateList/>
      <explain>同一形式括号套用。</explain>
      <paraID>2035AE22</paraID>
      <start>110</start>
      <end>111</end>
      <status>ignored</status>
      <modifiedWord/>
      <trackRevisions>false</trackRevisions>
    </reviewItem>
    <reviewItem>
      <errorID>f60d104d-6353-4d6d-92a3-9b4d8c5408e4</errorID>
      <errorWord>)</errorWord>
      <group>L1_Punc</group>
      <groupName>标点问题</groupName>
      <ability>L2_Punc_CN</ability>
      <abilityName/>
      <candidateList/>
      <explain>同一形式括号套用。</explain>
      <paraID>2035AE22</paraID>
      <start>112</start>
      <end>113</end>
      <status>ignored</status>
      <modifiedWord/>
      <trackRevisions>false</trackRevisions>
    </reviewItem>
    <reviewItem>
      <errorID>550f3585-c8ff-41f2-9f31-7aab64bdd6f5</errorID>
      <errorWord>(</errorWord>
      <group>L1_Punc</group>
      <groupName>标点问题</groupName>
      <ability>L2_Punc_CN</ability>
      <abilityName/>
      <candidateList/>
      <explain>同一形式括号套用。</explain>
      <paraID>2035AE22</paraID>
      <start>254</start>
      <end>255</end>
      <status>ignored</status>
      <modifiedWord/>
      <trackRevisions>false</trackRevisions>
    </reviewItem>
    <reviewItem>
      <errorID>eb49cae5-91f4-481a-ace2-261acb4130aa</errorID>
      <errorWord>)</errorWord>
      <group>L1_Punc</group>
      <groupName>标点问题</groupName>
      <ability>L2_Punc_CN</ability>
      <abilityName/>
      <candidateList/>
      <explain>同一形式括号套用。</explain>
      <paraID>2035AE22</paraID>
      <start>256</start>
      <end>257</end>
      <status>ignored</status>
      <modifiedWord/>
      <trackRevisions>false</trackRevisions>
    </reviewItem>
    <reviewItem>
      <errorID>05917ab8-3541-4a71-b77a-36dc8233b505</errorID>
      <errorWord>点赞</errorWord>
      <group>L1_Word</group>
      <groupName>字词问题</groupName>
      <ability>L2_Typo</ability>
      <abilityName>字词错误</abilityName>
      <candidateList>
        <item>点缀</item>
      </candidateList>
      <explain/>
      <paraID>7BD069AC</paraID>
      <start>86</start>
      <end>88</end>
      <status>ignored</status>
      <modifiedWord/>
      <trackRevisions>false</trackRevisions>
    </reviewItem>
    <reviewItem>
      <errorID>7d4ca876-d2a7-475d-bab1-b2553a67db16</errorID>
      <errorWord>村长</errorWord>
      <group>L1_Political</group>
      <groupName>政治性问题</groupName>
      <ability>L2_Unpolitical</ability>
      <abilityName>政治敏感错误</abilityName>
      <candidateList>
        <item>村主任</item>
      </candidateList>
      <explain/>
      <paraID>30D05FF0</paraID>
      <start>114</start>
      <end>116</end>
      <status>ignored</status>
      <modifiedWord/>
      <trackRevisions>false</trackRevisions>
    </reviewItem>
    <reviewItem>
      <errorID>406cd67d-d75d-4642-a744-fe18f618085a</errorID>
      <errorWord>村长</errorWord>
      <group>L1_Political</group>
      <groupName>政治性问题</groupName>
      <ability>L2_Unpolitical</ability>
      <abilityName>政治敏感错误</abilityName>
      <candidateList>
        <item>村主任</item>
      </candidateList>
      <explain/>
      <paraID>30D05FF0</paraID>
      <start>136</start>
      <end>138</end>
      <status>ignored</status>
      <modifiedWord/>
      <trackRevisions>false</trackRevisions>
    </reviewItem>
    <reviewItem>
      <errorID>afb3f89c-f0e2-4328-a13a-4f3ff560e5e9</errorID>
      <errorWord>村长</errorWord>
      <group>L1_Political</group>
      <groupName>政治性问题</groupName>
      <ability>L2_Unpolitical</ability>
      <abilityName>政治敏感错误</abilityName>
      <candidateList>
        <item>村主任</item>
      </candidateList>
      <explain/>
      <paraID>4FDA98BD</paraID>
      <start>4</start>
      <end>6</end>
      <status>ignored</status>
      <modifiedWord/>
      <trackRevisions>false</trackRevisions>
    </reviewItem>
    <reviewItem>
      <errorID>31717870-279d-4eb9-a054-a179c3cc14e3</errorID>
      <errorWord>村长</errorWord>
      <group>L1_Political</group>
      <groupName>政治性问题</groupName>
      <ability>L2_Unpolitical</ability>
      <abilityName>政治敏感错误</abilityName>
      <candidateList>
        <item>村主任</item>
      </candidateList>
      <explain/>
      <paraID>1F43363E</paraID>
      <start>4</start>
      <end>6</end>
      <status>ignored</status>
      <modifiedWord/>
      <trackRevisions>false</trackRevisions>
    </reviewItem>
    <reviewItem>
      <errorID>ee1da688-dd01-4159-aacc-381a7a61b8ff</errorID>
      <errorWord>村长</errorWord>
      <group>L1_Political</group>
      <groupName>政治性问题</groupName>
      <ability>L2_Unpolitical</ability>
      <abilityName>政治敏感错误</abilityName>
      <candidateList>
        <item>村主任</item>
      </candidateList>
      <explain/>
      <paraID>25C2C113</paraID>
      <start>4</start>
      <end>6</end>
      <status>ignored</status>
      <modifiedWord/>
      <trackRevisions>false</trackRevisions>
    </reviewItem>
    <reviewItem>
      <errorID>13671d3f-43d6-444e-972f-82fdbc29ae4d</errorID>
      <errorWord>(</errorWord>
      <group>L1_Punc</group>
      <groupName>标点问题</groupName>
      <ability>L2_Punc_CN</ability>
      <abilityName/>
      <candidateList/>
      <explain>同一形式括号套用。</explain>
      <paraID> BBF6539</paraID>
      <start>13</start>
      <end>14</end>
      <status>ignored</status>
      <modifiedWord/>
      <trackRevisions>false</trackRevisions>
    </reviewItem>
    <reviewItem>
      <errorID>846dcba0-21dd-4112-adcf-436a511ecc6e</errorID>
      <errorWord>)</errorWord>
      <group>L1_Punc</group>
      <groupName>标点问题</groupName>
      <ability>L2_Punc_CN</ability>
      <abilityName/>
      <candidateList/>
      <explain>同一形式括号套用。</explain>
      <paraID> BBF6539</paraID>
      <start>15</start>
      <end>16</end>
      <status>ignored</status>
      <modifiedWord/>
      <trackRevisions>false</trackRevisions>
    </reviewItem>
    <reviewItem>
      <errorID>25fa950a-8214-451d-a54f-dd8b3a131c93</errorID>
      <errorWord>(</errorWord>
      <group>L1_Punc</group>
      <groupName>标点问题</groupName>
      <ability>L2_Punc_CN</ability>
      <abilityName/>
      <candidateList/>
      <explain>同一形式括号套用。</explain>
      <paraID>27A912EF</paraID>
      <start>26</start>
      <end>27</end>
      <status>ignored</status>
      <modifiedWord/>
      <trackRevisions>false</trackRevisions>
    </reviewItem>
    <reviewItem>
      <errorID>ed2019a9-74e4-4cb3-8b29-f256646d333b</errorID>
      <errorWord>)</errorWord>
      <group>L1_Punc</group>
      <groupName>标点问题</groupName>
      <ability>L2_Punc_CN</ability>
      <abilityName/>
      <candidateList/>
      <explain>同一形式括号套用。</explain>
      <paraID>27A912EF</paraID>
      <start>28</start>
      <end>29</end>
      <status>ignored</status>
      <modifiedWord/>
      <trackRevisions>false</trackRevisions>
    </reviewItem>
    <reviewItem>
      <errorID>80f43586-7c09-4d29-9860-5b49c1932e22</errorID>
      <errorWord>村官</errorWord>
      <group>L1_Political</group>
      <groupName>政治性问题</groupName>
      <ability>L2_Unpolitical</ability>
      <abilityName>政治敏感错误</abilityName>
      <candidateList>
        <item>“村官”</item>
      </candidateList>
      <explain/>
      <paraID>396FFC74</paraID>
      <start>4</start>
      <end>6</end>
      <status>ignored</status>
      <modifiedWord/>
      <trackRevisions>false</trackRevisions>
    </reviewItem>
    <reviewItem>
      <errorID>e96a7eff-7fba-42ce-8737-d8805913a4c8</errorID>
      <errorWord>村官</errorWord>
      <group>L1_Political</group>
      <groupName>政治性问题</groupName>
      <ability>L2_Unpolitical</ability>
      <abilityName>政治敏感错误</abilityName>
      <candidateList>
        <item>“村官”</item>
      </candidateList>
      <explain/>
      <paraID>2C3F5468</paraID>
      <start>2</start>
      <end>4</end>
      <status>ignored</status>
      <modifiedWord/>
      <trackRevisions>false</trackRevisions>
    </reviewItem>
    <reviewItem>
      <errorID>38c110a1-3ed7-452c-9e36-4a12ec78038d</errorID>
      <errorWord>)</errorWord>
      <group>L1_Punc</group>
      <groupName>标点问题</groupName>
      <ability>L2_Punc_CN</ability>
      <abilityName/>
      <candidateList/>
      <explain/>
      <paraID>58BCEC90</paraID>
      <start>0</start>
      <end>1</end>
      <status>ignored</status>
      <modifiedWord/>
      <trackRevisions>false</trackRevisions>
    </reviewItem>
    <reviewItem>
      <errorID>d3cf9a2c-13c1-4a95-bc15-28689ab8931b</errorID>
      <errorWord>村长</errorWord>
      <group>L1_Political</group>
      <groupName>政治性问题</groupName>
      <ability>L2_Unpolitical</ability>
      <abilityName>政治敏感错误</abilityName>
      <candidateList>
        <item>村主任</item>
      </candidateList>
      <explain/>
      <paraID>6F520884</paraID>
      <start>24</start>
      <end>26</end>
      <status>ignored</status>
      <modifiedWord/>
      <trackRevisions>false</trackRevisions>
    </reviewItem>
    <reviewItem>
      <errorID>472f9db6-4381-4653-89ec-05209fcd153f</errorID>
      <errorWord>村长</errorWord>
      <group>L1_Political</group>
      <groupName>政治性问题</groupName>
      <ability>L2_Unpolitical</ability>
      <abilityName>政治敏感错误</abilityName>
      <candidateList>
        <item>村主任</item>
      </candidateList>
      <explain/>
      <paraID>24953D3F</paraID>
      <start>25</start>
      <end>27</end>
      <status>ignored</status>
      <modifiedWord/>
      <trackRevisions>false</trackRevisions>
    </reviewItem>
    <reviewItem>
      <errorID>e57def72-0394-46e5-b12c-959993b20b7e</errorID>
      <errorWord>村长</errorWord>
      <group>L1_Political</group>
      <groupName>政治性问题</groupName>
      <ability>L2_Unpolitical</ability>
      <abilityName>政治敏感错误</abilityName>
      <candidateList>
        <item>村主任</item>
      </candidateList>
      <explain/>
      <paraID>24953D3F</paraID>
      <start>56</start>
      <end>58</end>
      <status>ignored</status>
      <modifiedWord/>
      <trackRevisions>false</trackRevisions>
    </reviewItem>
    <reviewItem>
      <errorID>b1f12706-06a2-412b-9331-730eb3e7ab7d</errorID>
      <errorWord>(</errorWord>
      <group>L1_Punc</group>
      <groupName>标点问题</groupName>
      <ability>L2_Punc_CN</ability>
      <abilityName/>
      <candidateList/>
      <explain>同一形式括号套用。</explain>
      <paraID>327DA9FB</paraID>
      <start>44</start>
      <end>45</end>
      <status>ignored</status>
      <modifiedWord/>
      <trackRevisions>false</trackRevisions>
    </reviewItem>
    <reviewItem>
      <errorID>eef85b7d-8034-4a38-ba76-aebc60b45650</errorID>
      <errorWord>)</errorWord>
      <group>L1_Punc</group>
      <groupName>标点问题</groupName>
      <ability>L2_Punc_CN</ability>
      <abilityName/>
      <candidateList/>
      <explain>同一形式括号套用。</explain>
      <paraID>327DA9FB</paraID>
      <start>46</start>
      <end>47</end>
      <status>ignored</status>
      <modifiedWord/>
      <trackRevisions>false</trackRevisions>
    </reviewItem>
    <reviewItem>
      <errorID>dceb323b-9227-4852-a765-f1541c495617</errorID>
      <errorWord>(</errorWord>
      <group>L1_Punc</group>
      <groupName>标点问题</groupName>
      <ability>L2_Punc_CN</ability>
      <abilityName/>
      <candidateList/>
      <explain>同一形式括号套用。</explain>
      <paraID>2DCD67DE</paraID>
      <start>37</start>
      <end>38</end>
      <status>ignored</status>
      <modifiedWord/>
      <trackRevisions>false</trackRevisions>
    </reviewItem>
    <reviewItem>
      <errorID>8ff8f648-95ca-44b6-9331-d7a1e2db8377</errorID>
      <errorWord>)</errorWord>
      <group>L1_Punc</group>
      <groupName>标点问题</groupName>
      <ability>L2_Punc_CN</ability>
      <abilityName/>
      <candidateList/>
      <explain>同一形式括号套用。</explain>
      <paraID>2DCD67DE</paraID>
      <start>39</start>
      <end>40</end>
      <status>ignored</status>
      <modifiedWord/>
      <trackRevisions>false</trackRevisions>
    </reviewItem>
    <reviewItem>
      <errorID>9f25a600-8855-49d9-bf3d-82abcab05721</errorID>
      <errorWord>III类</errorWord>
      <group>L1_Knowledge</group>
      <groupName>知识性问题</groupName>
      <ability>L2_Knowledge</ability>
      <abilityName>其他知识</abilityName>
      <candidateList>
        <item>Ⅲ类</item>
      </candidateList>
      <explain/>
      <paraID>7C4D213C</paraID>
      <start>86</start>
      <end>90</end>
      <status>ignored</status>
      <modifiedWord/>
      <trackRevisions>false</trackRevisions>
    </reviewItem>
    <reviewItem>
      <errorID>c76f0ba0-c3aa-495e-9217-359841cd654f</errorID>
      <errorWord>农村面源污染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词汇“农业面源污染”在特定场景下为固定表述形式，请确认此处的“农村面源污染”是否存在不当。</explain>
      <paraID>7C4D213C</paraID>
      <start>123</start>
      <end>129</end>
      <status>ignored</status>
      <modifiedWord/>
      <trackRevisions>false</trackRevisions>
    </reviewItem>
    <reviewItem>
      <errorID>2606c624-bf95-48bf-8039-a62765ee7b64</errorID>
      <errorWord>场</errorWord>
      <group>L1_Word</group>
      <groupName>字词问题</groupName>
      <ability>L2_Typo</ability>
      <abilityName>字词错误</abilityName>
      <candidateList>
        <item>厂</item>
      </candidateList>
      <explain>存在发音相同字词的误用。</explain>
      <paraID>656E2EA3</paraID>
      <start>56</start>
      <end>57</end>
      <status>ignored</status>
      <modifiedWord/>
      <trackRevisions>false</trackRevisions>
    </reviewItem>
    <reviewItem>
      <errorID>97e5094d-32f2-4118-a603-f40ec024c83d</errorID>
      <errorWord>村长</errorWord>
      <group>L1_Political</group>
      <groupName>政治性问题</groupName>
      <ability>L2_Unpolitical</ability>
      <abilityName>政治敏感错误</abilityName>
      <candidateList>
        <item>村主任</item>
      </candidateList>
      <explain/>
      <paraID>384F8539</paraID>
      <start>59</start>
      <end>61</end>
      <status>ignored</status>
      <modifiedWord/>
      <trackRevisions>false</trackRevisions>
    </reviewItem>
    <reviewItem>
      <errorID>d9b7043f-9b7d-46dd-a92b-9a330f6dce74</errorID>
      <errorWord>村长</errorWord>
      <group>L1_Political</group>
      <groupName>政治性问题</groupName>
      <ability>L2_Unpolitical</ability>
      <abilityName>政治敏感错误</abilityName>
      <candidateList>
        <item>村主任</item>
      </candidateList>
      <explain/>
      <paraID>384F8539</paraID>
      <start>212</start>
      <end>214</end>
      <status>ignored</status>
      <modifiedWord/>
      <trackRevisions>false</trackRevisions>
    </reviewItem>
    <reviewItem>
      <errorID>968ee18a-09ea-49a1-94f6-64248982a665</errorID>
      <errorWord>村长</errorWord>
      <group>L1_Political</group>
      <groupName>政治性问题</groupName>
      <ability>L2_Unpolitical</ability>
      <abilityName>政治敏感错误</abilityName>
      <candidateList>
        <item>村主任</item>
      </candidateList>
      <explain/>
      <paraID>384F8539</paraID>
      <start>243</start>
      <end>245</end>
      <status>ignored</status>
      <modifiedWord/>
      <trackRevisions>false</trackRevisions>
    </reviewItem>
    <reviewItem>
      <errorID>493ebc22-f1a5-4163-bfc9-1614507b6bc3</errorID>
      <errorWord>场</errorWord>
      <group>L1_Word</group>
      <groupName>字词问题</groupName>
      <ability>L2_Typo</ability>
      <abilityName>字词错误</abilityName>
      <candidateList>
        <item>厂</item>
      </candidateList>
      <explain>存在发音相同字词的误用。</explain>
      <paraID>570D9D9E</paraID>
      <start>56</start>
      <end>57</end>
      <status>ignored</status>
      <modifiedWord/>
      <trackRevisions>false</trackRevisions>
    </reviewItem>
    <reviewItem>
      <errorID>3c1d65a0-1542-4c64-a519-3db9819a3874</errorID>
      <errorWord>两作</errorWord>
      <group>L1_Knowledge</group>
      <groupName>知识性问题</groupName>
      <ability>L2_Knowledge</ability>
      <abilityName>其他知识</abilityName>
      <candidateList>
        <item>两季</item>
      </candidateList>
      <explain/>
      <paraID>3744DF53</paraID>
      <start>3</start>
      <end>5</end>
      <status>ignored</status>
      <modifiedWord/>
      <trackRevisions>false</trackRevisions>
    </reviewItem>
    <reviewItem>
      <errorID>0eec7803-63a4-4b5a-b1b8-b9d6a7160268</errorID>
      <errorWord>村官</errorWord>
      <group>L1_Political</group>
      <groupName>政治性问题</groupName>
      <ability>L2_Unpolitical</ability>
      <abilityName>政治敏感错误</abilityName>
      <candidateList>
        <item>“村官”</item>
      </candidateList>
      <explain/>
      <paraID>391EF615</paraID>
      <start>5</start>
      <end>7</end>
      <status>ignored</status>
      <modifiedWord/>
      <trackRevisions>false</trackRevisions>
    </reviewItem>
    <reviewItem>
      <errorID>9a84932d-19a6-43b9-a406-ac76a528d732</errorID>
      <errorWord>村官</errorWord>
      <group>L1_Political</group>
      <groupName>政治性问题</groupName>
      <ability>L2_Unpolitical</ability>
      <abilityName>政治敏感错误</abilityName>
      <candidateList>
        <item>“村官”</item>
      </candidateList>
      <explain/>
      <paraID> 91CE383</paraID>
      <start>5</start>
      <end>7</end>
      <status>ignored</status>
      <modifiedWord/>
      <trackRevisions>false</trackRevisions>
    </reviewItem>
    <reviewItem>
      <errorID>993df3b4-bdb2-441c-a864-2ede7a2ccbbf</errorID>
      <errorWord>村长</errorWord>
      <group>L1_Political</group>
      <groupName>政治性问题</groupName>
      <ability>L2_Unpolitical</ability>
      <abilityName>政治敏感错误</abilityName>
      <candidateList>
        <item>村主任</item>
      </candidateList>
      <explain/>
      <paraID>74E7E44D</paraID>
      <start>7</start>
      <end>9</end>
      <status>ignored</status>
      <modifiedWord/>
      <trackRevisions>false</trackRevisions>
    </reviewItem>
    <reviewItem>
      <errorID>b8ba5df0-ab77-4c28-a317-50c26c9cb556</errorID>
      <errorWord>村长</errorWord>
      <group>L1_Political</group>
      <groupName>政治性问题</groupName>
      <ability>L2_Unpolitical</ability>
      <abilityName>政治敏感错误</abilityName>
      <candidateList>
        <item>村主任</item>
      </candidateList>
      <explain/>
      <paraID>329AF552</paraID>
      <start>7</start>
      <end>9</end>
      <status>ignored</status>
      <modifiedWord/>
      <trackRevisions>false</trackRevisions>
    </reviewItem>
    <reviewItem>
      <errorID>4312d60a-4c0c-461f-bf3e-ce3cf34c54bc</errorID>
      <errorWord>村长</errorWord>
      <group>L1_Political</group>
      <groupName>政治性问题</groupName>
      <ability>L2_Unpolitical</ability>
      <abilityName>政治敏感错误</abilityName>
      <candidateList>
        <item>村主任</item>
      </candidateList>
      <explain/>
      <paraID> 907B035</paraID>
      <start>7</start>
      <end>9</end>
      <status>ignored</status>
      <modifiedWord/>
      <trackRevisions>false</trackRevisions>
    </reviewItem>
    <reviewItem>
      <errorID>dc1fcfb4-d7dc-4844-89f6-7caef3c9b9e8</errorID>
      <errorWord>村长</errorWord>
      <group>L1_Political</group>
      <groupName>政治性问题</groupName>
      <ability>L2_Unpolitical</ability>
      <abilityName>政治敏感错误</abilityName>
      <candidateList>
        <item>村主任</item>
      </candidateList>
      <explain/>
      <paraID> ED5E8AE</paraID>
      <start>7</start>
      <end>9</end>
      <status>ignored</status>
      <modifiedWord/>
      <trackRevisions>false</trackRevisions>
    </reviewItem>
    <reviewItem>
      <errorID>0457c1ab-e0d9-4694-b096-08bfaf483d3c</errorID>
      <errorWord>村长</errorWord>
      <group>L1_Political</group>
      <groupName>政治性问题</groupName>
      <ability>L2_Unpolitical</ability>
      <abilityName>政治敏感错误</abilityName>
      <candidateList>
        <item>村主任</item>
      </candidateList>
      <explain/>
      <paraID>25A3F980</paraID>
      <start>43</start>
      <end>45</end>
      <status>ignored</status>
      <modifiedWord/>
      <trackRevisions>false</trackRevisions>
    </reviewItem>
    <reviewItem>
      <errorID>6be2cf0a-ee1b-4177-95a0-39eecf81fc19</errorID>
      <errorWord>村长</errorWord>
      <group>L1_Political</group>
      <groupName>政治性问题</groupName>
      <ability>L2_Unpolitical</ability>
      <abilityName>政治敏感错误</abilityName>
      <candidateList>
        <item>村主任</item>
      </candidateList>
      <explain/>
      <paraID>25A3F980</paraID>
      <start>74</start>
      <end>76</end>
      <status>ignored</status>
      <modifiedWord/>
      <trackRevisions>false</trackRevisions>
    </reviewItem>
    <reviewItem>
      <errorID>1ca2e459-e5fd-4318-b9b5-601b3a404cd2</errorID>
      <errorWord>村长</errorWord>
      <group>L1_Political</group>
      <groupName>政治性问题</groupName>
      <ability>L2_Unpolitical</ability>
      <abilityName>政治敏感错误</abilityName>
      <candidateList>
        <item>村主任</item>
      </candidateList>
      <explain/>
      <paraID> FFF7C84</paraID>
      <start>60</start>
      <end>62</end>
      <status>ignored</status>
      <modifiedWord/>
      <trackRevisions>false</trackRevisions>
    </reviewItem>
    <reviewItem>
      <errorID>8dd2a6a3-4333-4e55-9c54-d180200db941</errorID>
      <errorWord>村长</errorWord>
      <group>L1_Political</group>
      <groupName>政治性问题</groupName>
      <ability>L2_Unpolitical</ability>
      <abilityName>政治敏感错误</abilityName>
      <candidateList>
        <item>村主任</item>
      </candidateList>
      <explain/>
      <paraID> FFF7C84</paraID>
      <start>91</start>
      <end>93</end>
      <status>ignored</status>
      <modifiedWord/>
      <trackRevisions>false</trackRevisions>
    </reviewItem>
    <reviewItem>
      <errorID>cdddf612-02ac-42d4-ac05-6155f472caa5</errorID>
      <errorWord>试运营期</errorWord>
      <group>L1_Word</group>
      <groupName>字词问题</groupName>
      <ability>L2_Typo</ability>
      <abilityName>字词错误</abilityName>
      <candidateList>
        <item>试运营</item>
      </candidateList>
      <explain/>
      <paraID>58BFE40B</paraID>
      <start>4</start>
      <end>8</end>
      <status>ignored</status>
      <modifiedWord/>
      <trackRevisions>false</trackRevisions>
    </reviewItem>
    <reviewItem>
      <errorID>ee3ed76e-51cc-46b2-916d-987bfd208f01</errorID>
      <errorWord>村长</errorWord>
      <group>L1_Political</group>
      <groupName>政治性问题</groupName>
      <ability>L2_Unpolitical</ability>
      <abilityName>政治敏感错误</abilityName>
      <candidateList>
        <item>村主任</item>
      </candidateList>
      <explain/>
      <paraID>6EBB40EC</paraID>
      <start>70</start>
      <end>72</end>
      <status>ignored</status>
      <modifiedWord/>
      <trackRevisions>false</trackRevisions>
    </reviewItem>
    <reviewItem>
      <errorID>3f8a6e39-eba9-428f-8c12-41e25407e585</errorID>
      <errorWord>村长</errorWord>
      <group>L1_Political</group>
      <groupName>政治性问题</groupName>
      <ability>L2_Unpolitical</ability>
      <abilityName>政治敏感错误</abilityName>
      <candidateList>
        <item>村主任</item>
      </candidateList>
      <explain/>
      <paraID>6EBB40EC</paraID>
      <start>101</start>
      <end>103</end>
      <status>ignored</status>
      <modifiedWord/>
      <trackRevisions>false</trackRevisions>
    </reviewItem>
    <reviewItem>
      <errorID>54902914-2c16-4473-9a42-246566dca29c</errorID>
      <errorWord>村长</errorWord>
      <group>L1_Political</group>
      <groupName>政治性问题</groupName>
      <ability>L2_Unpolitical</ability>
      <abilityName>政治敏感错误</abilityName>
      <candidateList>
        <item>村主任</item>
      </candidateList>
      <explain/>
      <paraID>5D313182</paraID>
      <start>4</start>
      <end>6</end>
      <status>ignored</status>
      <modifiedWord/>
      <trackRevisions>false</trackRevisions>
    </reviewItem>
    <reviewItem>
      <errorID>528740b8-f320-4ce3-8b4e-f7deea64351b</errorID>
      <errorWord>村长</errorWord>
      <group>L1_Political</group>
      <groupName>政治性问题</groupName>
      <ability>L2_Unpolitical</ability>
      <abilityName>政治敏感错误</abilityName>
      <candidateList>
        <item>村主任</item>
      </candidateList>
      <explain/>
      <paraID>194D99FD</paraID>
      <start>4</start>
      <end>6</end>
      <status>ignored</status>
      <modifiedWord/>
      <trackRevisions>false</trackRevisions>
    </reviewItem>
    <reviewItem>
      <errorID>df387539-264f-49e5-be26-7c030520ab50</errorID>
      <errorWord>村长</errorWord>
      <group>L1_Political</group>
      <groupName>政治性问题</groupName>
      <ability>L2_Unpolitical</ability>
      <abilityName>政治敏感错误</abilityName>
      <candidateList>
        <item>村主任</item>
      </candidateList>
      <explain/>
      <paraID>48D121AE</paraID>
      <start>4</start>
      <end>6</end>
      <status>ignored</status>
      <modifiedWord/>
      <trackRevisions>false</trackRevisions>
    </reviewItem>
    <reviewItem>
      <errorID>de499cc5-6124-45d4-b013-9f8a29e844af</errorID>
      <errorWord>村长</errorWord>
      <group>L1_Political</group>
      <groupName>政治性问题</groupName>
      <ability>L2_Unpolitical</ability>
      <abilityName>政治敏感错误</abilityName>
      <candidateList>
        <item>村主任</item>
      </candidateList>
      <explain/>
      <paraID> 29153EC</paraID>
      <start>4</start>
      <end>6</end>
      <status>ignored</status>
      <modifiedWord/>
      <trackRevisions>false</trackRevisions>
    </reviewItem>
    <reviewItem>
      <errorID>e3c87e1a-9206-4a7b-84ad-27af6a21f913</errorID>
      <errorWord>村长</errorWord>
      <group>L1_Political</group>
      <groupName>政治性问题</groupName>
      <ability>L2_Unpolitical</ability>
      <abilityName>政治敏感错误</abilityName>
      <candidateList>
        <item>村主任</item>
      </candidateList>
      <explain/>
      <paraID>7682F805</paraID>
      <start>4</start>
      <end>6</end>
      <status>ignored</status>
      <modifiedWord/>
      <trackRevisions>false</trackRevisions>
    </reviewItem>
    <reviewItem>
      <errorID>3b50d6d8-67e8-4ca0-82a1-2fd867d52824</errorID>
      <errorWord>村长</errorWord>
      <group>L1_Political</group>
      <groupName>政治性问题</groupName>
      <ability>L2_Unpolitical</ability>
      <abilityName>政治敏感错误</abilityName>
      <candidateList>
        <item>村主任</item>
      </candidateList>
      <explain/>
      <paraID> 131F261</paraID>
      <start>4</start>
      <end>6</end>
      <status>ignored</status>
      <modifiedWord/>
      <trackRevisions>false</trackRevisions>
    </reviewItem>
    <reviewItem>
      <errorID>c357579d-fdc3-4395-a444-c651a6353746</errorID>
      <errorWord>村长</errorWord>
      <group>L1_Political</group>
      <groupName>政治性问题</groupName>
      <ability>L2_Unpolitical</ability>
      <abilityName>政治敏感错误</abilityName>
      <candidateList>
        <item>村主任</item>
      </candidateList>
      <explain/>
      <paraID> F1E0AF5</paraID>
      <start>4</start>
      <end>6</end>
      <status>ignored</status>
      <modifiedWord/>
      <trackRevisions>false</trackRevisions>
    </reviewItem>
    <reviewItem>
      <errorID>3aa4fa89-650e-4dec-94c7-24abcda1c378</errorID>
      <errorWord>村官</errorWord>
      <group>L1_Political</group>
      <groupName>政治性问题</groupName>
      <ability>L2_Unpolitical</ability>
      <abilityName>政治敏感错误</abilityName>
      <candidateList>
        <item>“村官”</item>
      </candidateList>
      <explain/>
      <paraID>2866537A</paraID>
      <start>223</start>
      <end>225</end>
      <status>ignored</status>
      <modifiedWord/>
      <trackRevisions>false</trackRevisions>
    </reviewItem>
    <reviewItem>
      <errorID>5a2c2fe2-31c5-49b3-a73a-4231254b4143</errorID>
      <errorWord>村官</errorWord>
      <group>L1_Political</group>
      <groupName>政治性问题</groupName>
      <ability>L2_Unpolitical</ability>
      <abilityName>政治敏感错误</abilityName>
      <candidateList>
        <item>“村官”</item>
      </candidateList>
      <explain/>
      <paraID>477F75C9</paraID>
      <start>4</start>
      <end>6</end>
      <status>ignored</status>
      <modifiedWord/>
      <trackRevisions>false</trackRevisions>
    </reviewItem>
    <reviewItem>
      <errorID>d72ccbc0-8c35-4820-970e-3af3d52fa182</errorID>
      <errorWord>村长</errorWord>
      <group>L1_Political</group>
      <groupName>政治性问题</groupName>
      <ability>L2_Unpolitical</ability>
      <abilityName>政治敏感错误</abilityName>
      <candidateList>
        <item>村主任</item>
      </candidateList>
      <explain/>
      <paraID>11CE63BC</paraID>
      <start>4</start>
      <end>6</end>
      <status>ignored</status>
      <modifiedWord/>
      <trackRevisions>false</trackRevisions>
    </reviewItem>
    <reviewItem>
      <errorID>15c69cea-b9a3-4f4d-9e73-2c04e1ede265</errorID>
      <errorWord>村官</errorWord>
      <group>L1_Political</group>
      <groupName>政治性问题</groupName>
      <ability>L2_Unpolitical</ability>
      <abilityName>政治敏感错误</abilityName>
      <candidateList>
        <item>“村官”</item>
      </candidateList>
      <explain/>
      <paraID>748A1E3D</paraID>
      <start>2</start>
      <end>4</end>
      <status>ignored</status>
      <modifiedWord/>
      <trackRevisions>false</trackRevisions>
    </reviewItem>
    <reviewItem>
      <errorID>832f1aee-3e05-436f-817d-046a9fe78771</errorID>
      <errorWord>村长</errorWord>
      <group>L1_Political</group>
      <groupName>政治性问题</groupName>
      <ability>L2_Unpolitical</ability>
      <abilityName>政治敏感错误</abilityName>
      <candidateList>
        <item>村主任</item>
      </candidateList>
      <explain/>
      <paraID>50317779</paraID>
      <start>4</start>
      <end>6</end>
      <status>ignored</status>
      <modifiedWord/>
      <trackRevisions>false</trackRevisions>
    </reviewItem>
    <reviewItem>
      <errorID>c546af93-15c4-44c2-a302-704d3075b6de</errorID>
      <errorWord>村长</errorWord>
      <group>L1_Political</group>
      <groupName>政治性问题</groupName>
      <ability>L2_Unpolitical</ability>
      <abilityName>政治敏感错误</abilityName>
      <candidateList>
        <item>村主任</item>
      </candidateList>
      <explain/>
      <paraID>44978FB6</paraID>
      <start>62</start>
      <end>64</end>
      <status>ignored</status>
      <modifiedWord/>
      <trackRevisions>false</trackRevisions>
    </reviewItem>
    <reviewItem>
      <errorID>8e78af55-b001-42ac-a5f4-e4a511f7d7c7</errorID>
      <errorWord>村长</errorWord>
      <group>L1_Political</group>
      <groupName>政治性问题</groupName>
      <ability>L2_Unpolitical</ability>
      <abilityName>政治敏感错误</abilityName>
      <candidateList>
        <item>村主任</item>
      </candidateList>
      <explain/>
      <paraID>796C477E</paraID>
      <start>4</start>
      <end>6</end>
      <status>ignored</status>
      <modifiedWord/>
      <trackRevisions>false</trackRevisions>
    </reviewItem>
    <reviewItem>
      <errorID>d33db0e1-ec29-44e5-875b-96ed023eb2be</errorID>
      <errorWord>村长</errorWord>
      <group>L1_Political</group>
      <groupName>政治性问题</groupName>
      <ability>L2_Unpolitical</ability>
      <abilityName>政治敏感错误</abilityName>
      <candidateList>
        <item>村主任</item>
      </candidateList>
      <explain/>
      <paraID>37B516FE</paraID>
      <start>36</start>
      <end>38</end>
      <status>ignored</status>
      <modifiedWord/>
      <trackRevisions>false</trackRevisions>
    </reviewItem>
    <reviewItem>
      <errorID>7f03533d-25cd-48a3-bdfb-b9bcb5ae8951</errorID>
      <errorWord>村官</errorWord>
      <group>L1_Political</group>
      <groupName>政治性问题</groupName>
      <ability>L2_Unpolitical</ability>
      <abilityName>政治敏感错误</abilityName>
      <candidateList>
        <item>“村官”</item>
      </candidateList>
      <explain/>
      <paraID>26E54AD6</paraID>
      <start>2</start>
      <end>4</end>
      <status>ignored</status>
      <modifiedWord/>
      <trackRevisions>false</trackRevisions>
    </reviewItem>
    <reviewItem>
      <errorID>e45e6b03-8a60-438d-9bcf-8fb68ac5b26d</errorID>
      <errorWord>村官</errorWord>
      <group>L1_Political</group>
      <groupName>政治性问题</groupName>
      <ability>L2_Unpolitical</ability>
      <abilityName>政治敏感错误</abilityName>
      <candidateList>
        <item>“村官”</item>
      </candidateList>
      <explain/>
      <paraID>1E4961D2</paraID>
      <start>51</start>
      <end>53</end>
      <status>ignored</status>
      <modifiedWord/>
      <trackRevisions>false</trackRevisions>
    </reviewItem>
    <reviewItem>
      <errorID>b608fa24-b144-427b-95ec-07d0965cfb7c</errorID>
      <errorWord>村官</errorWord>
      <group>L1_Political</group>
      <groupName>政治性问题</groupName>
      <ability>L2_Unpolitical</ability>
      <abilityName>政治敏感错误</abilityName>
      <candidateList>
        <item>“村官”</item>
      </candidateList>
      <explain/>
      <paraID> 36B2F79</paraID>
      <start>3</start>
      <end>5</end>
      <status>ignored</status>
      <modifiedWord/>
      <trackRevisions>false</trackRevisions>
    </reviewItem>
    <reviewItem>
      <errorID>d31707e8-2481-45f8-b9fd-7a302f46594b</errorID>
      <errorWord>村官</errorWord>
      <group>L1_Political</group>
      <groupName>政治性问题</groupName>
      <ability>L2_Unpolitical</ability>
      <abilityName>政治敏感错误</abilityName>
      <candidateList>
        <item>“村官”</item>
      </candidateList>
      <explain/>
      <paraID>2F8B13FF</paraID>
      <start>3</start>
      <end>5</end>
      <status>ignored</status>
      <modifiedWord/>
      <trackRevisions>false</trackRevisions>
    </reviewItem>
    <reviewItem>
      <errorID>c6e3bccb-dbde-4954-a76f-35d4b4e88e31</errorID>
      <errorWord>村长</errorWord>
      <group>L1_Political</group>
      <groupName>政治性问题</groupName>
      <ability>L2_Unpolitical</ability>
      <abilityName>政治敏感错误</abilityName>
      <candidateList>
        <item>村主任</item>
      </candidateList>
      <explain/>
      <paraID>658EA2B7</paraID>
      <start>179</start>
      <end>181</end>
      <status>ignored</status>
      <modifiedWord/>
      <trackRevisions>false</trackRevisions>
    </reviewItem>
    <reviewItem>
      <errorID>405c757e-5107-48b9-bc05-f53c8a2655a3</errorID>
      <errorWord>村官</errorWord>
      <group>L1_Political</group>
      <groupName>政治性问题</groupName>
      <ability>L2_Unpolitical</ability>
      <abilityName>政治敏感错误</abilityName>
      <candidateList>
        <item>“村官”</item>
      </candidateList>
      <explain/>
      <paraID>117DD78B</paraID>
      <start>3</start>
      <end>5</end>
      <status>ignored</status>
      <modifiedWord/>
      <trackRevisions>false</trackRevisions>
    </reviewItem>
    <reviewItem>
      <errorID>27bf5b9f-d1be-43f4-a66a-af53684f4195</errorID>
      <errorWord>面集</errorWord>
      <group>L1_Word</group>
      <groupName>字词问题</groupName>
      <ability>L2_Typo</ability>
      <abilityName>字词错误</abilityName>
      <candidateList>
        <item>面积</item>
      </candidateList>
      <explain>〈名〉平面或物体表面的大小：土地～｜建筑～。</explain>
      <paraID>2A4E5306</paraID>
      <start>19</start>
      <end>21</end>
      <status>ignored</status>
      <modifiedWord/>
      <trackRevisions>false</trackRevisions>
    </reviewItem>
    <reviewItem>
      <errorID>88477eec-c4bc-4e8c-9642-2f713b353e3d</errorID>
      <errorWord>III类</errorWord>
      <group>L1_Knowledge</group>
      <groupName>知识性问题</groupName>
      <ability>L2_Knowledge</ability>
      <abilityName>其他知识</abilityName>
      <candidateList>
        <item>Ⅲ类</item>
      </candidateList>
      <explain/>
      <paraID>65DF2CC2</paraID>
      <start>83</start>
      <end>87</end>
      <status>ignored</status>
      <modifiedWord/>
      <trackRevisions>false</trackRevisions>
    </reviewItem>
    <reviewItem>
      <errorID>a90d4c89-9bb2-4b07-898d-9142c77ee56c</errorID>
      <errorWord>农村面源污染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词汇“农业面源污染”在特定场景下为固定表述形式，请确认此处的“农村面源污染”是否存在不当。</explain>
      <paraID>65DF2CC2</paraID>
      <start>120</start>
      <end>126</end>
      <status>ignored</status>
      <modifiedWord/>
      <trackRevisions>false</trackRevisions>
    </reviewItem>
    <reviewItem>
      <errorID>6d797522-5566-49e7-9435-faeb54d79fc3</errorID>
      <errorWord>农村面源污染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词汇“农业面源污染”在特定场景下为固定表述形式，请确认此处的“农村面源污染”是否存在不当。</explain>
      <paraID>749ED265</paraID>
      <start>5</start>
      <end>11</end>
      <status>ignored</status>
      <modifiedWord/>
      <trackRevisions>false</trackRevisions>
    </reviewItem>
    <reviewItem>
      <errorID>0eddd312-f0e1-468b-897f-04a4131a4ba2</errorID>
      <errorWord>场</errorWord>
      <group>L1_Word</group>
      <groupName>字词问题</groupName>
      <ability>L2_Typo</ability>
      <abilityName>字词错误</abilityName>
      <candidateList>
        <item>厂</item>
      </candidateList>
      <explain>存在发音相同字词的误用。</explain>
      <paraID>720B6E9E</paraID>
      <start>69</start>
      <end>70</end>
      <status>ignored</status>
      <modifiedWord/>
      <trackRevisions>false</trackRevisions>
    </reviewItem>
    <reviewItem>
      <errorID>3261880b-e5a5-48ca-8e4b-3dba2de404f9</errorID>
      <errorWord>勘查</errorWord>
      <group>L1_Word</group>
      <groupName>字词问题</groupName>
      <ability>L2_Typo</ability>
      <abilityName>字词错误</abilityName>
      <candidateList>
        <item>勘察</item>
      </candidateList>
      <explain>〈动〉进行实地调查或查看（多用于采矿或工程施工前）：～现场｜～地形。也作勘查。</explain>
      <paraID>52468AA5</paraID>
      <start>137</start>
      <end>139</end>
      <status>ignored</status>
      <modifiedWord/>
      <trackRevisions>false</trackRevisions>
    </reviewItem>
    <reviewItem>
      <errorID>30be34e3-4f7a-46f2-8020-a50efb7a69dd</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3EBC7CE5</paraID>
      <start>36</start>
      <end>39</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228016-ba81-43c7-bf76-e41e8d326013}">
  <ds:schemaRefs/>
</ds:datastoreItem>
</file>

<file path=docProps/app.xml><?xml version="1.0" encoding="utf-8"?>
<Properties xmlns="http://schemas.openxmlformats.org/officeDocument/2006/extended-properties" xmlns:vt="http://schemas.openxmlformats.org/officeDocument/2006/docPropsVTypes">
  <Template>Normal.dotm</Template>
  <Pages>159</Pages>
  <Words>5469</Words>
  <Characters>6182</Characters>
  <Lines>1</Lines>
  <Paragraphs>1</Paragraphs>
  <TotalTime>22</TotalTime>
  <ScaleCrop>false</ScaleCrop>
  <LinksUpToDate>false</LinksUpToDate>
  <CharactersWithSpaces>6446</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2026-01-13T02:28:00Z</dcterms:created>
  <dc:creator>Administrator</dc:creator>
  <cp:lastModifiedBy>萌七坊</cp:lastModifiedBy>
  <dcterms:modified xsi:type="dcterms:W3CDTF">2026-06-01T01:16:42Z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7174B52A985A4704A87EEF2C5B5471A6_13</vt:lpwstr>
  </property>
  <property fmtid="{D5CDD505-2E9C-101B-9397-08002B2CF9AE}" pid="4" name="KSOTemplateDocerSaveRecord">
    <vt:lpwstr>eyJoZGlkIjoiMGE1MmIxZGM0YTAzNzVmZjg1OGFhM2NiMjJhYTZiYTQiLCJ1c2VySWQiOiI5OTU5NTc2NTYifQ==</vt:lpwstr>
  </property>
</Properties>
</file>